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7A7" w:rsidRDefault="001856D0" w14:paraId="1471E626" w14:textId="07DB7468">
      <w:pPr>
        <w:autoSpaceDE w:val="0"/>
        <w:autoSpaceDN w:val="0"/>
        <w:adjustRightInd w:val="0"/>
        <w:spacing w:before="0" w:after="0"/>
        <w:ind w:left="1416" w:hanging="1371"/>
        <w:rPr>
          <w:b/>
          <w:bCs/>
          <w:sz w:val="23"/>
          <w:szCs w:val="23"/>
        </w:rPr>
      </w:pPr>
      <w:r>
        <w:rPr>
          <w:b/>
          <w:bCs/>
          <w:sz w:val="23"/>
          <w:szCs w:val="23"/>
        </w:rPr>
        <w:t>36740-VII</w:t>
      </w:r>
      <w:r>
        <w:rPr>
          <w:b/>
          <w:bCs/>
          <w:sz w:val="23"/>
          <w:szCs w:val="23"/>
        </w:rPr>
        <w:tab/>
        <w:t xml:space="preserve">Jaarverslag </w:t>
      </w:r>
      <w:r w:rsidR="00240B9B">
        <w:rPr>
          <w:b/>
          <w:bCs/>
          <w:sz w:val="23"/>
          <w:szCs w:val="23"/>
        </w:rPr>
        <w:t xml:space="preserve">en </w:t>
      </w:r>
      <w:proofErr w:type="spellStart"/>
      <w:r w:rsidR="00240B9B">
        <w:rPr>
          <w:b/>
          <w:bCs/>
          <w:sz w:val="23"/>
          <w:szCs w:val="23"/>
        </w:rPr>
        <w:t>slotwet</w:t>
      </w:r>
      <w:proofErr w:type="spellEnd"/>
      <w:r w:rsidR="00240B9B">
        <w:rPr>
          <w:b/>
          <w:bCs/>
          <w:sz w:val="23"/>
          <w:szCs w:val="23"/>
        </w:rPr>
        <w:t xml:space="preserve"> </w:t>
      </w:r>
      <w:r>
        <w:rPr>
          <w:b/>
          <w:bCs/>
          <w:sz w:val="23"/>
          <w:szCs w:val="23"/>
        </w:rPr>
        <w:t>Ministerie van Binnenlandse Zaken en Koninkrijksrelaties 2024</w:t>
      </w:r>
    </w:p>
    <w:p w:rsidR="00A757A7" w:rsidRDefault="00A757A7" w14:paraId="70970E7A" w14:textId="77777777">
      <w:pPr>
        <w:autoSpaceDE w:val="0"/>
        <w:autoSpaceDN w:val="0"/>
        <w:adjustRightInd w:val="0"/>
        <w:spacing w:before="0" w:after="0"/>
        <w:ind w:left="1416" w:hanging="1371"/>
        <w:rPr>
          <w:b/>
        </w:rPr>
      </w:pPr>
    </w:p>
    <w:p w:rsidR="00A757A7" w:rsidRDefault="001856D0" w14:paraId="6E1353E1" w14:textId="5C551BAE">
      <w:pPr>
        <w:rPr>
          <w:b/>
        </w:rPr>
      </w:pPr>
      <w:r>
        <w:rPr>
          <w:b/>
        </w:rPr>
        <w:t xml:space="preserve">nr. </w:t>
      </w:r>
      <w:r>
        <w:rPr>
          <w:b/>
        </w:rPr>
        <w:tab/>
      </w:r>
      <w:r>
        <w:rPr>
          <w:b/>
        </w:rPr>
        <w:tab/>
        <w:t xml:space="preserve">Lijst van vragen </w:t>
      </w:r>
    </w:p>
    <w:p w:rsidR="00A757A7" w:rsidRDefault="001856D0" w14:paraId="7685DECA" w14:textId="77777777">
      <w:r>
        <w:tab/>
      </w:r>
      <w:r>
        <w:tab/>
      </w:r>
    </w:p>
    <w:p w:rsidR="00A757A7" w:rsidRDefault="001856D0" w14:paraId="08C0D58F" w14:textId="77777777">
      <w:pPr>
        <w:ind w:left="702" w:firstLine="708"/>
        <w:rPr>
          <w:i/>
        </w:rPr>
      </w:pPr>
      <w:r>
        <w:t xml:space="preserve">Vastgesteld </w:t>
      </w:r>
      <w:r>
        <w:rPr>
          <w:i/>
        </w:rPr>
        <w:t>(wordt door griffie ingevuld als antwoorden er zijn)</w:t>
      </w:r>
    </w:p>
    <w:p w:rsidRPr="004F1779" w:rsidR="00240B9B" w:rsidP="00240B9B" w:rsidRDefault="00240B9B" w14:paraId="1C53504B" w14:textId="7EF201B8">
      <w:pPr>
        <w:ind w:left="1410"/>
      </w:pPr>
      <w:r>
        <w:t xml:space="preserve">De vaste commissie voor Binnenlandse Zaken heeft </w:t>
      </w:r>
      <w:r w:rsidRPr="004F1779">
        <w:t>een aantal vragen voorgelegd aan de minister van Binnenlandse Zaken en Koninkrijksrelaties over het Jaarverslag Ministerie van Binnenlandse Zaken en Koninkrijksrelaties 202</w:t>
      </w:r>
      <w:r>
        <w:t>4</w:t>
      </w:r>
      <w:r w:rsidRPr="004F1779">
        <w:t xml:space="preserve"> (</w:t>
      </w:r>
      <w:r>
        <w:t xml:space="preserve">Kamerstuk </w:t>
      </w:r>
      <w:r w:rsidRPr="004F1779">
        <w:t>36</w:t>
      </w:r>
      <w:r>
        <w:t>74</w:t>
      </w:r>
      <w:r w:rsidRPr="004F1779">
        <w:t>0</w:t>
      </w:r>
      <w:r>
        <w:t xml:space="preserve"> </w:t>
      </w:r>
      <w:r w:rsidRPr="004F1779">
        <w:t>VII, nr. 1).</w:t>
      </w:r>
    </w:p>
    <w:p w:rsidR="00A757A7" w:rsidRDefault="00A757A7" w14:paraId="134353CF" w14:textId="77777777">
      <w:pPr>
        <w:spacing w:before="0" w:after="0"/>
      </w:pPr>
    </w:p>
    <w:p w:rsidR="00A757A7" w:rsidRDefault="00240B9B" w14:paraId="18F2F7E1" w14:textId="32C0B1C2">
      <w:pPr>
        <w:spacing w:before="0" w:after="0"/>
        <w:ind w:left="703" w:firstLine="709"/>
      </w:pPr>
      <w:r>
        <w:t>De v</w:t>
      </w:r>
      <w:r w:rsidR="001856D0">
        <w:t xml:space="preserve">oorzitter van de commissie, </w:t>
      </w:r>
    </w:p>
    <w:p w:rsidR="00A757A7" w:rsidRDefault="001856D0" w14:paraId="3C1C37BF" w14:textId="3A0718DE">
      <w:pPr>
        <w:spacing w:before="0" w:after="0"/>
      </w:pPr>
      <w:r>
        <w:tab/>
      </w:r>
      <w:r>
        <w:tab/>
      </w:r>
      <w:r w:rsidR="00240B9B">
        <w:t>De Vree</w:t>
      </w:r>
    </w:p>
    <w:p w:rsidR="00A757A7" w:rsidRDefault="001856D0" w14:paraId="21937F64" w14:textId="77777777">
      <w:pPr>
        <w:spacing w:before="0" w:after="0"/>
      </w:pPr>
      <w:r>
        <w:tab/>
      </w:r>
      <w:r>
        <w:tab/>
      </w:r>
    </w:p>
    <w:p w:rsidR="00A757A7" w:rsidRDefault="001856D0" w14:paraId="328AF379" w14:textId="07C20825">
      <w:pPr>
        <w:spacing w:before="0" w:after="0"/>
      </w:pPr>
      <w:r>
        <w:tab/>
      </w:r>
      <w:r>
        <w:tab/>
      </w:r>
      <w:r w:rsidR="00240B9B">
        <w:t>De adjunct-g</w:t>
      </w:r>
      <w:r>
        <w:t>riffier van de commissie,</w:t>
      </w:r>
    </w:p>
    <w:p w:rsidR="00240B9B" w:rsidRDefault="00240B9B" w14:paraId="5B26032F" w14:textId="49D85866">
      <w:pPr>
        <w:spacing w:before="0" w:after="0"/>
      </w:pPr>
      <w:r>
        <w:tab/>
      </w:r>
      <w:r>
        <w:tab/>
        <w:t>Van der Haas</w:t>
      </w:r>
    </w:p>
    <w:p w:rsidR="00A757A7" w:rsidRDefault="001856D0" w14:paraId="17AB4220" w14:textId="7A4C9FC4">
      <w:pPr>
        <w:spacing w:before="0" w:after="0"/>
      </w:pPr>
      <w:r>
        <w:tab/>
      </w:r>
      <w:r>
        <w:tab/>
      </w:r>
    </w:p>
    <w:p w:rsidR="00A757A7" w:rsidRDefault="00A757A7" w14:paraId="20147EF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757A7" w:rsidTr="00E7153D" w14:paraId="130F67B5" w14:textId="77777777">
        <w:trPr>
          <w:cantSplit/>
        </w:trPr>
        <w:tc>
          <w:tcPr>
            <w:tcW w:w="567" w:type="dxa"/>
          </w:tcPr>
          <w:p w:rsidR="00A757A7" w:rsidRDefault="001856D0" w14:paraId="4D56E207" w14:textId="77777777">
            <w:bookmarkStart w:name="bmkStartTabel" w:id="0"/>
            <w:bookmarkEnd w:id="0"/>
            <w:r>
              <w:t>Nr</w:t>
            </w:r>
          </w:p>
        </w:tc>
        <w:tc>
          <w:tcPr>
            <w:tcW w:w="6521" w:type="dxa"/>
          </w:tcPr>
          <w:p w:rsidR="00A757A7" w:rsidRDefault="001856D0" w14:paraId="192A17C3" w14:textId="77777777">
            <w:r>
              <w:t>Vraag</w:t>
            </w:r>
          </w:p>
        </w:tc>
        <w:tc>
          <w:tcPr>
            <w:tcW w:w="850" w:type="dxa"/>
          </w:tcPr>
          <w:p w:rsidR="00A757A7" w:rsidRDefault="001856D0" w14:paraId="7EDE58EC" w14:textId="77777777">
            <w:pPr>
              <w:jc w:val="right"/>
            </w:pPr>
            <w:r>
              <w:t>Bijlage</w:t>
            </w:r>
          </w:p>
        </w:tc>
        <w:tc>
          <w:tcPr>
            <w:tcW w:w="992" w:type="dxa"/>
          </w:tcPr>
          <w:p w:rsidR="00A757A7" w:rsidP="00E7153D" w:rsidRDefault="001856D0" w14:paraId="330641B5" w14:textId="77777777">
            <w:pPr>
              <w:jc w:val="right"/>
            </w:pPr>
            <w:r>
              <w:t>Blz. (van)</w:t>
            </w:r>
          </w:p>
        </w:tc>
        <w:tc>
          <w:tcPr>
            <w:tcW w:w="567" w:type="dxa"/>
          </w:tcPr>
          <w:p w:rsidR="00A757A7" w:rsidP="00E7153D" w:rsidRDefault="001856D0" w14:paraId="12138CDB" w14:textId="77777777">
            <w:pPr>
              <w:jc w:val="center"/>
            </w:pPr>
            <w:r>
              <w:t>t/m</w:t>
            </w:r>
          </w:p>
        </w:tc>
      </w:tr>
      <w:tr w:rsidR="00A757A7" w:rsidTr="00E7153D" w14:paraId="670E9FDE" w14:textId="77777777">
        <w:tc>
          <w:tcPr>
            <w:tcW w:w="567" w:type="dxa"/>
          </w:tcPr>
          <w:p w:rsidR="00A757A7" w:rsidRDefault="001856D0" w14:paraId="510A3C6E" w14:textId="77777777">
            <w:r>
              <w:t>1</w:t>
            </w:r>
          </w:p>
        </w:tc>
        <w:tc>
          <w:tcPr>
            <w:tcW w:w="6521" w:type="dxa"/>
          </w:tcPr>
          <w:p w:rsidR="00A757A7" w:rsidRDefault="001856D0" w14:paraId="10BD3236" w14:textId="77777777">
            <w:r>
              <w:t>Is er binnen Logius extra aandacht voor kennisbehoud, nu de externe inhuur al jaren ver boven de Roemernorm zit? Wordt binnen Logius maximaal ingezet op structurele benoemingen bij sleutelposities?</w:t>
            </w:r>
          </w:p>
        </w:tc>
        <w:tc>
          <w:tcPr>
            <w:tcW w:w="850" w:type="dxa"/>
          </w:tcPr>
          <w:p w:rsidR="00A757A7" w:rsidRDefault="00A757A7" w14:paraId="453C0AD2" w14:textId="77777777">
            <w:pPr>
              <w:jc w:val="right"/>
            </w:pPr>
          </w:p>
        </w:tc>
        <w:tc>
          <w:tcPr>
            <w:tcW w:w="992" w:type="dxa"/>
          </w:tcPr>
          <w:p w:rsidR="00A757A7" w:rsidRDefault="00A757A7" w14:paraId="2B7805E3" w14:textId="77777777">
            <w:pPr>
              <w:jc w:val="right"/>
            </w:pPr>
          </w:p>
        </w:tc>
        <w:tc>
          <w:tcPr>
            <w:tcW w:w="567" w:type="dxa"/>
            <w:tcBorders>
              <w:left w:val="nil"/>
            </w:tcBorders>
          </w:tcPr>
          <w:p w:rsidR="00A757A7" w:rsidRDefault="001856D0" w14:paraId="3686A903" w14:textId="77777777">
            <w:pPr>
              <w:jc w:val="right"/>
            </w:pPr>
            <w:r>
              <w:t xml:space="preserve"> </w:t>
            </w:r>
          </w:p>
        </w:tc>
      </w:tr>
      <w:tr w:rsidR="00A757A7" w:rsidTr="00E7153D" w14:paraId="66F0E356" w14:textId="77777777">
        <w:tc>
          <w:tcPr>
            <w:tcW w:w="567" w:type="dxa"/>
          </w:tcPr>
          <w:p w:rsidR="00A757A7" w:rsidRDefault="001856D0" w14:paraId="3718084D" w14:textId="77777777">
            <w:r>
              <w:t>2</w:t>
            </w:r>
          </w:p>
        </w:tc>
        <w:tc>
          <w:tcPr>
            <w:tcW w:w="6521" w:type="dxa"/>
          </w:tcPr>
          <w:p w:rsidR="00A757A7" w:rsidRDefault="001856D0" w14:paraId="30034718" w14:textId="77777777">
            <w:r>
              <w:t>Wat heeft u concreet gedaan om te bevorderen dat de openbare agenda's van bewindspersonen conform de richtlijnen worden bijgehouden?</w:t>
            </w:r>
          </w:p>
        </w:tc>
        <w:tc>
          <w:tcPr>
            <w:tcW w:w="850" w:type="dxa"/>
          </w:tcPr>
          <w:p w:rsidR="00A757A7" w:rsidRDefault="00A757A7" w14:paraId="08CB2463" w14:textId="77777777">
            <w:pPr>
              <w:jc w:val="right"/>
            </w:pPr>
          </w:p>
        </w:tc>
        <w:tc>
          <w:tcPr>
            <w:tcW w:w="992" w:type="dxa"/>
          </w:tcPr>
          <w:p w:rsidR="00A757A7" w:rsidRDefault="00A757A7" w14:paraId="743F9412" w14:textId="77777777">
            <w:pPr>
              <w:jc w:val="right"/>
            </w:pPr>
          </w:p>
        </w:tc>
        <w:tc>
          <w:tcPr>
            <w:tcW w:w="567" w:type="dxa"/>
            <w:tcBorders>
              <w:left w:val="nil"/>
            </w:tcBorders>
          </w:tcPr>
          <w:p w:rsidR="00A757A7" w:rsidRDefault="001856D0" w14:paraId="462079E3" w14:textId="77777777">
            <w:pPr>
              <w:jc w:val="right"/>
            </w:pPr>
            <w:r>
              <w:t xml:space="preserve"> </w:t>
            </w:r>
          </w:p>
        </w:tc>
      </w:tr>
      <w:tr w:rsidR="00A757A7" w:rsidTr="00E7153D" w14:paraId="37E5ABEB" w14:textId="77777777">
        <w:tc>
          <w:tcPr>
            <w:tcW w:w="567" w:type="dxa"/>
          </w:tcPr>
          <w:p w:rsidR="00A757A7" w:rsidRDefault="001856D0" w14:paraId="424E4D55" w14:textId="77777777">
            <w:r>
              <w:t>3</w:t>
            </w:r>
          </w:p>
        </w:tc>
        <w:tc>
          <w:tcPr>
            <w:tcW w:w="6521" w:type="dxa"/>
          </w:tcPr>
          <w:p w:rsidR="00A757A7" w:rsidRDefault="001856D0" w14:paraId="50F98FB8" w14:textId="77777777">
            <w:r>
              <w:t>Kan in een schematisch overzicht worden weergegeven (per departement en per functiegroep/salarisschaal) hoeveel openstaande vacatures er op dit moment zijn?</w:t>
            </w:r>
          </w:p>
        </w:tc>
        <w:tc>
          <w:tcPr>
            <w:tcW w:w="850" w:type="dxa"/>
          </w:tcPr>
          <w:p w:rsidR="00A757A7" w:rsidRDefault="00A757A7" w14:paraId="110B5785" w14:textId="77777777">
            <w:pPr>
              <w:jc w:val="right"/>
            </w:pPr>
          </w:p>
        </w:tc>
        <w:tc>
          <w:tcPr>
            <w:tcW w:w="992" w:type="dxa"/>
          </w:tcPr>
          <w:p w:rsidR="00A757A7" w:rsidRDefault="00A757A7" w14:paraId="7B293C57" w14:textId="77777777">
            <w:pPr>
              <w:jc w:val="right"/>
            </w:pPr>
          </w:p>
        </w:tc>
        <w:tc>
          <w:tcPr>
            <w:tcW w:w="567" w:type="dxa"/>
            <w:tcBorders>
              <w:left w:val="nil"/>
            </w:tcBorders>
          </w:tcPr>
          <w:p w:rsidR="00A757A7" w:rsidRDefault="001856D0" w14:paraId="77FCCA31" w14:textId="77777777">
            <w:pPr>
              <w:jc w:val="right"/>
            </w:pPr>
            <w:r>
              <w:t xml:space="preserve"> </w:t>
            </w:r>
          </w:p>
        </w:tc>
      </w:tr>
      <w:tr w:rsidR="00A757A7" w:rsidTr="00E7153D" w14:paraId="3B48367E" w14:textId="77777777">
        <w:tc>
          <w:tcPr>
            <w:tcW w:w="567" w:type="dxa"/>
          </w:tcPr>
          <w:p w:rsidR="00A757A7" w:rsidRDefault="001856D0" w14:paraId="0101226D" w14:textId="77777777">
            <w:r>
              <w:t>4</w:t>
            </w:r>
          </w:p>
        </w:tc>
        <w:tc>
          <w:tcPr>
            <w:tcW w:w="6521" w:type="dxa"/>
          </w:tcPr>
          <w:p w:rsidR="00A757A7" w:rsidRDefault="001856D0" w14:paraId="23927116" w14:textId="77777777">
            <w:r>
              <w:t>Kan in een schematisch overzicht worden weergegeven (per departement en per functiegroep/salarisschaal) hoeveel functies door externe inhuur worden ingevuld op dit moment?</w:t>
            </w:r>
          </w:p>
        </w:tc>
        <w:tc>
          <w:tcPr>
            <w:tcW w:w="850" w:type="dxa"/>
          </w:tcPr>
          <w:p w:rsidR="00A757A7" w:rsidRDefault="00A757A7" w14:paraId="44092964" w14:textId="77777777">
            <w:pPr>
              <w:jc w:val="right"/>
            </w:pPr>
          </w:p>
        </w:tc>
        <w:tc>
          <w:tcPr>
            <w:tcW w:w="992" w:type="dxa"/>
          </w:tcPr>
          <w:p w:rsidR="00A757A7" w:rsidRDefault="00A757A7" w14:paraId="2E85C2D9" w14:textId="77777777">
            <w:pPr>
              <w:jc w:val="right"/>
            </w:pPr>
          </w:p>
        </w:tc>
        <w:tc>
          <w:tcPr>
            <w:tcW w:w="567" w:type="dxa"/>
            <w:tcBorders>
              <w:left w:val="nil"/>
            </w:tcBorders>
          </w:tcPr>
          <w:p w:rsidR="00A757A7" w:rsidRDefault="001856D0" w14:paraId="5C90D500" w14:textId="77777777">
            <w:pPr>
              <w:jc w:val="right"/>
            </w:pPr>
            <w:r>
              <w:t xml:space="preserve"> </w:t>
            </w:r>
          </w:p>
        </w:tc>
      </w:tr>
      <w:tr w:rsidR="00A757A7" w:rsidTr="00E7153D" w14:paraId="28AEEE49" w14:textId="77777777">
        <w:tc>
          <w:tcPr>
            <w:tcW w:w="567" w:type="dxa"/>
          </w:tcPr>
          <w:p w:rsidR="00A757A7" w:rsidRDefault="001856D0" w14:paraId="5C5F6347" w14:textId="77777777">
            <w:r>
              <w:t>5</w:t>
            </w:r>
          </w:p>
        </w:tc>
        <w:tc>
          <w:tcPr>
            <w:tcW w:w="6521" w:type="dxa"/>
          </w:tcPr>
          <w:p w:rsidR="00A757A7" w:rsidRDefault="001856D0" w14:paraId="52707D06" w14:textId="77777777">
            <w:r>
              <w:t>Wat voor soort organisatie wordt de Raad voor de aanpak van onevenredige hardheden? Komt deze organisatie te hangen onder het ministerie van Binnenlandse Zaken en Koninkrijksrelaties? Is er een wet nodig om deze raad in te stellen?</w:t>
            </w:r>
          </w:p>
        </w:tc>
        <w:tc>
          <w:tcPr>
            <w:tcW w:w="850" w:type="dxa"/>
          </w:tcPr>
          <w:p w:rsidR="00A757A7" w:rsidRDefault="00A757A7" w14:paraId="40792E0A" w14:textId="77777777">
            <w:pPr>
              <w:jc w:val="right"/>
            </w:pPr>
          </w:p>
        </w:tc>
        <w:tc>
          <w:tcPr>
            <w:tcW w:w="992" w:type="dxa"/>
          </w:tcPr>
          <w:p w:rsidR="00A757A7" w:rsidRDefault="001856D0" w14:paraId="03E80DD4" w14:textId="77777777">
            <w:pPr>
              <w:jc w:val="right"/>
            </w:pPr>
            <w:r>
              <w:t>16</w:t>
            </w:r>
          </w:p>
        </w:tc>
        <w:tc>
          <w:tcPr>
            <w:tcW w:w="567" w:type="dxa"/>
            <w:tcBorders>
              <w:left w:val="nil"/>
            </w:tcBorders>
          </w:tcPr>
          <w:p w:rsidR="00A757A7" w:rsidRDefault="001856D0" w14:paraId="78672979" w14:textId="77777777">
            <w:pPr>
              <w:jc w:val="right"/>
            </w:pPr>
            <w:r>
              <w:t xml:space="preserve"> </w:t>
            </w:r>
          </w:p>
        </w:tc>
      </w:tr>
      <w:tr w:rsidR="00A757A7" w:rsidTr="00E7153D" w14:paraId="68861AF3" w14:textId="77777777">
        <w:tc>
          <w:tcPr>
            <w:tcW w:w="567" w:type="dxa"/>
          </w:tcPr>
          <w:p w:rsidR="00A757A7" w:rsidRDefault="001856D0" w14:paraId="59F82C94" w14:textId="77777777">
            <w:r>
              <w:t>6</w:t>
            </w:r>
          </w:p>
        </w:tc>
        <w:tc>
          <w:tcPr>
            <w:tcW w:w="6521" w:type="dxa"/>
          </w:tcPr>
          <w:p w:rsidR="00A757A7" w:rsidRDefault="001856D0" w14:paraId="20D2FD3D" w14:textId="77777777">
            <w:r>
              <w:t>Wanneer wordt de visie op de regionale samenwerking aan de Kamer aangeboden?</w:t>
            </w:r>
          </w:p>
        </w:tc>
        <w:tc>
          <w:tcPr>
            <w:tcW w:w="850" w:type="dxa"/>
          </w:tcPr>
          <w:p w:rsidR="00A757A7" w:rsidRDefault="00A757A7" w14:paraId="5949CDF9" w14:textId="77777777">
            <w:pPr>
              <w:jc w:val="right"/>
            </w:pPr>
          </w:p>
        </w:tc>
        <w:tc>
          <w:tcPr>
            <w:tcW w:w="992" w:type="dxa"/>
          </w:tcPr>
          <w:p w:rsidR="00A757A7" w:rsidRDefault="001856D0" w14:paraId="7F6FA7DD" w14:textId="77777777">
            <w:pPr>
              <w:jc w:val="right"/>
            </w:pPr>
            <w:r>
              <w:t>16</w:t>
            </w:r>
          </w:p>
        </w:tc>
        <w:tc>
          <w:tcPr>
            <w:tcW w:w="567" w:type="dxa"/>
            <w:tcBorders>
              <w:left w:val="nil"/>
            </w:tcBorders>
          </w:tcPr>
          <w:p w:rsidR="00A757A7" w:rsidRDefault="001856D0" w14:paraId="7987C464" w14:textId="77777777">
            <w:pPr>
              <w:jc w:val="right"/>
            </w:pPr>
            <w:r>
              <w:t xml:space="preserve"> </w:t>
            </w:r>
          </w:p>
        </w:tc>
      </w:tr>
      <w:tr w:rsidR="00A757A7" w:rsidTr="00E7153D" w14:paraId="56AAFC5B" w14:textId="77777777">
        <w:tc>
          <w:tcPr>
            <w:tcW w:w="567" w:type="dxa"/>
          </w:tcPr>
          <w:p w:rsidR="00A757A7" w:rsidRDefault="001856D0" w14:paraId="7BC4C865" w14:textId="77777777">
            <w:r>
              <w:t>7</w:t>
            </w:r>
          </w:p>
        </w:tc>
        <w:tc>
          <w:tcPr>
            <w:tcW w:w="6521" w:type="dxa"/>
          </w:tcPr>
          <w:p w:rsidR="00A757A7" w:rsidRDefault="001856D0" w14:paraId="4748CF04" w14:textId="77777777">
            <w:r>
              <w:t>Wanneer kan de Kamer het wetsvoorstel Wet versterking waarborgfunctie Awb verwachten?</w:t>
            </w:r>
          </w:p>
        </w:tc>
        <w:tc>
          <w:tcPr>
            <w:tcW w:w="850" w:type="dxa"/>
          </w:tcPr>
          <w:p w:rsidR="00A757A7" w:rsidRDefault="00A757A7" w14:paraId="4F3A9DE6" w14:textId="77777777">
            <w:pPr>
              <w:jc w:val="right"/>
            </w:pPr>
          </w:p>
        </w:tc>
        <w:tc>
          <w:tcPr>
            <w:tcW w:w="992" w:type="dxa"/>
          </w:tcPr>
          <w:p w:rsidR="00A757A7" w:rsidRDefault="001856D0" w14:paraId="16C86B68" w14:textId="77777777">
            <w:pPr>
              <w:jc w:val="right"/>
            </w:pPr>
            <w:r>
              <w:t>16</w:t>
            </w:r>
          </w:p>
        </w:tc>
        <w:tc>
          <w:tcPr>
            <w:tcW w:w="567" w:type="dxa"/>
            <w:tcBorders>
              <w:left w:val="nil"/>
            </w:tcBorders>
          </w:tcPr>
          <w:p w:rsidR="00A757A7" w:rsidRDefault="001856D0" w14:paraId="21CD2902" w14:textId="77777777">
            <w:pPr>
              <w:jc w:val="right"/>
            </w:pPr>
            <w:r>
              <w:t xml:space="preserve"> </w:t>
            </w:r>
          </w:p>
        </w:tc>
      </w:tr>
      <w:tr w:rsidR="00A757A7" w:rsidTr="00E7153D" w14:paraId="17663A76" w14:textId="77777777">
        <w:tc>
          <w:tcPr>
            <w:tcW w:w="567" w:type="dxa"/>
          </w:tcPr>
          <w:p w:rsidR="00A757A7" w:rsidRDefault="001856D0" w14:paraId="78A00599" w14:textId="77777777">
            <w:r>
              <w:t>8</w:t>
            </w:r>
          </w:p>
        </w:tc>
        <w:tc>
          <w:tcPr>
            <w:tcW w:w="6521" w:type="dxa"/>
          </w:tcPr>
          <w:p w:rsidR="00A757A7" w:rsidRDefault="001856D0" w14:paraId="2E03B6EB" w14:textId="77777777">
            <w:r>
              <w:t>Wat wordt er gedaan opdat het rijksbreed IT-beheer op orde komt en de Algemene Rekenkamer volgend jaar in zijn rapport het rode kruisje kan vervangen door een groen vinkje?</w:t>
            </w:r>
          </w:p>
        </w:tc>
        <w:tc>
          <w:tcPr>
            <w:tcW w:w="850" w:type="dxa"/>
          </w:tcPr>
          <w:p w:rsidR="00A757A7" w:rsidRDefault="00A757A7" w14:paraId="5F8D246B" w14:textId="77777777">
            <w:pPr>
              <w:jc w:val="right"/>
            </w:pPr>
          </w:p>
        </w:tc>
        <w:tc>
          <w:tcPr>
            <w:tcW w:w="992" w:type="dxa"/>
          </w:tcPr>
          <w:p w:rsidR="00A757A7" w:rsidRDefault="001856D0" w14:paraId="44BB0EE9" w14:textId="77777777">
            <w:pPr>
              <w:jc w:val="right"/>
            </w:pPr>
            <w:r>
              <w:t>21</w:t>
            </w:r>
          </w:p>
        </w:tc>
        <w:tc>
          <w:tcPr>
            <w:tcW w:w="567" w:type="dxa"/>
            <w:tcBorders>
              <w:left w:val="nil"/>
            </w:tcBorders>
          </w:tcPr>
          <w:p w:rsidR="00A757A7" w:rsidRDefault="001856D0" w14:paraId="5737EC04" w14:textId="77777777">
            <w:pPr>
              <w:jc w:val="right"/>
            </w:pPr>
            <w:r>
              <w:t xml:space="preserve"> </w:t>
            </w:r>
          </w:p>
        </w:tc>
      </w:tr>
      <w:tr w:rsidR="00A757A7" w:rsidTr="00E7153D" w14:paraId="74456D95" w14:textId="77777777">
        <w:tc>
          <w:tcPr>
            <w:tcW w:w="567" w:type="dxa"/>
          </w:tcPr>
          <w:p w:rsidR="00A757A7" w:rsidRDefault="001856D0" w14:paraId="47DD6EA6" w14:textId="77777777">
            <w:r>
              <w:t>9</w:t>
            </w:r>
          </w:p>
        </w:tc>
        <w:tc>
          <w:tcPr>
            <w:tcW w:w="6521" w:type="dxa"/>
          </w:tcPr>
          <w:p w:rsidR="00A757A7" w:rsidRDefault="001856D0" w14:paraId="14EAAF79" w14:textId="77777777">
            <w:r>
              <w:t>Wat is de stand van zaken ten aanzien van de aanpassing van het Besluit CIO-stelsel?</w:t>
            </w:r>
          </w:p>
        </w:tc>
        <w:tc>
          <w:tcPr>
            <w:tcW w:w="850" w:type="dxa"/>
          </w:tcPr>
          <w:p w:rsidR="00A757A7" w:rsidRDefault="00A757A7" w14:paraId="0A5A6E48" w14:textId="77777777">
            <w:pPr>
              <w:jc w:val="right"/>
            </w:pPr>
          </w:p>
        </w:tc>
        <w:tc>
          <w:tcPr>
            <w:tcW w:w="992" w:type="dxa"/>
          </w:tcPr>
          <w:p w:rsidR="00A757A7" w:rsidRDefault="001856D0" w14:paraId="4A4571E9" w14:textId="77777777">
            <w:pPr>
              <w:jc w:val="right"/>
            </w:pPr>
            <w:r>
              <w:t>24</w:t>
            </w:r>
          </w:p>
        </w:tc>
        <w:tc>
          <w:tcPr>
            <w:tcW w:w="567" w:type="dxa"/>
            <w:tcBorders>
              <w:left w:val="nil"/>
            </w:tcBorders>
          </w:tcPr>
          <w:p w:rsidR="00A757A7" w:rsidRDefault="001856D0" w14:paraId="652FC27F" w14:textId="77777777">
            <w:pPr>
              <w:jc w:val="right"/>
            </w:pPr>
            <w:r>
              <w:t xml:space="preserve"> </w:t>
            </w:r>
          </w:p>
        </w:tc>
      </w:tr>
      <w:tr w:rsidR="00A757A7" w:rsidTr="00E7153D" w14:paraId="64E35F53" w14:textId="77777777">
        <w:tc>
          <w:tcPr>
            <w:tcW w:w="567" w:type="dxa"/>
          </w:tcPr>
          <w:p w:rsidR="00A757A7" w:rsidRDefault="001856D0" w14:paraId="2689D91A" w14:textId="77777777">
            <w:r>
              <w:t>10</w:t>
            </w:r>
          </w:p>
        </w:tc>
        <w:tc>
          <w:tcPr>
            <w:tcW w:w="6521" w:type="dxa"/>
          </w:tcPr>
          <w:p w:rsidR="00A757A7" w:rsidRDefault="001856D0" w14:paraId="115A8A8C" w14:textId="77777777">
            <w:r>
              <w:t>Hoe staat het met het onderzoek naar de werking van artikel 44 Grondwet? Is dit reeds opgepakt? Zo niet, wanneer zal dit gebeuren?</w:t>
            </w:r>
          </w:p>
        </w:tc>
        <w:tc>
          <w:tcPr>
            <w:tcW w:w="850" w:type="dxa"/>
          </w:tcPr>
          <w:p w:rsidR="00A757A7" w:rsidRDefault="00A757A7" w14:paraId="5981D701" w14:textId="77777777">
            <w:pPr>
              <w:jc w:val="right"/>
            </w:pPr>
          </w:p>
        </w:tc>
        <w:tc>
          <w:tcPr>
            <w:tcW w:w="992" w:type="dxa"/>
          </w:tcPr>
          <w:p w:rsidR="00A757A7" w:rsidRDefault="001856D0" w14:paraId="65221967" w14:textId="77777777">
            <w:pPr>
              <w:jc w:val="right"/>
            </w:pPr>
            <w:r>
              <w:t>24</w:t>
            </w:r>
          </w:p>
        </w:tc>
        <w:tc>
          <w:tcPr>
            <w:tcW w:w="567" w:type="dxa"/>
            <w:tcBorders>
              <w:left w:val="nil"/>
            </w:tcBorders>
          </w:tcPr>
          <w:p w:rsidR="00A757A7" w:rsidRDefault="001856D0" w14:paraId="68356EAA" w14:textId="77777777">
            <w:pPr>
              <w:jc w:val="right"/>
            </w:pPr>
            <w:r>
              <w:t xml:space="preserve"> </w:t>
            </w:r>
          </w:p>
        </w:tc>
      </w:tr>
      <w:tr w:rsidR="00A757A7" w:rsidTr="00E7153D" w14:paraId="0641316B" w14:textId="77777777">
        <w:tc>
          <w:tcPr>
            <w:tcW w:w="567" w:type="dxa"/>
          </w:tcPr>
          <w:p w:rsidR="00A757A7" w:rsidRDefault="001856D0" w14:paraId="01CCDEC1" w14:textId="77777777">
            <w:r>
              <w:t>11</w:t>
            </w:r>
          </w:p>
        </w:tc>
        <w:tc>
          <w:tcPr>
            <w:tcW w:w="6521" w:type="dxa"/>
          </w:tcPr>
          <w:p w:rsidR="00A757A7" w:rsidRDefault="001856D0" w14:paraId="2B8A3F4C" w14:textId="77777777">
            <w:r>
              <w:t>Ondersteunt Programma Transparant enkel het departement Binnenlandse Zaken en Koninkrijksrelaties bij het beter opslaan en openbaar maken van overheidsinformatie, of worden meer departementen door dit Programma ondersteund?</w:t>
            </w:r>
          </w:p>
        </w:tc>
        <w:tc>
          <w:tcPr>
            <w:tcW w:w="850" w:type="dxa"/>
          </w:tcPr>
          <w:p w:rsidR="00A757A7" w:rsidRDefault="00A757A7" w14:paraId="71AB0E64" w14:textId="77777777">
            <w:pPr>
              <w:jc w:val="right"/>
            </w:pPr>
          </w:p>
        </w:tc>
        <w:tc>
          <w:tcPr>
            <w:tcW w:w="992" w:type="dxa"/>
          </w:tcPr>
          <w:p w:rsidR="00A757A7" w:rsidRDefault="001856D0" w14:paraId="4A54039F" w14:textId="77777777">
            <w:pPr>
              <w:jc w:val="right"/>
            </w:pPr>
            <w:r>
              <w:t>37</w:t>
            </w:r>
          </w:p>
        </w:tc>
        <w:tc>
          <w:tcPr>
            <w:tcW w:w="567" w:type="dxa"/>
            <w:tcBorders>
              <w:left w:val="nil"/>
            </w:tcBorders>
          </w:tcPr>
          <w:p w:rsidR="00A757A7" w:rsidRDefault="001856D0" w14:paraId="141BB6D1" w14:textId="77777777">
            <w:pPr>
              <w:jc w:val="right"/>
            </w:pPr>
            <w:r>
              <w:t xml:space="preserve"> </w:t>
            </w:r>
          </w:p>
        </w:tc>
      </w:tr>
      <w:tr w:rsidR="00A757A7" w:rsidTr="00E7153D" w14:paraId="159E8A31" w14:textId="77777777">
        <w:tc>
          <w:tcPr>
            <w:tcW w:w="567" w:type="dxa"/>
          </w:tcPr>
          <w:p w:rsidR="00A757A7" w:rsidRDefault="001856D0" w14:paraId="0E117FE9" w14:textId="77777777">
            <w:r>
              <w:t>12</w:t>
            </w:r>
          </w:p>
        </w:tc>
        <w:tc>
          <w:tcPr>
            <w:tcW w:w="6521" w:type="dxa"/>
          </w:tcPr>
          <w:p w:rsidR="00A757A7" w:rsidRDefault="001856D0" w14:paraId="5064BD4C" w14:textId="77777777">
            <w:r>
              <w:t>Hoe is de onderuitputting van eigen personeel (20,2 miljoen euro) verdeeld over de verschillende directies van het ministerie van BZK?</w:t>
            </w:r>
          </w:p>
        </w:tc>
        <w:tc>
          <w:tcPr>
            <w:tcW w:w="850" w:type="dxa"/>
          </w:tcPr>
          <w:p w:rsidR="00A757A7" w:rsidRDefault="00A757A7" w14:paraId="43BEFA87" w14:textId="77777777">
            <w:pPr>
              <w:jc w:val="right"/>
            </w:pPr>
          </w:p>
        </w:tc>
        <w:tc>
          <w:tcPr>
            <w:tcW w:w="992" w:type="dxa"/>
          </w:tcPr>
          <w:p w:rsidR="00A757A7" w:rsidRDefault="001856D0" w14:paraId="109DF8CB" w14:textId="77777777">
            <w:pPr>
              <w:jc w:val="right"/>
            </w:pPr>
            <w:r>
              <w:t>41</w:t>
            </w:r>
          </w:p>
        </w:tc>
        <w:tc>
          <w:tcPr>
            <w:tcW w:w="567" w:type="dxa"/>
            <w:tcBorders>
              <w:left w:val="nil"/>
            </w:tcBorders>
          </w:tcPr>
          <w:p w:rsidR="00A757A7" w:rsidRDefault="001856D0" w14:paraId="175E3EDE" w14:textId="77777777">
            <w:pPr>
              <w:jc w:val="right"/>
            </w:pPr>
            <w:r>
              <w:t xml:space="preserve"> </w:t>
            </w:r>
          </w:p>
        </w:tc>
      </w:tr>
      <w:tr w:rsidR="00A757A7" w:rsidTr="00E7153D" w14:paraId="040CD2A6" w14:textId="77777777">
        <w:tc>
          <w:tcPr>
            <w:tcW w:w="567" w:type="dxa"/>
          </w:tcPr>
          <w:p w:rsidR="00A757A7" w:rsidRDefault="001856D0" w14:paraId="7E282E79" w14:textId="77777777">
            <w:r>
              <w:lastRenderedPageBreak/>
              <w:t>13</w:t>
            </w:r>
          </w:p>
        </w:tc>
        <w:tc>
          <w:tcPr>
            <w:tcW w:w="6521" w:type="dxa"/>
          </w:tcPr>
          <w:p w:rsidR="00A757A7" w:rsidRDefault="001856D0" w14:paraId="668BCC65" w14:textId="77777777">
            <w:r>
              <w:t>Welke stappen zijn ondernomen om te komen tot rijksbrede beleidskaders voor e-mail- en chatberichtenarchivering?</w:t>
            </w:r>
          </w:p>
        </w:tc>
        <w:tc>
          <w:tcPr>
            <w:tcW w:w="850" w:type="dxa"/>
          </w:tcPr>
          <w:p w:rsidR="00A757A7" w:rsidRDefault="00A757A7" w14:paraId="1C2D2306" w14:textId="77777777">
            <w:pPr>
              <w:jc w:val="right"/>
            </w:pPr>
          </w:p>
        </w:tc>
        <w:tc>
          <w:tcPr>
            <w:tcW w:w="992" w:type="dxa"/>
          </w:tcPr>
          <w:p w:rsidR="00A757A7" w:rsidRDefault="001856D0" w14:paraId="0AA558FA" w14:textId="77777777">
            <w:pPr>
              <w:jc w:val="right"/>
            </w:pPr>
            <w:r>
              <w:t>99</w:t>
            </w:r>
          </w:p>
        </w:tc>
        <w:tc>
          <w:tcPr>
            <w:tcW w:w="567" w:type="dxa"/>
            <w:tcBorders>
              <w:left w:val="nil"/>
            </w:tcBorders>
          </w:tcPr>
          <w:p w:rsidR="00A757A7" w:rsidRDefault="001856D0" w14:paraId="0453205A" w14:textId="77777777">
            <w:pPr>
              <w:jc w:val="right"/>
            </w:pPr>
            <w:r>
              <w:t xml:space="preserve"> </w:t>
            </w:r>
          </w:p>
        </w:tc>
      </w:tr>
      <w:tr w:rsidR="00A757A7" w:rsidTr="00E7153D" w14:paraId="155E41CA" w14:textId="77777777">
        <w:tc>
          <w:tcPr>
            <w:tcW w:w="567" w:type="dxa"/>
          </w:tcPr>
          <w:p w:rsidR="00A757A7" w:rsidRDefault="001856D0" w14:paraId="7AF9D563" w14:textId="77777777">
            <w:r>
              <w:t>14</w:t>
            </w:r>
          </w:p>
        </w:tc>
        <w:tc>
          <w:tcPr>
            <w:tcW w:w="6521" w:type="dxa"/>
          </w:tcPr>
          <w:p w:rsidR="00A757A7" w:rsidRDefault="001856D0" w14:paraId="5D7C21D0" w14:textId="77777777">
            <w:r>
              <w:t>Hoeveel externe inhuurtrajecten duurden langer dan een jaar?</w:t>
            </w:r>
          </w:p>
        </w:tc>
        <w:tc>
          <w:tcPr>
            <w:tcW w:w="850" w:type="dxa"/>
          </w:tcPr>
          <w:p w:rsidR="00A757A7" w:rsidRDefault="00A757A7" w14:paraId="7E2A034C" w14:textId="77777777">
            <w:pPr>
              <w:jc w:val="right"/>
            </w:pPr>
          </w:p>
        </w:tc>
        <w:tc>
          <w:tcPr>
            <w:tcW w:w="992" w:type="dxa"/>
          </w:tcPr>
          <w:p w:rsidR="00A757A7" w:rsidRDefault="001856D0" w14:paraId="2CCD798A" w14:textId="77777777">
            <w:pPr>
              <w:jc w:val="right"/>
            </w:pPr>
            <w:r>
              <w:t>115</w:t>
            </w:r>
          </w:p>
        </w:tc>
        <w:tc>
          <w:tcPr>
            <w:tcW w:w="567" w:type="dxa"/>
            <w:tcBorders>
              <w:left w:val="nil"/>
            </w:tcBorders>
          </w:tcPr>
          <w:p w:rsidR="00A757A7" w:rsidRDefault="001856D0" w14:paraId="61BC7195" w14:textId="77777777">
            <w:pPr>
              <w:jc w:val="right"/>
            </w:pPr>
            <w:r>
              <w:t xml:space="preserve"> </w:t>
            </w:r>
          </w:p>
        </w:tc>
      </w:tr>
      <w:tr w:rsidR="00A757A7" w:rsidTr="00E7153D" w14:paraId="55289898" w14:textId="77777777">
        <w:tc>
          <w:tcPr>
            <w:tcW w:w="567" w:type="dxa"/>
          </w:tcPr>
          <w:p w:rsidR="00A757A7" w:rsidRDefault="001856D0" w14:paraId="5C0EA1FF" w14:textId="77777777">
            <w:r>
              <w:t>15</w:t>
            </w:r>
          </w:p>
        </w:tc>
        <w:tc>
          <w:tcPr>
            <w:tcW w:w="6521" w:type="dxa"/>
          </w:tcPr>
          <w:p w:rsidR="00A757A7" w:rsidRDefault="001856D0" w14:paraId="386995A5" w14:textId="77777777">
            <w:r>
              <w:t>Is de pilot voor budgetbeheer inmiddels doorgevoerd als regulier proces en, zo ja, met welke concrete verbeteringen?</w:t>
            </w:r>
          </w:p>
        </w:tc>
        <w:tc>
          <w:tcPr>
            <w:tcW w:w="850" w:type="dxa"/>
          </w:tcPr>
          <w:p w:rsidR="00A757A7" w:rsidRDefault="00A757A7" w14:paraId="459EA4E5" w14:textId="77777777">
            <w:pPr>
              <w:jc w:val="right"/>
            </w:pPr>
          </w:p>
        </w:tc>
        <w:tc>
          <w:tcPr>
            <w:tcW w:w="992" w:type="dxa"/>
          </w:tcPr>
          <w:p w:rsidR="00A757A7" w:rsidRDefault="001856D0" w14:paraId="7228C9BE" w14:textId="77777777">
            <w:pPr>
              <w:jc w:val="right"/>
            </w:pPr>
            <w:r>
              <w:t>123</w:t>
            </w:r>
          </w:p>
        </w:tc>
        <w:tc>
          <w:tcPr>
            <w:tcW w:w="567" w:type="dxa"/>
            <w:tcBorders>
              <w:left w:val="nil"/>
            </w:tcBorders>
          </w:tcPr>
          <w:p w:rsidR="00A757A7" w:rsidRDefault="001856D0" w14:paraId="21D07516" w14:textId="77777777">
            <w:pPr>
              <w:jc w:val="right"/>
            </w:pPr>
            <w:r>
              <w:t xml:space="preserve"> </w:t>
            </w:r>
          </w:p>
        </w:tc>
      </w:tr>
      <w:tr w:rsidR="00A757A7" w:rsidTr="00E7153D" w14:paraId="7027997A" w14:textId="77777777">
        <w:tc>
          <w:tcPr>
            <w:tcW w:w="567" w:type="dxa"/>
          </w:tcPr>
          <w:p w:rsidR="00A757A7" w:rsidRDefault="001856D0" w14:paraId="1172E3A0" w14:textId="77777777">
            <w:r>
              <w:t>16</w:t>
            </w:r>
          </w:p>
        </w:tc>
        <w:tc>
          <w:tcPr>
            <w:tcW w:w="6521" w:type="dxa"/>
          </w:tcPr>
          <w:p w:rsidR="00A757A7" w:rsidRDefault="001856D0" w14:paraId="7F9333E2" w14:textId="77777777">
            <w:r>
              <w:t>Is er naar aanleiding van onrechtmatigheden bij de inhuur van externen bij SSC-ICT rijksbreed beleid in ontwikkeling om langdurige verlengingsopties in externe inhuurcontracten te voorkomen?</w:t>
            </w:r>
          </w:p>
        </w:tc>
        <w:tc>
          <w:tcPr>
            <w:tcW w:w="850" w:type="dxa"/>
          </w:tcPr>
          <w:p w:rsidR="00A757A7" w:rsidRDefault="00A757A7" w14:paraId="4D3A5F3C" w14:textId="77777777">
            <w:pPr>
              <w:jc w:val="right"/>
            </w:pPr>
          </w:p>
        </w:tc>
        <w:tc>
          <w:tcPr>
            <w:tcW w:w="992" w:type="dxa"/>
          </w:tcPr>
          <w:p w:rsidR="00A757A7" w:rsidRDefault="001856D0" w14:paraId="53645DA2" w14:textId="77777777">
            <w:pPr>
              <w:jc w:val="right"/>
            </w:pPr>
            <w:r>
              <w:t>124</w:t>
            </w:r>
          </w:p>
        </w:tc>
        <w:tc>
          <w:tcPr>
            <w:tcW w:w="567" w:type="dxa"/>
            <w:tcBorders>
              <w:left w:val="nil"/>
            </w:tcBorders>
          </w:tcPr>
          <w:p w:rsidR="00A757A7" w:rsidRDefault="001856D0" w14:paraId="4C68EBB7" w14:textId="77777777">
            <w:pPr>
              <w:jc w:val="right"/>
            </w:pPr>
            <w:r>
              <w:t xml:space="preserve"> </w:t>
            </w:r>
          </w:p>
        </w:tc>
      </w:tr>
      <w:tr w:rsidR="00A757A7" w:rsidTr="00E7153D" w14:paraId="1AD034DA" w14:textId="77777777">
        <w:tc>
          <w:tcPr>
            <w:tcW w:w="567" w:type="dxa"/>
          </w:tcPr>
          <w:p w:rsidR="00A757A7" w:rsidRDefault="001856D0" w14:paraId="3A37E0E5" w14:textId="77777777">
            <w:r>
              <w:t>17</w:t>
            </w:r>
          </w:p>
        </w:tc>
        <w:tc>
          <w:tcPr>
            <w:tcW w:w="6521" w:type="dxa"/>
          </w:tcPr>
          <w:p w:rsidR="00A757A7" w:rsidRDefault="001856D0" w14:paraId="0CBB8989" w14:textId="77777777">
            <w:r>
              <w:t>Zijn er bij Logius structurele functies ingevuld met externen gezien de hoge verwervingsopgave?</w:t>
            </w:r>
          </w:p>
        </w:tc>
        <w:tc>
          <w:tcPr>
            <w:tcW w:w="850" w:type="dxa"/>
          </w:tcPr>
          <w:p w:rsidR="00A757A7" w:rsidRDefault="00A757A7" w14:paraId="1198062B" w14:textId="77777777">
            <w:pPr>
              <w:jc w:val="right"/>
            </w:pPr>
          </w:p>
        </w:tc>
        <w:tc>
          <w:tcPr>
            <w:tcW w:w="992" w:type="dxa"/>
          </w:tcPr>
          <w:p w:rsidR="00A757A7" w:rsidRDefault="001856D0" w14:paraId="10315858" w14:textId="77777777">
            <w:pPr>
              <w:jc w:val="right"/>
            </w:pPr>
            <w:r>
              <w:t>145</w:t>
            </w:r>
          </w:p>
        </w:tc>
        <w:tc>
          <w:tcPr>
            <w:tcW w:w="567" w:type="dxa"/>
            <w:tcBorders>
              <w:left w:val="nil"/>
            </w:tcBorders>
          </w:tcPr>
          <w:p w:rsidR="00A757A7" w:rsidRDefault="001856D0" w14:paraId="5016EEB3" w14:textId="77777777">
            <w:pPr>
              <w:jc w:val="right"/>
            </w:pPr>
            <w:r>
              <w:t xml:space="preserve"> </w:t>
            </w:r>
          </w:p>
        </w:tc>
      </w:tr>
      <w:tr w:rsidR="00A757A7" w:rsidTr="00E7153D" w14:paraId="4F44F4FF" w14:textId="77777777">
        <w:tc>
          <w:tcPr>
            <w:tcW w:w="567" w:type="dxa"/>
          </w:tcPr>
          <w:p w:rsidR="00A757A7" w:rsidRDefault="001856D0" w14:paraId="40885148" w14:textId="77777777">
            <w:r>
              <w:t>18</w:t>
            </w:r>
          </w:p>
        </w:tc>
        <w:tc>
          <w:tcPr>
            <w:tcW w:w="6521" w:type="dxa"/>
          </w:tcPr>
          <w:p w:rsidR="00A757A7" w:rsidRDefault="001856D0" w14:paraId="48A318F0" w14:textId="77777777">
            <w:r>
              <w:t>Welke stappen heeft Logius tot dusver ondernomen om de externe inhuur in 2025 terug te brengen van 47,8 procent naar 25 procent?</w:t>
            </w:r>
          </w:p>
        </w:tc>
        <w:tc>
          <w:tcPr>
            <w:tcW w:w="850" w:type="dxa"/>
          </w:tcPr>
          <w:p w:rsidR="00A757A7" w:rsidRDefault="00A757A7" w14:paraId="34008A9A" w14:textId="77777777">
            <w:pPr>
              <w:jc w:val="right"/>
            </w:pPr>
          </w:p>
        </w:tc>
        <w:tc>
          <w:tcPr>
            <w:tcW w:w="992" w:type="dxa"/>
          </w:tcPr>
          <w:p w:rsidR="00A757A7" w:rsidRDefault="001856D0" w14:paraId="13D20081" w14:textId="77777777">
            <w:pPr>
              <w:jc w:val="right"/>
            </w:pPr>
            <w:r>
              <w:t>351</w:t>
            </w:r>
          </w:p>
        </w:tc>
        <w:tc>
          <w:tcPr>
            <w:tcW w:w="567" w:type="dxa"/>
            <w:tcBorders>
              <w:left w:val="nil"/>
            </w:tcBorders>
          </w:tcPr>
          <w:p w:rsidR="00A757A7" w:rsidRDefault="001856D0" w14:paraId="7A69FE12" w14:textId="77777777">
            <w:pPr>
              <w:jc w:val="right"/>
            </w:pPr>
            <w:r>
              <w:t xml:space="preserve"> </w:t>
            </w:r>
          </w:p>
        </w:tc>
      </w:tr>
    </w:tbl>
    <w:p w:rsidR="00A757A7" w:rsidRDefault="00A757A7" w14:paraId="2377A93D" w14:textId="77777777"/>
    <w:sectPr w:rsidR="00A757A7"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04C6" w14:textId="77777777" w:rsidR="001A47AF" w:rsidRDefault="001A47AF">
      <w:pPr>
        <w:spacing w:before="0" w:after="0"/>
      </w:pPr>
      <w:r>
        <w:separator/>
      </w:r>
    </w:p>
  </w:endnote>
  <w:endnote w:type="continuationSeparator" w:id="0">
    <w:p w14:paraId="07D73E3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3BC9" w14:textId="7CCBB462" w:rsidR="00A757A7"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470F" w14:textId="77777777" w:rsidR="001A47AF" w:rsidRDefault="001A47AF">
      <w:pPr>
        <w:spacing w:before="0" w:after="0"/>
      </w:pPr>
      <w:r>
        <w:separator/>
      </w:r>
    </w:p>
  </w:footnote>
  <w:footnote w:type="continuationSeparator" w:id="0">
    <w:p w14:paraId="18AD8B1A"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2E3D"/>
    <w:rsid w:val="000B0463"/>
    <w:rsid w:val="00140E47"/>
    <w:rsid w:val="001856D0"/>
    <w:rsid w:val="001A47AF"/>
    <w:rsid w:val="001A56AB"/>
    <w:rsid w:val="00240B9B"/>
    <w:rsid w:val="002B3B11"/>
    <w:rsid w:val="003D44DD"/>
    <w:rsid w:val="005543A7"/>
    <w:rsid w:val="00894624"/>
    <w:rsid w:val="00A757A7"/>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DCBD4F"/>
  <w15:docId w15:val="{39548A42-0990-47F6-AC3A-6839BE73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501</ap:Words>
  <ap:Characters>2758</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2025-05-28T13:38:00.0000000Z</dcterms:created>
  <dcterms:modified xsi:type="dcterms:W3CDTF">2025-05-28T13:48:00.0000000Z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f415dfbc-436b-44db-95ea-978948cb8c92</vt:lpwstr>
  </property>
</Properties>
</file>