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6597" w:rsidR="004F6597" w:rsidP="004F6597" w:rsidRDefault="00F20695" w14:paraId="078EEFFB" w14:textId="59C31170">
      <w:pPr>
        <w:ind w:left="2124" w:hanging="2124"/>
        <w:rPr>
          <w:rFonts w:ascii="Calibri" w:hAnsi="Calibri" w:cs="Calibri"/>
          <w:szCs w:val="22"/>
        </w:rPr>
      </w:pPr>
      <w:bookmarkStart w:name="OLE_LINK1" w:id="0"/>
      <w:bookmarkStart w:name="OLE_LINK2" w:id="1"/>
      <w:r w:rsidRPr="004F6597">
        <w:rPr>
          <w:rFonts w:ascii="Calibri" w:hAnsi="Calibri" w:cs="Calibri" w:eastAsiaTheme="minorHAnsi"/>
          <w:bCs/>
          <w:kern w:val="2"/>
          <w:szCs w:val="22"/>
          <w:lang w:eastAsia="en-US"/>
          <w14:ligatures w14:val="standardContextual"/>
        </w:rPr>
        <w:t>22112</w:t>
      </w:r>
      <w:r w:rsidRPr="004F6597" w:rsidR="004F6597">
        <w:rPr>
          <w:rFonts w:ascii="Calibri" w:hAnsi="Calibri" w:cs="Calibri" w:eastAsiaTheme="minorHAnsi"/>
          <w:bCs/>
          <w:kern w:val="2"/>
          <w:szCs w:val="22"/>
          <w:lang w:eastAsia="en-US"/>
          <w14:ligatures w14:val="standardContextual"/>
        </w:rPr>
        <w:tab/>
      </w:r>
      <w:r w:rsidRPr="004F6597" w:rsidR="004F6597">
        <w:rPr>
          <w:rFonts w:ascii="Calibri" w:hAnsi="Calibri" w:cs="Calibri"/>
          <w:szCs w:val="22"/>
        </w:rPr>
        <w:t>Nieuwe Commissievoorstellen en initiatieven van de lidstaten van de Europese Unie</w:t>
      </w:r>
    </w:p>
    <w:p w:rsidRPr="004F6597" w:rsidR="004F6597" w:rsidP="004F6597" w:rsidRDefault="004F6597" w14:paraId="2E1C2739" w14:textId="77777777">
      <w:pPr>
        <w:ind w:left="2124" w:hanging="2124"/>
        <w:rPr>
          <w:rFonts w:ascii="Calibri" w:hAnsi="Calibri" w:cs="Calibri"/>
          <w:szCs w:val="22"/>
        </w:rPr>
      </w:pPr>
    </w:p>
    <w:p w:rsidRPr="004F6597" w:rsidR="004F6597" w:rsidP="00D80872" w:rsidRDefault="004F6597" w14:paraId="70084962" w14:textId="77777777">
      <w:pPr>
        <w:rPr>
          <w:rFonts w:ascii="Calibri" w:hAnsi="Calibri" w:cs="Calibri"/>
          <w:szCs w:val="22"/>
        </w:rPr>
      </w:pPr>
      <w:r w:rsidRPr="004F6597">
        <w:rPr>
          <w:rFonts w:ascii="Calibri" w:hAnsi="Calibri" w:cs="Calibri" w:eastAsiaTheme="minorHAnsi"/>
          <w:bCs/>
          <w:kern w:val="2"/>
          <w:szCs w:val="22"/>
          <w:lang w:eastAsia="en-US"/>
          <w14:ligatures w14:val="standardContextual"/>
        </w:rPr>
        <w:t xml:space="preserve">Nr. </w:t>
      </w:r>
      <w:r w:rsidRPr="004F6597">
        <w:rPr>
          <w:rFonts w:ascii="Calibri" w:hAnsi="Calibri" w:cs="Calibri" w:eastAsiaTheme="minorHAnsi"/>
          <w:bCs/>
          <w:kern w:val="2"/>
          <w:szCs w:val="22"/>
          <w:lang w:eastAsia="en-US"/>
          <w14:ligatures w14:val="standardContextual"/>
        </w:rPr>
        <w:t>4069</w:t>
      </w:r>
      <w:r w:rsidRPr="004F6597">
        <w:rPr>
          <w:rFonts w:ascii="Calibri" w:hAnsi="Calibri" w:cs="Calibri" w:eastAsiaTheme="minorHAnsi"/>
          <w:bCs/>
          <w:kern w:val="2"/>
          <w:szCs w:val="22"/>
          <w:lang w:eastAsia="en-US"/>
          <w14:ligatures w14:val="standardContextual"/>
        </w:rPr>
        <w:tab/>
      </w:r>
      <w:r w:rsidRPr="004F6597">
        <w:rPr>
          <w:rFonts w:ascii="Calibri" w:hAnsi="Calibri" w:cs="Calibri" w:eastAsiaTheme="minorHAnsi"/>
          <w:bCs/>
          <w:kern w:val="2"/>
          <w:szCs w:val="22"/>
          <w:lang w:eastAsia="en-US"/>
          <w14:ligatures w14:val="standardContextual"/>
        </w:rPr>
        <w:tab/>
        <w:t xml:space="preserve">Brief van de </w:t>
      </w:r>
      <w:r w:rsidRPr="004F6597">
        <w:rPr>
          <w:rFonts w:ascii="Calibri" w:hAnsi="Calibri" w:cs="Calibri"/>
          <w:szCs w:val="22"/>
        </w:rPr>
        <w:t>minister van Buitenlandse Zaken</w:t>
      </w:r>
    </w:p>
    <w:p w:rsidRPr="004F6597" w:rsidR="004F6597" w:rsidP="00F20695" w:rsidRDefault="004F6597" w14:paraId="367976A4" w14:textId="1BDF15E5">
      <w:pPr>
        <w:spacing w:after="160" w:line="276" w:lineRule="auto"/>
        <w:rPr>
          <w:rFonts w:ascii="Calibri" w:hAnsi="Calibri" w:cs="Calibri" w:eastAsiaTheme="minorHAnsi"/>
          <w:bCs/>
          <w:kern w:val="2"/>
          <w:szCs w:val="22"/>
          <w:lang w:eastAsia="en-US"/>
          <w14:ligatures w14:val="standardContextual"/>
        </w:rPr>
      </w:pPr>
      <w:r w:rsidRPr="004F6597">
        <w:rPr>
          <w:rFonts w:ascii="Calibri" w:hAnsi="Calibri" w:cs="Calibri" w:eastAsiaTheme="minorHAnsi"/>
          <w:bCs/>
          <w:kern w:val="2"/>
          <w:szCs w:val="22"/>
          <w:lang w:eastAsia="en-US"/>
          <w14:ligatures w14:val="standardContextual"/>
        </w:rPr>
        <w:br/>
        <w:t>Aan de Voorzitter van de Tweede Kamer der Staten-Generaal</w:t>
      </w:r>
    </w:p>
    <w:p w:rsidRPr="004F6597" w:rsidR="004F6597" w:rsidP="00F20695" w:rsidRDefault="004F6597" w14:paraId="375E4D11" w14:textId="64238C61">
      <w:pPr>
        <w:spacing w:after="160" w:line="276" w:lineRule="auto"/>
        <w:rPr>
          <w:rFonts w:ascii="Calibri" w:hAnsi="Calibri" w:cs="Calibri" w:eastAsiaTheme="minorHAnsi"/>
          <w:bCs/>
          <w:kern w:val="2"/>
          <w:szCs w:val="22"/>
          <w:lang w:eastAsia="en-US"/>
          <w14:ligatures w14:val="standardContextual"/>
        </w:rPr>
      </w:pPr>
      <w:r w:rsidRPr="004F6597">
        <w:rPr>
          <w:rFonts w:ascii="Calibri" w:hAnsi="Calibri" w:cs="Calibri" w:eastAsiaTheme="minorHAnsi"/>
          <w:bCs/>
          <w:kern w:val="2"/>
          <w:szCs w:val="22"/>
          <w:lang w:eastAsia="en-US"/>
          <w14:ligatures w14:val="standardContextual"/>
        </w:rPr>
        <w:t>Den Haag, 28 mei 2025</w:t>
      </w:r>
    </w:p>
    <w:p w:rsidRPr="004F6597" w:rsidR="00F20695" w:rsidP="00F20695" w:rsidRDefault="00F20695" w14:paraId="4A91071A" w14:textId="77777777">
      <w:pPr>
        <w:spacing w:after="160" w:line="276" w:lineRule="auto"/>
        <w:rPr>
          <w:rFonts w:ascii="Calibri" w:hAnsi="Calibri" w:cs="Calibri" w:eastAsiaTheme="minorHAnsi"/>
          <w:bCs/>
          <w:kern w:val="2"/>
          <w:szCs w:val="22"/>
          <w:lang w:eastAsia="en-US"/>
          <w14:ligatures w14:val="standardContextual"/>
        </w:rPr>
      </w:pPr>
    </w:p>
    <w:p w:rsidRPr="004F6597" w:rsidR="00F20695" w:rsidP="00F20695" w:rsidRDefault="00F20695" w14:paraId="38CA4796" w14:textId="77777777">
      <w:pPr>
        <w:spacing w:after="160" w:line="276" w:lineRule="auto"/>
        <w:rPr>
          <w:rFonts w:ascii="Calibri" w:hAnsi="Calibri" w:cs="Calibri" w:eastAsiaTheme="minorHAnsi"/>
          <w:bCs/>
          <w:kern w:val="2"/>
          <w:szCs w:val="22"/>
          <w:lang w:eastAsia="en-US"/>
          <w14:ligatures w14:val="standardContextual"/>
        </w:rPr>
      </w:pPr>
      <w:r w:rsidRPr="004F6597">
        <w:rPr>
          <w:rFonts w:ascii="Calibri" w:hAnsi="Calibri" w:cs="Calibri" w:eastAsiaTheme="minorHAnsi"/>
          <w:bCs/>
          <w:kern w:val="2"/>
          <w:szCs w:val="22"/>
          <w:lang w:eastAsia="en-US"/>
          <w14:ligatures w14:val="standardContextual"/>
        </w:rPr>
        <w:t>Overeenkomstig de bestaande afspraken ontvangt u hierbij 4 fiches die werden opgesteld door de werkgroep Beoordeling Nieuwe Commissie voorstellen (BNC).</w:t>
      </w:r>
    </w:p>
    <w:p w:rsidRPr="004F6597" w:rsidR="00F20695" w:rsidP="00F20695" w:rsidRDefault="00F20695" w14:paraId="432928D9" w14:textId="77777777">
      <w:pPr>
        <w:spacing w:after="160" w:line="276" w:lineRule="auto"/>
        <w:rPr>
          <w:rFonts w:ascii="Calibri" w:hAnsi="Calibri" w:cs="Calibri" w:eastAsiaTheme="minorHAnsi"/>
          <w:bCs/>
          <w:kern w:val="2"/>
          <w:szCs w:val="22"/>
          <w:lang w:eastAsia="en-US"/>
          <w14:ligatures w14:val="standardContextual"/>
        </w:rPr>
      </w:pPr>
    </w:p>
    <w:p w:rsidRPr="004F6597" w:rsidR="00F20695" w:rsidP="00F20695" w:rsidRDefault="00F20695" w14:paraId="1D10E121" w14:textId="03A66ED7">
      <w:pPr>
        <w:spacing w:after="160" w:line="276" w:lineRule="auto"/>
        <w:rPr>
          <w:rFonts w:ascii="Calibri" w:hAnsi="Calibri" w:cs="Calibri" w:eastAsiaTheme="minorHAnsi"/>
          <w:bCs/>
          <w:kern w:val="2"/>
          <w:szCs w:val="22"/>
          <w:lang w:eastAsia="en-US"/>
          <w14:ligatures w14:val="standardContextual"/>
        </w:rPr>
      </w:pPr>
      <w:r w:rsidRPr="004F6597">
        <w:rPr>
          <w:rFonts w:ascii="Calibri" w:hAnsi="Calibri" w:cs="Calibri" w:eastAsiaTheme="minorHAnsi"/>
          <w:bCs/>
          <w:kern w:val="2"/>
          <w:szCs w:val="22"/>
          <w:lang w:eastAsia="en-US"/>
          <w14:ligatures w14:val="standardContextual"/>
        </w:rPr>
        <w:t xml:space="preserve">Fiche: </w:t>
      </w:r>
      <w:r w:rsidRPr="004F6597" w:rsidR="00FF016D">
        <w:rPr>
          <w:rFonts w:ascii="Calibri" w:hAnsi="Calibri" w:cs="Calibri" w:eastAsiaTheme="minorHAnsi"/>
          <w:bCs/>
          <w:kern w:val="2"/>
          <w:szCs w:val="22"/>
          <w:lang w:eastAsia="en-US"/>
          <w14:ligatures w14:val="standardContextual"/>
        </w:rPr>
        <w:t xml:space="preserve">Herziening EU-verordeningen ter stimulering van </w:t>
      </w:r>
      <w:r w:rsidRPr="004F6597" w:rsidR="00CA0DFD">
        <w:rPr>
          <w:rFonts w:ascii="Calibri" w:hAnsi="Calibri" w:cs="Calibri" w:eastAsiaTheme="minorHAnsi"/>
          <w:bCs/>
          <w:kern w:val="2"/>
          <w:szCs w:val="22"/>
          <w:lang w:eastAsia="en-US"/>
          <w14:ligatures w14:val="standardContextual"/>
        </w:rPr>
        <w:t>defensie gerelateerde</w:t>
      </w:r>
      <w:r w:rsidRPr="004F6597" w:rsidR="00FF016D">
        <w:rPr>
          <w:rFonts w:ascii="Calibri" w:hAnsi="Calibri" w:cs="Calibri" w:eastAsiaTheme="minorHAnsi"/>
          <w:bCs/>
          <w:kern w:val="2"/>
          <w:szCs w:val="22"/>
          <w:lang w:eastAsia="en-US"/>
          <w14:ligatures w14:val="standardContextual"/>
        </w:rPr>
        <w:t xml:space="preserve"> investeringen ter uitvoering van het </w:t>
      </w:r>
      <w:proofErr w:type="spellStart"/>
      <w:r w:rsidRPr="004F6597" w:rsidR="00FF016D">
        <w:rPr>
          <w:rFonts w:ascii="Calibri" w:hAnsi="Calibri" w:cs="Calibri" w:eastAsiaTheme="minorHAnsi"/>
          <w:bCs/>
          <w:kern w:val="2"/>
          <w:szCs w:val="22"/>
          <w:lang w:eastAsia="en-US"/>
          <w14:ligatures w14:val="standardContextual"/>
        </w:rPr>
        <w:t>ReArm</w:t>
      </w:r>
      <w:proofErr w:type="spellEnd"/>
      <w:r w:rsidRPr="004F6597" w:rsidR="00FF016D">
        <w:rPr>
          <w:rFonts w:ascii="Calibri" w:hAnsi="Calibri" w:cs="Calibri" w:eastAsiaTheme="minorHAnsi"/>
          <w:bCs/>
          <w:kern w:val="2"/>
          <w:szCs w:val="22"/>
          <w:lang w:eastAsia="en-US"/>
          <w14:ligatures w14:val="standardContextual"/>
        </w:rPr>
        <w:t xml:space="preserve"> Europe Plan</w:t>
      </w:r>
    </w:p>
    <w:p w:rsidRPr="004F6597" w:rsidR="00F20695" w:rsidP="00F20695" w:rsidRDefault="00F20695" w14:paraId="2B996FBA" w14:textId="071D3054">
      <w:pPr>
        <w:spacing w:after="160" w:line="276" w:lineRule="auto"/>
        <w:rPr>
          <w:rFonts w:ascii="Calibri" w:hAnsi="Calibri" w:cs="Calibri" w:eastAsiaTheme="minorHAnsi"/>
          <w:bCs/>
          <w:kern w:val="2"/>
          <w:szCs w:val="22"/>
          <w:lang w:eastAsia="en-US"/>
          <w14:ligatures w14:val="standardContextual"/>
        </w:rPr>
      </w:pPr>
      <w:r w:rsidRPr="004F6597">
        <w:rPr>
          <w:rFonts w:ascii="Calibri" w:hAnsi="Calibri" w:cs="Calibri" w:eastAsiaTheme="minorHAnsi"/>
          <w:bCs/>
          <w:kern w:val="2"/>
          <w:szCs w:val="22"/>
          <w:lang w:eastAsia="en-US"/>
          <w14:ligatures w14:val="standardContextual"/>
        </w:rPr>
        <w:t xml:space="preserve">Fiche: </w:t>
      </w:r>
      <w:r w:rsidRPr="004F6597" w:rsidR="00FF016D">
        <w:rPr>
          <w:rFonts w:ascii="Calibri" w:hAnsi="Calibri" w:cs="Calibri" w:eastAsiaTheme="minorHAnsi"/>
          <w:bCs/>
          <w:kern w:val="2"/>
          <w:szCs w:val="22"/>
          <w:lang w:eastAsia="en-US"/>
          <w14:ligatures w14:val="standardContextual"/>
        </w:rPr>
        <w:t>Herziening Richtlijn periodieke technische controle van motorvoertuigen en aanhangwagens en Herziening Richtlijn technische controles langs de weg</w:t>
      </w:r>
      <w:r w:rsidRPr="004F6597">
        <w:rPr>
          <w:rFonts w:ascii="Calibri" w:hAnsi="Calibri" w:cs="Calibri" w:eastAsiaTheme="minorHAnsi"/>
          <w:bCs/>
          <w:kern w:val="2"/>
          <w:szCs w:val="22"/>
          <w:lang w:eastAsia="en-US"/>
          <w14:ligatures w14:val="standardContextual"/>
        </w:rPr>
        <w:t xml:space="preserve"> (Kamerstuk 22 112, nr. 4070)</w:t>
      </w:r>
    </w:p>
    <w:p w:rsidRPr="004F6597" w:rsidR="00F20695" w:rsidP="00F20695" w:rsidRDefault="00F20695" w14:paraId="38600A03" w14:textId="6898CA25">
      <w:pPr>
        <w:spacing w:after="160" w:line="276" w:lineRule="auto"/>
        <w:rPr>
          <w:rFonts w:ascii="Calibri" w:hAnsi="Calibri" w:cs="Calibri" w:eastAsiaTheme="minorHAnsi"/>
          <w:bCs/>
          <w:kern w:val="2"/>
          <w:szCs w:val="22"/>
          <w:lang w:eastAsia="en-US"/>
          <w14:ligatures w14:val="standardContextual"/>
        </w:rPr>
      </w:pPr>
      <w:r w:rsidRPr="004F6597">
        <w:rPr>
          <w:rFonts w:ascii="Calibri" w:hAnsi="Calibri" w:cs="Calibri" w:eastAsiaTheme="minorHAnsi"/>
          <w:bCs/>
          <w:kern w:val="2"/>
          <w:szCs w:val="22"/>
          <w:lang w:eastAsia="en-US"/>
          <w14:ligatures w14:val="standardContextual"/>
        </w:rPr>
        <w:t xml:space="preserve">Fiche: </w:t>
      </w:r>
      <w:r w:rsidRPr="004F6597" w:rsidR="00FF016D">
        <w:rPr>
          <w:rFonts w:ascii="Calibri" w:hAnsi="Calibri" w:cs="Calibri" w:eastAsiaTheme="minorHAnsi"/>
          <w:bCs/>
          <w:kern w:val="2"/>
          <w:szCs w:val="22"/>
          <w:lang w:eastAsia="en-US"/>
          <w14:ligatures w14:val="standardContextual"/>
        </w:rPr>
        <w:t xml:space="preserve">Herziening Richtlijn voor kentekenbewijzen voor motorvoertuigen </w:t>
      </w:r>
      <w:r w:rsidRPr="004F6597">
        <w:rPr>
          <w:rFonts w:ascii="Calibri" w:hAnsi="Calibri" w:cs="Calibri" w:eastAsiaTheme="minorHAnsi"/>
          <w:bCs/>
          <w:kern w:val="2"/>
          <w:szCs w:val="22"/>
          <w:lang w:eastAsia="en-US"/>
          <w14:ligatures w14:val="standardContextual"/>
        </w:rPr>
        <w:t>(Kamerstuk 22 112, nr. 4071)</w:t>
      </w:r>
    </w:p>
    <w:p w:rsidRPr="004F6597" w:rsidR="00F20695" w:rsidP="00F20695" w:rsidRDefault="00F20695" w14:paraId="576CEDF4" w14:textId="562D36F7">
      <w:pPr>
        <w:spacing w:after="160" w:line="276" w:lineRule="auto"/>
        <w:rPr>
          <w:rFonts w:ascii="Calibri" w:hAnsi="Calibri" w:cs="Calibri" w:eastAsiaTheme="minorHAnsi"/>
          <w:bCs/>
          <w:kern w:val="2"/>
          <w:szCs w:val="22"/>
          <w:lang w:eastAsia="en-US"/>
          <w14:ligatures w14:val="standardContextual"/>
        </w:rPr>
      </w:pPr>
      <w:r w:rsidRPr="004F6597">
        <w:rPr>
          <w:rFonts w:ascii="Calibri" w:hAnsi="Calibri" w:cs="Calibri" w:eastAsiaTheme="minorHAnsi"/>
          <w:bCs/>
          <w:kern w:val="2"/>
          <w:szCs w:val="22"/>
          <w:lang w:eastAsia="en-US"/>
          <w14:ligatures w14:val="standardContextual"/>
        </w:rPr>
        <w:t xml:space="preserve">Fiche: </w:t>
      </w:r>
      <w:r w:rsidRPr="004F6597" w:rsidR="00FF016D">
        <w:rPr>
          <w:rFonts w:ascii="Calibri" w:hAnsi="Calibri" w:cs="Calibri" w:eastAsiaTheme="minorHAnsi"/>
          <w:bCs/>
          <w:kern w:val="2"/>
          <w:szCs w:val="22"/>
          <w:lang w:eastAsia="en-US"/>
          <w14:ligatures w14:val="standardContextual"/>
        </w:rPr>
        <w:t xml:space="preserve">Richtlijn Behoud en duurzame gebruik van de mariene biodiversiteit van gebieden voorbij de grenzen van de nationale rechtsmacht (BBNJ) </w:t>
      </w:r>
      <w:r w:rsidRPr="004F6597">
        <w:rPr>
          <w:rFonts w:ascii="Calibri" w:hAnsi="Calibri" w:cs="Calibri" w:eastAsiaTheme="minorHAnsi"/>
          <w:bCs/>
          <w:kern w:val="2"/>
          <w:szCs w:val="22"/>
          <w:lang w:eastAsia="en-US"/>
          <w14:ligatures w14:val="standardContextual"/>
        </w:rPr>
        <w:t>(Kamerstuk 22 112, nr. 4072)</w:t>
      </w:r>
    </w:p>
    <w:p w:rsidRPr="004F6597" w:rsidR="00F20695" w:rsidP="00F20695" w:rsidRDefault="00F20695" w14:paraId="08F193D1" w14:textId="77777777">
      <w:pPr>
        <w:spacing w:after="160" w:line="276" w:lineRule="auto"/>
        <w:rPr>
          <w:rFonts w:ascii="Calibri" w:hAnsi="Calibri" w:cs="Calibri" w:eastAsiaTheme="minorHAnsi"/>
          <w:bCs/>
          <w:kern w:val="2"/>
          <w:szCs w:val="22"/>
          <w:lang w:eastAsia="en-US"/>
          <w14:ligatures w14:val="standardContextual"/>
        </w:rPr>
      </w:pPr>
    </w:p>
    <w:p w:rsidRPr="004F6597" w:rsidR="00F20695" w:rsidP="004F6597" w:rsidRDefault="00F20695" w14:paraId="22FA3135" w14:textId="77777777">
      <w:pPr>
        <w:pStyle w:val="Geenafstand"/>
        <w:rPr>
          <w:rFonts w:ascii="Calibri" w:hAnsi="Calibri" w:cs="Calibri" w:eastAsiaTheme="minorHAnsi"/>
          <w:szCs w:val="22"/>
          <w:lang w:eastAsia="en-US"/>
        </w:rPr>
      </w:pPr>
      <w:r w:rsidRPr="004F6597">
        <w:rPr>
          <w:rFonts w:ascii="Calibri" w:hAnsi="Calibri" w:cs="Calibri" w:eastAsiaTheme="minorHAnsi"/>
          <w:szCs w:val="22"/>
          <w:lang w:eastAsia="en-US"/>
        </w:rPr>
        <w:t>De minister van Buitenlandse Zaken,</w:t>
      </w:r>
    </w:p>
    <w:p w:rsidRPr="004F6597" w:rsidR="00F20695" w:rsidP="004F6597" w:rsidRDefault="004F6597" w14:paraId="2EBCECB5" w14:textId="271143DD">
      <w:pPr>
        <w:pStyle w:val="Geenafstand"/>
        <w:rPr>
          <w:rFonts w:ascii="Calibri" w:hAnsi="Calibri" w:cs="Calibri" w:eastAsiaTheme="minorHAnsi"/>
          <w:szCs w:val="22"/>
          <w:lang w:eastAsia="en-US"/>
        </w:rPr>
      </w:pPr>
      <w:r w:rsidRPr="004F6597">
        <w:rPr>
          <w:rFonts w:ascii="Calibri" w:hAnsi="Calibri" w:cs="Calibri" w:eastAsiaTheme="minorHAnsi"/>
          <w:szCs w:val="22"/>
          <w:lang w:eastAsia="en-US"/>
        </w:rPr>
        <w:t xml:space="preserve">C.C.J. </w:t>
      </w:r>
      <w:r w:rsidRPr="004F6597" w:rsidR="00F20695">
        <w:rPr>
          <w:rFonts w:ascii="Calibri" w:hAnsi="Calibri" w:cs="Calibri" w:eastAsiaTheme="minorHAnsi"/>
          <w:szCs w:val="22"/>
          <w:lang w:eastAsia="en-US"/>
        </w:rPr>
        <w:t>Veldkamp</w:t>
      </w:r>
    </w:p>
    <w:p w:rsidRPr="004F6597" w:rsidR="00F20695" w:rsidP="00F20695" w:rsidRDefault="00F20695" w14:paraId="20D1AF73" w14:textId="77777777">
      <w:pPr>
        <w:spacing w:after="160" w:line="259" w:lineRule="auto"/>
        <w:rPr>
          <w:rFonts w:ascii="Calibri" w:hAnsi="Calibri" w:cs="Calibri" w:eastAsiaTheme="minorHAnsi"/>
          <w:kern w:val="2"/>
          <w:szCs w:val="22"/>
          <w:lang w:eastAsia="en-US"/>
          <w14:ligatures w14:val="standardContextual"/>
        </w:rPr>
      </w:pPr>
    </w:p>
    <w:p w:rsidRPr="004F6597" w:rsidR="00F20695" w:rsidP="00142099" w:rsidRDefault="00F20695" w14:paraId="556BA206" w14:textId="77777777">
      <w:pPr>
        <w:rPr>
          <w:rFonts w:ascii="Calibri" w:hAnsi="Calibri" w:cs="Calibri"/>
          <w:b/>
          <w:bCs/>
          <w:szCs w:val="22"/>
        </w:rPr>
      </w:pPr>
    </w:p>
    <w:p w:rsidRPr="004F6597" w:rsidR="00F20695" w:rsidP="00142099" w:rsidRDefault="00F20695" w14:paraId="61B3ABF3" w14:textId="77777777">
      <w:pPr>
        <w:rPr>
          <w:rFonts w:ascii="Calibri" w:hAnsi="Calibri" w:cs="Calibri"/>
          <w:b/>
          <w:bCs/>
          <w:szCs w:val="22"/>
        </w:rPr>
      </w:pPr>
    </w:p>
    <w:p w:rsidRPr="004F6597" w:rsidR="00F20695" w:rsidP="00142099" w:rsidRDefault="00F20695" w14:paraId="3EE32A9A" w14:textId="77777777">
      <w:pPr>
        <w:rPr>
          <w:rFonts w:ascii="Calibri" w:hAnsi="Calibri" w:cs="Calibri"/>
          <w:b/>
          <w:bCs/>
          <w:szCs w:val="22"/>
        </w:rPr>
      </w:pPr>
    </w:p>
    <w:p w:rsidRPr="004F6597" w:rsidR="00F20695" w:rsidP="00142099" w:rsidRDefault="00F20695" w14:paraId="3856C89B" w14:textId="77777777">
      <w:pPr>
        <w:rPr>
          <w:rFonts w:ascii="Calibri" w:hAnsi="Calibri" w:cs="Calibri"/>
          <w:b/>
          <w:bCs/>
          <w:szCs w:val="22"/>
        </w:rPr>
      </w:pPr>
    </w:p>
    <w:p w:rsidRPr="004F6597" w:rsidR="00F20695" w:rsidP="00142099" w:rsidRDefault="00F20695" w14:paraId="58584AD2" w14:textId="77777777">
      <w:pPr>
        <w:rPr>
          <w:rFonts w:ascii="Calibri" w:hAnsi="Calibri" w:cs="Calibri"/>
          <w:b/>
          <w:bCs/>
          <w:szCs w:val="22"/>
        </w:rPr>
      </w:pPr>
    </w:p>
    <w:p w:rsidRPr="004F6597" w:rsidR="00F20695" w:rsidP="00142099" w:rsidRDefault="00F20695" w14:paraId="51039F62" w14:textId="77777777">
      <w:pPr>
        <w:rPr>
          <w:rFonts w:ascii="Calibri" w:hAnsi="Calibri" w:cs="Calibri"/>
          <w:b/>
          <w:bCs/>
          <w:szCs w:val="22"/>
        </w:rPr>
      </w:pPr>
    </w:p>
    <w:p w:rsidRPr="004F6597" w:rsidR="00F20695" w:rsidP="00142099" w:rsidRDefault="00F20695" w14:paraId="74561538" w14:textId="77777777">
      <w:pPr>
        <w:rPr>
          <w:rFonts w:ascii="Calibri" w:hAnsi="Calibri" w:cs="Calibri"/>
          <w:b/>
          <w:bCs/>
          <w:szCs w:val="22"/>
        </w:rPr>
      </w:pPr>
    </w:p>
    <w:p w:rsidRPr="004F6597" w:rsidR="00F20695" w:rsidP="00142099" w:rsidRDefault="00F20695" w14:paraId="2D722DA5" w14:textId="77777777">
      <w:pPr>
        <w:rPr>
          <w:rFonts w:ascii="Calibri" w:hAnsi="Calibri" w:cs="Calibri"/>
          <w:b/>
          <w:bCs/>
          <w:szCs w:val="22"/>
        </w:rPr>
      </w:pPr>
    </w:p>
    <w:p w:rsidRPr="004F6597" w:rsidR="00F20695" w:rsidP="00142099" w:rsidRDefault="00F20695" w14:paraId="15934816" w14:textId="77777777">
      <w:pPr>
        <w:rPr>
          <w:rFonts w:ascii="Calibri" w:hAnsi="Calibri" w:cs="Calibri"/>
          <w:b/>
          <w:bCs/>
          <w:szCs w:val="22"/>
        </w:rPr>
      </w:pPr>
    </w:p>
    <w:p w:rsidRPr="004F6597" w:rsidR="00F20695" w:rsidP="00142099" w:rsidRDefault="00F20695" w14:paraId="34B95696" w14:textId="77777777">
      <w:pPr>
        <w:rPr>
          <w:rFonts w:ascii="Calibri" w:hAnsi="Calibri" w:cs="Calibri"/>
          <w:b/>
          <w:bCs/>
          <w:szCs w:val="22"/>
        </w:rPr>
      </w:pPr>
    </w:p>
    <w:p w:rsidRPr="004F6597" w:rsidR="00F20695" w:rsidP="00142099" w:rsidRDefault="00F20695" w14:paraId="1710D395" w14:textId="77777777">
      <w:pPr>
        <w:rPr>
          <w:rFonts w:ascii="Calibri" w:hAnsi="Calibri" w:cs="Calibri"/>
          <w:b/>
          <w:bCs/>
          <w:szCs w:val="22"/>
        </w:rPr>
      </w:pPr>
    </w:p>
    <w:p w:rsidRPr="004F6597" w:rsidR="00F20695" w:rsidP="00142099" w:rsidRDefault="00F20695" w14:paraId="216B04E2" w14:textId="77777777">
      <w:pPr>
        <w:rPr>
          <w:rFonts w:ascii="Calibri" w:hAnsi="Calibri" w:cs="Calibri"/>
          <w:b/>
          <w:bCs/>
          <w:szCs w:val="22"/>
        </w:rPr>
      </w:pPr>
    </w:p>
    <w:p w:rsidRPr="004F6597" w:rsidR="00F20695" w:rsidP="00142099" w:rsidRDefault="00F20695" w14:paraId="24451A1F" w14:textId="77777777">
      <w:pPr>
        <w:rPr>
          <w:rFonts w:ascii="Calibri" w:hAnsi="Calibri" w:cs="Calibri"/>
          <w:b/>
          <w:bCs/>
          <w:szCs w:val="22"/>
        </w:rPr>
      </w:pPr>
    </w:p>
    <w:p w:rsidRPr="004F6597" w:rsidR="00F20695" w:rsidP="00142099" w:rsidRDefault="00F20695" w14:paraId="6CFB8CA6" w14:textId="77777777">
      <w:pPr>
        <w:rPr>
          <w:rFonts w:ascii="Calibri" w:hAnsi="Calibri" w:cs="Calibri"/>
          <w:b/>
          <w:bCs/>
          <w:szCs w:val="22"/>
        </w:rPr>
      </w:pPr>
    </w:p>
    <w:p w:rsidR="004F6597" w:rsidRDefault="004F6597" w14:paraId="6C85CCDB" w14:textId="77777777">
      <w:pPr>
        <w:spacing w:after="160" w:line="259" w:lineRule="auto"/>
        <w:rPr>
          <w:rFonts w:ascii="Calibri" w:hAnsi="Calibri" w:cs="Calibri"/>
          <w:b/>
          <w:bCs/>
          <w:szCs w:val="22"/>
        </w:rPr>
      </w:pPr>
      <w:r>
        <w:rPr>
          <w:rFonts w:ascii="Calibri" w:hAnsi="Calibri" w:cs="Calibri"/>
          <w:b/>
          <w:bCs/>
          <w:szCs w:val="22"/>
        </w:rPr>
        <w:br w:type="page"/>
      </w:r>
    </w:p>
    <w:p w:rsidRPr="004F6597" w:rsidR="00827EB0" w:rsidP="00142099" w:rsidRDefault="00827EB0" w14:paraId="19A17A0E" w14:textId="7FA15D50">
      <w:pPr>
        <w:rPr>
          <w:rFonts w:ascii="Calibri" w:hAnsi="Calibri" w:cs="Calibri"/>
          <w:b/>
          <w:bCs/>
          <w:szCs w:val="22"/>
        </w:rPr>
      </w:pPr>
      <w:r w:rsidRPr="004F6597">
        <w:rPr>
          <w:rFonts w:ascii="Calibri" w:hAnsi="Calibri" w:cs="Calibri"/>
          <w:b/>
          <w:bCs/>
          <w:szCs w:val="22"/>
        </w:rPr>
        <w:lastRenderedPageBreak/>
        <w:t xml:space="preserve">Fiche: </w:t>
      </w:r>
      <w:r w:rsidRPr="004F6597" w:rsidR="00BC7013">
        <w:rPr>
          <w:rFonts w:ascii="Calibri" w:hAnsi="Calibri" w:cs="Calibri"/>
          <w:b/>
          <w:bCs/>
          <w:szCs w:val="22"/>
        </w:rPr>
        <w:t>Herziening</w:t>
      </w:r>
      <w:r w:rsidRPr="004F6597">
        <w:rPr>
          <w:rFonts w:ascii="Calibri" w:hAnsi="Calibri" w:cs="Calibri"/>
          <w:b/>
          <w:bCs/>
          <w:szCs w:val="22"/>
        </w:rPr>
        <w:t xml:space="preserve"> </w:t>
      </w:r>
      <w:r w:rsidRPr="004F6597" w:rsidR="00BC7013">
        <w:rPr>
          <w:rFonts w:ascii="Calibri" w:hAnsi="Calibri" w:cs="Calibri"/>
          <w:b/>
          <w:bCs/>
          <w:szCs w:val="22"/>
        </w:rPr>
        <w:t xml:space="preserve">EU-verordeningen ter stimulering van </w:t>
      </w:r>
      <w:proofErr w:type="spellStart"/>
      <w:r w:rsidRPr="004F6597" w:rsidR="00BC7013">
        <w:rPr>
          <w:rFonts w:ascii="Calibri" w:hAnsi="Calibri" w:cs="Calibri"/>
          <w:b/>
          <w:bCs/>
          <w:szCs w:val="22"/>
        </w:rPr>
        <w:t>defensiegerelateerde</w:t>
      </w:r>
      <w:proofErr w:type="spellEnd"/>
      <w:r w:rsidRPr="004F6597" w:rsidR="00BC7013">
        <w:rPr>
          <w:rFonts w:ascii="Calibri" w:hAnsi="Calibri" w:cs="Calibri"/>
          <w:b/>
          <w:bCs/>
          <w:szCs w:val="22"/>
        </w:rPr>
        <w:t xml:space="preserve"> investeringen ter uitvoering van het </w:t>
      </w:r>
      <w:proofErr w:type="spellStart"/>
      <w:r w:rsidRPr="004F6597" w:rsidR="00BC7013">
        <w:rPr>
          <w:rFonts w:ascii="Calibri" w:hAnsi="Calibri" w:cs="Calibri"/>
          <w:b/>
          <w:bCs/>
          <w:szCs w:val="22"/>
        </w:rPr>
        <w:t>ReArm</w:t>
      </w:r>
      <w:proofErr w:type="spellEnd"/>
      <w:r w:rsidRPr="004F6597" w:rsidR="00BC7013">
        <w:rPr>
          <w:rFonts w:ascii="Calibri" w:hAnsi="Calibri" w:cs="Calibri"/>
          <w:b/>
          <w:bCs/>
          <w:szCs w:val="22"/>
        </w:rPr>
        <w:t xml:space="preserve"> Europe Plan</w:t>
      </w:r>
    </w:p>
    <w:p w:rsidRPr="004F6597" w:rsidR="00C90670" w:rsidP="00142099" w:rsidRDefault="00C90670" w14:paraId="34FFA264" w14:textId="77777777">
      <w:pPr>
        <w:rPr>
          <w:rFonts w:ascii="Calibri" w:hAnsi="Calibri" w:cs="Calibri"/>
          <w:b/>
          <w:bCs/>
          <w:i/>
          <w:iCs/>
          <w:szCs w:val="22"/>
        </w:rPr>
      </w:pPr>
    </w:p>
    <w:p w:rsidRPr="004F6597" w:rsidR="00827EB0" w:rsidP="00827EB0" w:rsidRDefault="00827EB0" w14:paraId="62D436D6" w14:textId="77777777">
      <w:pPr>
        <w:spacing w:line="360" w:lineRule="auto"/>
        <w:rPr>
          <w:rFonts w:ascii="Calibri" w:hAnsi="Calibri" w:cs="Calibri"/>
          <w:szCs w:val="22"/>
        </w:rPr>
      </w:pPr>
    </w:p>
    <w:p w:rsidRPr="004F6597" w:rsidR="00827EB0" w:rsidP="00DF720F" w:rsidRDefault="00827EB0" w14:paraId="0248A216" w14:textId="77777777">
      <w:pPr>
        <w:numPr>
          <w:ilvl w:val="0"/>
          <w:numId w:val="5"/>
        </w:numPr>
        <w:spacing w:line="360" w:lineRule="auto"/>
        <w:rPr>
          <w:rFonts w:ascii="Calibri" w:hAnsi="Calibri" w:cs="Calibri"/>
          <w:b/>
          <w:bCs/>
          <w:szCs w:val="22"/>
        </w:rPr>
      </w:pPr>
      <w:r w:rsidRPr="004F6597">
        <w:rPr>
          <w:rFonts w:ascii="Calibri" w:hAnsi="Calibri" w:cs="Calibri"/>
          <w:b/>
          <w:bCs/>
          <w:szCs w:val="22"/>
        </w:rPr>
        <w:t>Algemene gegevens</w:t>
      </w:r>
    </w:p>
    <w:p w:rsidRPr="004F6597" w:rsidR="00827EB0" w:rsidP="57656AB0" w:rsidRDefault="00827EB0" w14:paraId="377EE083" w14:textId="77777777">
      <w:pPr>
        <w:numPr>
          <w:ilvl w:val="0"/>
          <w:numId w:val="6"/>
        </w:numPr>
        <w:spacing w:line="360" w:lineRule="auto"/>
        <w:rPr>
          <w:rFonts w:ascii="Calibri" w:hAnsi="Calibri" w:cs="Calibri"/>
          <w:i/>
          <w:iCs/>
          <w:szCs w:val="22"/>
        </w:rPr>
      </w:pPr>
      <w:r w:rsidRPr="004F6597">
        <w:rPr>
          <w:rFonts w:ascii="Calibri" w:hAnsi="Calibri" w:cs="Calibri"/>
          <w:i/>
          <w:iCs/>
          <w:szCs w:val="22"/>
        </w:rPr>
        <w:t>Titel voorstel</w:t>
      </w:r>
    </w:p>
    <w:p w:rsidRPr="004F6597" w:rsidR="00E44386" w:rsidP="00E44386" w:rsidRDefault="00E44386" w14:paraId="3237CB3E" w14:textId="77777777">
      <w:pPr>
        <w:spacing w:line="360" w:lineRule="auto"/>
        <w:rPr>
          <w:rFonts w:ascii="Calibri" w:hAnsi="Calibri" w:cs="Calibri"/>
          <w:szCs w:val="22"/>
        </w:rPr>
      </w:pPr>
      <w:r w:rsidRPr="004F6597">
        <w:rPr>
          <w:rFonts w:ascii="Calibri" w:hAnsi="Calibri" w:cs="Calibri"/>
          <w:szCs w:val="22"/>
        </w:rPr>
        <w:t xml:space="preserve">Herziening EU-verordeningen ter stimulering van </w:t>
      </w:r>
      <w:proofErr w:type="spellStart"/>
      <w:r w:rsidRPr="004F6597">
        <w:rPr>
          <w:rFonts w:ascii="Calibri" w:hAnsi="Calibri" w:cs="Calibri"/>
          <w:szCs w:val="22"/>
        </w:rPr>
        <w:t>defensiegerelateerde</w:t>
      </w:r>
      <w:proofErr w:type="spellEnd"/>
      <w:r w:rsidRPr="004F6597">
        <w:rPr>
          <w:rFonts w:ascii="Calibri" w:hAnsi="Calibri" w:cs="Calibri"/>
          <w:szCs w:val="22"/>
        </w:rPr>
        <w:t xml:space="preserve"> investeringen ter uitvoering van het </w:t>
      </w:r>
      <w:proofErr w:type="spellStart"/>
      <w:r w:rsidRPr="004F6597">
        <w:rPr>
          <w:rFonts w:ascii="Calibri" w:hAnsi="Calibri" w:cs="Calibri"/>
          <w:szCs w:val="22"/>
        </w:rPr>
        <w:t>ReArm</w:t>
      </w:r>
      <w:proofErr w:type="spellEnd"/>
      <w:r w:rsidRPr="004F6597">
        <w:rPr>
          <w:rFonts w:ascii="Calibri" w:hAnsi="Calibri" w:cs="Calibri"/>
          <w:szCs w:val="22"/>
        </w:rPr>
        <w:t xml:space="preserve"> Europe Plan.</w:t>
      </w:r>
    </w:p>
    <w:p w:rsidRPr="004F6597" w:rsidR="00827EB0" w:rsidP="00827EB0" w:rsidRDefault="00827EB0" w14:paraId="255DDCD2" w14:textId="77777777">
      <w:pPr>
        <w:spacing w:line="360" w:lineRule="auto"/>
        <w:rPr>
          <w:rFonts w:ascii="Calibri" w:hAnsi="Calibri" w:cs="Calibri"/>
          <w:iCs/>
          <w:szCs w:val="22"/>
        </w:rPr>
      </w:pPr>
    </w:p>
    <w:p w:rsidRPr="004F6597" w:rsidR="00827EB0" w:rsidP="57656AB0" w:rsidRDefault="00827EB0" w14:paraId="1CED264E" w14:textId="77777777">
      <w:pPr>
        <w:numPr>
          <w:ilvl w:val="0"/>
          <w:numId w:val="6"/>
        </w:numPr>
        <w:spacing w:line="360" w:lineRule="auto"/>
        <w:rPr>
          <w:rFonts w:ascii="Calibri" w:hAnsi="Calibri" w:cs="Calibri"/>
          <w:i/>
          <w:iCs/>
          <w:szCs w:val="22"/>
        </w:rPr>
      </w:pPr>
      <w:r w:rsidRPr="004F6597">
        <w:rPr>
          <w:rFonts w:ascii="Calibri" w:hAnsi="Calibri" w:cs="Calibri"/>
          <w:i/>
          <w:iCs/>
          <w:szCs w:val="22"/>
        </w:rPr>
        <w:t>Datum ontvangst Commissiedocument</w:t>
      </w:r>
    </w:p>
    <w:p w:rsidRPr="004F6597" w:rsidR="00827EB0" w:rsidP="00827EB0" w:rsidRDefault="00827EB0" w14:paraId="50E332C9" w14:textId="77777777">
      <w:pPr>
        <w:spacing w:line="360" w:lineRule="auto"/>
        <w:rPr>
          <w:rFonts w:ascii="Calibri" w:hAnsi="Calibri" w:cs="Calibri"/>
          <w:szCs w:val="22"/>
        </w:rPr>
      </w:pPr>
      <w:r w:rsidRPr="004F6597">
        <w:rPr>
          <w:rFonts w:ascii="Calibri" w:hAnsi="Calibri" w:cs="Calibri"/>
          <w:szCs w:val="22"/>
        </w:rPr>
        <w:t>22 april 2025</w:t>
      </w:r>
    </w:p>
    <w:p w:rsidRPr="004F6597" w:rsidR="00827EB0" w:rsidP="00827EB0" w:rsidRDefault="00827EB0" w14:paraId="3720288E" w14:textId="77777777">
      <w:pPr>
        <w:spacing w:line="360" w:lineRule="auto"/>
        <w:rPr>
          <w:rFonts w:ascii="Calibri" w:hAnsi="Calibri" w:cs="Calibri"/>
          <w:szCs w:val="22"/>
        </w:rPr>
      </w:pPr>
    </w:p>
    <w:p w:rsidRPr="004F6597" w:rsidR="00827EB0" w:rsidP="57656AB0" w:rsidRDefault="00827EB0" w14:paraId="67C099C3" w14:textId="77777777">
      <w:pPr>
        <w:numPr>
          <w:ilvl w:val="0"/>
          <w:numId w:val="6"/>
        </w:numPr>
        <w:spacing w:line="360" w:lineRule="auto"/>
        <w:rPr>
          <w:rFonts w:ascii="Calibri" w:hAnsi="Calibri" w:cs="Calibri"/>
          <w:i/>
          <w:iCs/>
          <w:szCs w:val="22"/>
        </w:rPr>
      </w:pPr>
      <w:r w:rsidRPr="004F6597">
        <w:rPr>
          <w:rFonts w:ascii="Calibri" w:hAnsi="Calibri" w:cs="Calibri"/>
          <w:i/>
          <w:iCs/>
          <w:szCs w:val="22"/>
        </w:rPr>
        <w:t>Nr. Commissiedocument</w:t>
      </w:r>
    </w:p>
    <w:p w:rsidRPr="004F6597" w:rsidR="00827EB0" w:rsidP="00DF720F" w:rsidRDefault="00827EB0" w14:paraId="62D7C74C" w14:textId="77777777">
      <w:pPr>
        <w:spacing w:line="360" w:lineRule="auto"/>
        <w:rPr>
          <w:rFonts w:ascii="Calibri" w:hAnsi="Calibri" w:cs="Calibri"/>
          <w:szCs w:val="22"/>
        </w:rPr>
      </w:pPr>
      <w:r w:rsidRPr="004F6597">
        <w:rPr>
          <w:rFonts w:ascii="Calibri" w:hAnsi="Calibri" w:cs="Calibri"/>
          <w:szCs w:val="22"/>
        </w:rPr>
        <w:t>COM(2025) 188.</w:t>
      </w:r>
    </w:p>
    <w:p w:rsidRPr="004F6597" w:rsidR="00827EB0" w:rsidP="00827EB0" w:rsidRDefault="00827EB0" w14:paraId="0B059950" w14:textId="77777777">
      <w:pPr>
        <w:spacing w:line="360" w:lineRule="auto"/>
        <w:rPr>
          <w:rFonts w:ascii="Calibri" w:hAnsi="Calibri" w:cs="Calibri"/>
          <w:iCs/>
          <w:szCs w:val="22"/>
        </w:rPr>
      </w:pPr>
    </w:p>
    <w:p w:rsidRPr="004F6597" w:rsidR="00827EB0" w:rsidP="57656AB0" w:rsidRDefault="00827EB0" w14:paraId="70D73859" w14:textId="77777777">
      <w:pPr>
        <w:numPr>
          <w:ilvl w:val="0"/>
          <w:numId w:val="6"/>
        </w:numPr>
        <w:spacing w:line="360" w:lineRule="auto"/>
        <w:rPr>
          <w:rFonts w:ascii="Calibri" w:hAnsi="Calibri" w:cs="Calibri"/>
          <w:i/>
          <w:iCs/>
          <w:szCs w:val="22"/>
        </w:rPr>
      </w:pPr>
      <w:r w:rsidRPr="004F6597">
        <w:rPr>
          <w:rFonts w:ascii="Calibri" w:hAnsi="Calibri" w:cs="Calibri"/>
          <w:i/>
          <w:iCs/>
          <w:szCs w:val="22"/>
        </w:rPr>
        <w:t>EUR-Lex</w:t>
      </w:r>
    </w:p>
    <w:p w:rsidRPr="004F6597" w:rsidR="00827EB0" w:rsidP="00827EB0" w:rsidRDefault="00827EB0" w14:paraId="0B99A792" w14:textId="77777777">
      <w:pPr>
        <w:spacing w:line="360" w:lineRule="auto"/>
        <w:rPr>
          <w:rFonts w:ascii="Calibri" w:hAnsi="Calibri" w:cs="Calibri"/>
          <w:szCs w:val="22"/>
        </w:rPr>
      </w:pPr>
      <w:hyperlink w:history="1" r:id="rId11">
        <w:r w:rsidRPr="004F6597">
          <w:rPr>
            <w:rStyle w:val="Hyperlink"/>
            <w:rFonts w:ascii="Calibri" w:hAnsi="Calibri" w:cs="Calibri" w:eastAsiaTheme="majorEastAsia"/>
            <w:color w:val="auto"/>
            <w:szCs w:val="22"/>
          </w:rPr>
          <w:t>https://eur-lex.europa.eu/legal-content/NL/TXT/?uri=CELEX%3A52025PC0188&amp;qid=1745824801064</w:t>
        </w:r>
      </w:hyperlink>
    </w:p>
    <w:p w:rsidRPr="004F6597" w:rsidR="00827EB0" w:rsidP="00827EB0" w:rsidRDefault="00827EB0" w14:paraId="20BE3B9F" w14:textId="77777777">
      <w:pPr>
        <w:spacing w:line="360" w:lineRule="auto"/>
        <w:rPr>
          <w:rFonts w:ascii="Calibri" w:hAnsi="Calibri" w:cs="Calibri"/>
          <w:i/>
          <w:iCs/>
          <w:szCs w:val="22"/>
        </w:rPr>
      </w:pPr>
    </w:p>
    <w:p w:rsidRPr="004F6597" w:rsidR="00827EB0" w:rsidP="57656AB0" w:rsidRDefault="00827EB0" w14:paraId="3D02035A" w14:textId="77777777">
      <w:pPr>
        <w:numPr>
          <w:ilvl w:val="0"/>
          <w:numId w:val="6"/>
        </w:numPr>
        <w:spacing w:line="360" w:lineRule="auto"/>
        <w:rPr>
          <w:rFonts w:ascii="Calibri" w:hAnsi="Calibri" w:cs="Calibri"/>
          <w:i/>
          <w:iCs/>
          <w:szCs w:val="22"/>
        </w:rPr>
      </w:pPr>
      <w:r w:rsidRPr="004F6597">
        <w:rPr>
          <w:rFonts w:ascii="Calibri" w:hAnsi="Calibri" w:cs="Calibri"/>
          <w:i/>
          <w:iCs/>
          <w:szCs w:val="22"/>
        </w:rPr>
        <w:t>Nr. impact assessment Commissie en Opinie Raad voor Regelgevingstoetsing</w:t>
      </w:r>
    </w:p>
    <w:p w:rsidRPr="004F6597" w:rsidR="00827EB0" w:rsidP="00827EB0" w:rsidRDefault="00827EB0" w14:paraId="79CF4EA2" w14:textId="572015FA">
      <w:pPr>
        <w:spacing w:line="360" w:lineRule="auto"/>
        <w:rPr>
          <w:rFonts w:ascii="Calibri" w:hAnsi="Calibri" w:cs="Calibri"/>
          <w:szCs w:val="22"/>
        </w:rPr>
      </w:pPr>
      <w:r w:rsidRPr="004F6597">
        <w:rPr>
          <w:rFonts w:ascii="Calibri" w:hAnsi="Calibri" w:cs="Calibri"/>
          <w:szCs w:val="22"/>
        </w:rPr>
        <w:t>Niet opgesteld</w:t>
      </w:r>
    </w:p>
    <w:p w:rsidRPr="004F6597" w:rsidR="00827EB0" w:rsidP="00827EB0" w:rsidRDefault="00827EB0" w14:paraId="21088647" w14:textId="77777777">
      <w:pPr>
        <w:spacing w:line="360" w:lineRule="auto"/>
        <w:rPr>
          <w:rFonts w:ascii="Calibri" w:hAnsi="Calibri" w:cs="Calibri"/>
          <w:i/>
          <w:iCs/>
          <w:szCs w:val="22"/>
        </w:rPr>
      </w:pPr>
    </w:p>
    <w:p w:rsidRPr="004F6597" w:rsidR="00827EB0" w:rsidP="57656AB0" w:rsidRDefault="00827EB0" w14:paraId="5F141B25" w14:textId="77777777">
      <w:pPr>
        <w:numPr>
          <w:ilvl w:val="0"/>
          <w:numId w:val="6"/>
        </w:numPr>
        <w:spacing w:line="360" w:lineRule="auto"/>
        <w:rPr>
          <w:rFonts w:ascii="Calibri" w:hAnsi="Calibri" w:cs="Calibri"/>
          <w:i/>
          <w:iCs/>
          <w:szCs w:val="22"/>
        </w:rPr>
      </w:pPr>
      <w:r w:rsidRPr="004F6597">
        <w:rPr>
          <w:rFonts w:ascii="Calibri" w:hAnsi="Calibri" w:cs="Calibri"/>
          <w:i/>
          <w:iCs/>
          <w:szCs w:val="22"/>
        </w:rPr>
        <w:t>Behandelingstraject Raad</w:t>
      </w:r>
    </w:p>
    <w:p w:rsidRPr="004F6597" w:rsidR="00827EB0" w:rsidP="00827EB0" w:rsidRDefault="00BC7013" w14:paraId="543C691F" w14:textId="0DEA101C">
      <w:pPr>
        <w:spacing w:line="360" w:lineRule="auto"/>
        <w:rPr>
          <w:rFonts w:ascii="Calibri" w:hAnsi="Calibri" w:cs="Calibri"/>
          <w:szCs w:val="22"/>
        </w:rPr>
      </w:pPr>
      <w:r w:rsidRPr="004F6597">
        <w:rPr>
          <w:rFonts w:ascii="Calibri" w:hAnsi="Calibri" w:cs="Calibri"/>
          <w:szCs w:val="22"/>
        </w:rPr>
        <w:t>Raad Economische en Financiële Zaken (ECOFIN)</w:t>
      </w:r>
    </w:p>
    <w:p w:rsidRPr="004F6597" w:rsidR="00BC7013" w:rsidP="0365B89C" w:rsidRDefault="00BC7013" w14:paraId="7DD9C677" w14:textId="77777777">
      <w:pPr>
        <w:spacing w:line="360" w:lineRule="auto"/>
        <w:rPr>
          <w:rFonts w:ascii="Calibri" w:hAnsi="Calibri" w:cs="Calibri"/>
          <w:i/>
          <w:iCs/>
          <w:szCs w:val="22"/>
        </w:rPr>
      </w:pPr>
    </w:p>
    <w:p w:rsidRPr="004F6597" w:rsidR="00827EB0" w:rsidP="57656AB0" w:rsidRDefault="00827EB0" w14:paraId="2C99B928" w14:textId="77777777">
      <w:pPr>
        <w:numPr>
          <w:ilvl w:val="0"/>
          <w:numId w:val="6"/>
        </w:numPr>
        <w:spacing w:line="360" w:lineRule="auto"/>
        <w:rPr>
          <w:rFonts w:ascii="Calibri" w:hAnsi="Calibri" w:cs="Calibri"/>
          <w:i/>
          <w:iCs/>
          <w:szCs w:val="22"/>
        </w:rPr>
      </w:pPr>
      <w:r w:rsidRPr="004F6597">
        <w:rPr>
          <w:rFonts w:ascii="Calibri" w:hAnsi="Calibri" w:cs="Calibri"/>
          <w:i/>
          <w:iCs/>
          <w:szCs w:val="22"/>
        </w:rPr>
        <w:t>Eerstverantwoordelijk ministerie</w:t>
      </w:r>
    </w:p>
    <w:p w:rsidRPr="004F6597" w:rsidR="00827EB0" w:rsidP="0365B89C" w:rsidRDefault="0365B89C" w14:paraId="206106C7" w14:textId="19B6D18E">
      <w:pPr>
        <w:spacing w:line="360" w:lineRule="auto"/>
        <w:rPr>
          <w:rFonts w:ascii="Calibri" w:hAnsi="Calibri" w:cs="Calibri"/>
          <w:szCs w:val="22"/>
        </w:rPr>
      </w:pPr>
      <w:r w:rsidRPr="004F6597">
        <w:rPr>
          <w:rFonts w:ascii="Calibri" w:hAnsi="Calibri" w:cs="Calibri"/>
          <w:szCs w:val="22"/>
        </w:rPr>
        <w:t>Ministerie van Economische Zaken</w:t>
      </w:r>
    </w:p>
    <w:p w:rsidRPr="004F6597" w:rsidR="00827EB0" w:rsidP="0365B89C" w:rsidRDefault="00827EB0" w14:paraId="454DD290" w14:textId="77777777">
      <w:pPr>
        <w:spacing w:line="360" w:lineRule="auto"/>
        <w:rPr>
          <w:rFonts w:ascii="Calibri" w:hAnsi="Calibri" w:cs="Calibri"/>
          <w:i/>
          <w:iCs/>
          <w:szCs w:val="22"/>
        </w:rPr>
      </w:pPr>
    </w:p>
    <w:p w:rsidRPr="004F6597" w:rsidR="00827EB0" w:rsidP="57656AB0" w:rsidRDefault="00827EB0" w14:paraId="5593C916" w14:textId="77777777">
      <w:pPr>
        <w:numPr>
          <w:ilvl w:val="0"/>
          <w:numId w:val="6"/>
        </w:numPr>
        <w:spacing w:line="360" w:lineRule="auto"/>
        <w:rPr>
          <w:rFonts w:ascii="Calibri" w:hAnsi="Calibri" w:cs="Calibri"/>
          <w:i/>
          <w:iCs/>
          <w:szCs w:val="22"/>
        </w:rPr>
      </w:pPr>
      <w:r w:rsidRPr="004F6597">
        <w:rPr>
          <w:rFonts w:ascii="Calibri" w:hAnsi="Calibri" w:cs="Calibri"/>
          <w:i/>
          <w:iCs/>
          <w:szCs w:val="22"/>
        </w:rPr>
        <w:t>Rechtsbasis</w:t>
      </w:r>
    </w:p>
    <w:p w:rsidRPr="004F6597" w:rsidR="00827EB0" w:rsidP="00DF720F" w:rsidRDefault="00827EB0" w14:paraId="2196249D" w14:textId="77777777">
      <w:pPr>
        <w:spacing w:line="360" w:lineRule="auto"/>
        <w:rPr>
          <w:rFonts w:ascii="Calibri" w:hAnsi="Calibri" w:cs="Calibri"/>
          <w:szCs w:val="22"/>
        </w:rPr>
      </w:pPr>
      <w:r w:rsidRPr="004F6597">
        <w:rPr>
          <w:rFonts w:ascii="Calibri" w:hAnsi="Calibri" w:cs="Calibri"/>
          <w:szCs w:val="22"/>
        </w:rPr>
        <w:t>Artikel 114, Artikel 164, Artikel 172, Artikel 173, Artikel 175, derde paragraaf, Artikel 176, Artikel 177 Artikel 178, Artikel 182, Artikel 183, Artikel 188 en Artikel 192 eerste lid, van het Verdrag betreffende de werking van de Europese Unie (VWEU)</w:t>
      </w:r>
    </w:p>
    <w:p w:rsidRPr="004F6597" w:rsidR="00827EB0" w:rsidP="57656AB0" w:rsidRDefault="00827EB0" w14:paraId="076378EF" w14:textId="77777777">
      <w:pPr>
        <w:numPr>
          <w:ilvl w:val="0"/>
          <w:numId w:val="6"/>
        </w:numPr>
        <w:spacing w:line="360" w:lineRule="auto"/>
        <w:rPr>
          <w:rFonts w:ascii="Calibri" w:hAnsi="Calibri" w:cs="Calibri"/>
          <w:i/>
          <w:iCs/>
          <w:szCs w:val="22"/>
        </w:rPr>
      </w:pPr>
      <w:r w:rsidRPr="004F6597">
        <w:rPr>
          <w:rFonts w:ascii="Calibri" w:hAnsi="Calibri" w:cs="Calibri"/>
          <w:i/>
          <w:iCs/>
          <w:szCs w:val="22"/>
        </w:rPr>
        <w:t>Besluitvormingsprocedure Raad</w:t>
      </w:r>
    </w:p>
    <w:p w:rsidRPr="004F6597" w:rsidR="00827EB0" w:rsidP="00827EB0" w:rsidRDefault="00827EB0" w14:paraId="0E23260B" w14:textId="77777777">
      <w:pPr>
        <w:spacing w:line="360" w:lineRule="auto"/>
        <w:rPr>
          <w:rFonts w:ascii="Calibri" w:hAnsi="Calibri" w:cs="Calibri"/>
          <w:szCs w:val="22"/>
        </w:rPr>
      </w:pPr>
      <w:r w:rsidRPr="004F6597">
        <w:rPr>
          <w:rFonts w:ascii="Calibri" w:hAnsi="Calibri" w:cs="Calibri"/>
          <w:szCs w:val="22"/>
        </w:rPr>
        <w:t>Gekwalificeerde meerderheid</w:t>
      </w:r>
    </w:p>
    <w:p w:rsidRPr="004F6597" w:rsidR="00827EB0" w:rsidP="57656AB0" w:rsidRDefault="00827EB0" w14:paraId="797F641D" w14:textId="77777777">
      <w:pPr>
        <w:numPr>
          <w:ilvl w:val="0"/>
          <w:numId w:val="6"/>
        </w:numPr>
        <w:spacing w:line="360" w:lineRule="auto"/>
        <w:rPr>
          <w:rFonts w:ascii="Calibri" w:hAnsi="Calibri" w:cs="Calibri"/>
          <w:i/>
          <w:iCs/>
          <w:szCs w:val="22"/>
        </w:rPr>
      </w:pPr>
      <w:r w:rsidRPr="004F6597">
        <w:rPr>
          <w:rFonts w:ascii="Calibri" w:hAnsi="Calibri" w:cs="Calibri"/>
          <w:i/>
          <w:iCs/>
          <w:szCs w:val="22"/>
        </w:rPr>
        <w:t>Rol Europees Parlement</w:t>
      </w:r>
    </w:p>
    <w:p w:rsidRPr="004F6597" w:rsidR="00827EB0" w:rsidP="57656AB0" w:rsidRDefault="00827EB0" w14:paraId="2730AB8A" w14:textId="77777777">
      <w:pPr>
        <w:spacing w:line="360" w:lineRule="auto"/>
        <w:rPr>
          <w:rFonts w:ascii="Calibri" w:hAnsi="Calibri" w:cs="Calibri"/>
          <w:i/>
          <w:iCs/>
          <w:szCs w:val="22"/>
        </w:rPr>
      </w:pPr>
      <w:r w:rsidRPr="004F6597">
        <w:rPr>
          <w:rFonts w:ascii="Calibri" w:hAnsi="Calibri" w:cs="Calibri"/>
          <w:i/>
          <w:iCs/>
          <w:szCs w:val="22"/>
        </w:rPr>
        <w:t>Medebeslissing</w:t>
      </w:r>
    </w:p>
    <w:p w:rsidRPr="004F6597" w:rsidR="00827EB0" w:rsidP="0365B89C" w:rsidRDefault="00827EB0" w14:paraId="03D97D2B" w14:textId="77777777">
      <w:pPr>
        <w:spacing w:line="360" w:lineRule="auto"/>
        <w:rPr>
          <w:rFonts w:ascii="Calibri" w:hAnsi="Calibri" w:cs="Calibri"/>
          <w:b/>
          <w:bCs/>
          <w:szCs w:val="22"/>
        </w:rPr>
      </w:pPr>
    </w:p>
    <w:p w:rsidRPr="004F6597" w:rsidR="00827EB0" w:rsidP="00DF720F" w:rsidRDefault="00827EB0" w14:paraId="49A3997C" w14:textId="77777777">
      <w:pPr>
        <w:numPr>
          <w:ilvl w:val="0"/>
          <w:numId w:val="5"/>
        </w:numPr>
        <w:spacing w:line="360" w:lineRule="auto"/>
        <w:rPr>
          <w:rFonts w:ascii="Calibri" w:hAnsi="Calibri" w:cs="Calibri"/>
          <w:b/>
          <w:bCs/>
          <w:szCs w:val="22"/>
        </w:rPr>
      </w:pPr>
      <w:r w:rsidRPr="004F6597">
        <w:rPr>
          <w:rFonts w:ascii="Calibri" w:hAnsi="Calibri" w:cs="Calibri"/>
          <w:b/>
          <w:bCs/>
          <w:szCs w:val="22"/>
        </w:rPr>
        <w:t xml:space="preserve">Essentie voorstel </w:t>
      </w:r>
    </w:p>
    <w:p w:rsidRPr="004F6597" w:rsidR="00827EB0" w:rsidP="006B5951" w:rsidRDefault="0365B89C" w14:paraId="24441319" w14:textId="3CC41F5D">
      <w:pPr>
        <w:pStyle w:val="Spreekpunten"/>
        <w:numPr>
          <w:ilvl w:val="0"/>
          <w:numId w:val="39"/>
        </w:numPr>
        <w:rPr>
          <w:rFonts w:ascii="Calibri" w:hAnsi="Calibri" w:cs="Calibri"/>
          <w:i/>
          <w:iCs/>
          <w:sz w:val="22"/>
          <w:szCs w:val="22"/>
          <w:lang w:val="nl-NL" w:eastAsia="zh-CN"/>
        </w:rPr>
      </w:pPr>
      <w:r w:rsidRPr="004F6597">
        <w:rPr>
          <w:rFonts w:ascii="Calibri" w:hAnsi="Calibri" w:cs="Calibri"/>
          <w:i/>
          <w:iCs/>
          <w:sz w:val="22"/>
          <w:szCs w:val="22"/>
          <w:lang w:val="nl-NL" w:eastAsia="zh-CN"/>
        </w:rPr>
        <w:t>Inhoud voorstel</w:t>
      </w:r>
    </w:p>
    <w:p w:rsidRPr="004F6597" w:rsidR="00DC59AC" w:rsidP="0365B89C" w:rsidRDefault="00DC59AC" w14:paraId="4AA8E082" w14:textId="081A8C5C">
      <w:pPr>
        <w:spacing w:line="360" w:lineRule="auto"/>
        <w:rPr>
          <w:rFonts w:ascii="Calibri" w:hAnsi="Calibri" w:cs="Calibri"/>
          <w:i/>
          <w:iCs/>
          <w:szCs w:val="22"/>
        </w:rPr>
      </w:pPr>
      <w:bookmarkStart w:name="_Hlk198034022" w:id="2"/>
      <w:r w:rsidRPr="004F6597">
        <w:rPr>
          <w:rFonts w:ascii="Calibri" w:hAnsi="Calibri" w:cs="Calibri"/>
          <w:szCs w:val="22"/>
        </w:rPr>
        <w:t xml:space="preserve">De Europese Commissie (hierna: Commissie) heeft op 22 april 2025 de </w:t>
      </w:r>
      <w:bookmarkStart w:name="_Hlk198034012" w:id="3"/>
      <w:r w:rsidRPr="004F6597">
        <w:rPr>
          <w:rFonts w:ascii="Calibri" w:hAnsi="Calibri" w:cs="Calibri"/>
          <w:szCs w:val="22"/>
        </w:rPr>
        <w:t xml:space="preserve">Herziening EU-verordeningen ter stimulering van </w:t>
      </w:r>
      <w:proofErr w:type="spellStart"/>
      <w:r w:rsidRPr="004F6597">
        <w:rPr>
          <w:rFonts w:ascii="Calibri" w:hAnsi="Calibri" w:cs="Calibri"/>
          <w:szCs w:val="22"/>
        </w:rPr>
        <w:t>defensiegerelateerde</w:t>
      </w:r>
      <w:proofErr w:type="spellEnd"/>
      <w:r w:rsidRPr="004F6597">
        <w:rPr>
          <w:rFonts w:ascii="Calibri" w:hAnsi="Calibri" w:cs="Calibri"/>
          <w:szCs w:val="22"/>
        </w:rPr>
        <w:t xml:space="preserve"> investeringen in de EU-begroting ter uitvoering van het </w:t>
      </w:r>
      <w:proofErr w:type="spellStart"/>
      <w:r w:rsidRPr="004F6597">
        <w:rPr>
          <w:rFonts w:ascii="Calibri" w:hAnsi="Calibri" w:cs="Calibri"/>
          <w:szCs w:val="22"/>
        </w:rPr>
        <w:t>ReArm</w:t>
      </w:r>
      <w:proofErr w:type="spellEnd"/>
      <w:r w:rsidRPr="004F6597">
        <w:rPr>
          <w:rFonts w:ascii="Calibri" w:hAnsi="Calibri" w:cs="Calibri"/>
          <w:szCs w:val="22"/>
        </w:rPr>
        <w:t xml:space="preserve"> Europe Plan</w:t>
      </w:r>
      <w:r w:rsidRPr="004F6597" w:rsidR="00E44386">
        <w:rPr>
          <w:rFonts w:ascii="Calibri" w:hAnsi="Calibri" w:cs="Calibri"/>
          <w:szCs w:val="22"/>
        </w:rPr>
        <w:t xml:space="preserve"> gepubliceerd</w:t>
      </w:r>
      <w:r w:rsidRPr="004F6597">
        <w:rPr>
          <w:rFonts w:ascii="Calibri" w:hAnsi="Calibri" w:cs="Calibri"/>
          <w:szCs w:val="22"/>
        </w:rPr>
        <w:t>.</w:t>
      </w:r>
      <w:r w:rsidRPr="004F6597" w:rsidR="00035FD0">
        <w:rPr>
          <w:rFonts w:ascii="Calibri" w:hAnsi="Calibri" w:cs="Calibri"/>
          <w:szCs w:val="22"/>
        </w:rPr>
        <w:t xml:space="preserve"> Dit voorstel is </w:t>
      </w:r>
      <w:r w:rsidRPr="004F6597" w:rsidR="00E44386">
        <w:rPr>
          <w:rFonts w:ascii="Calibri" w:hAnsi="Calibri" w:cs="Calibri"/>
          <w:szCs w:val="22"/>
        </w:rPr>
        <w:t>een directe opvolging van</w:t>
      </w:r>
      <w:r w:rsidRPr="004F6597" w:rsidR="00035FD0">
        <w:rPr>
          <w:rFonts w:ascii="Calibri" w:hAnsi="Calibri" w:cs="Calibri"/>
          <w:szCs w:val="22"/>
        </w:rPr>
        <w:t xml:space="preserve"> het</w:t>
      </w:r>
      <w:r w:rsidRPr="004F6597" w:rsidR="00757EA5">
        <w:rPr>
          <w:rFonts w:ascii="Calibri" w:hAnsi="Calibri" w:cs="Calibri"/>
          <w:szCs w:val="22"/>
        </w:rPr>
        <w:t xml:space="preserve"> Witboek Europese Defensie Gereedheid 2030</w:t>
      </w:r>
      <w:r w:rsidRPr="004F6597" w:rsidR="00035FD0">
        <w:rPr>
          <w:rFonts w:ascii="Calibri" w:hAnsi="Calibri" w:cs="Calibri"/>
          <w:szCs w:val="22"/>
        </w:rPr>
        <w:t xml:space="preserve"> </w:t>
      </w:r>
      <w:r w:rsidRPr="004F6597" w:rsidR="00757EA5">
        <w:rPr>
          <w:rFonts w:ascii="Calibri" w:hAnsi="Calibri" w:cs="Calibri"/>
          <w:szCs w:val="22"/>
        </w:rPr>
        <w:t>d</w:t>
      </w:r>
      <w:r w:rsidRPr="004F6597" w:rsidR="00035FD0">
        <w:rPr>
          <w:rFonts w:ascii="Calibri" w:hAnsi="Calibri" w:cs="Calibri"/>
          <w:szCs w:val="22"/>
        </w:rPr>
        <w:t>at op 19 maart 2025 is gepubliceerd door de Commissie.</w:t>
      </w:r>
      <w:r w:rsidRPr="004F6597" w:rsidR="00035FD0">
        <w:rPr>
          <w:rStyle w:val="Voetnootmarkering"/>
          <w:rFonts w:ascii="Calibri" w:hAnsi="Calibri" w:cs="Calibri"/>
          <w:szCs w:val="22"/>
        </w:rPr>
        <w:footnoteReference w:id="2"/>
      </w:r>
      <w:r w:rsidRPr="004F6597" w:rsidR="006662A3">
        <w:rPr>
          <w:rFonts w:ascii="Calibri" w:hAnsi="Calibri" w:cs="Calibri"/>
          <w:szCs w:val="22"/>
        </w:rPr>
        <w:t xml:space="preserve"> Het </w:t>
      </w:r>
      <w:r w:rsidRPr="004F6597" w:rsidR="007A05EA">
        <w:rPr>
          <w:rFonts w:ascii="Calibri" w:hAnsi="Calibri" w:cs="Calibri"/>
          <w:szCs w:val="22"/>
        </w:rPr>
        <w:t>W</w:t>
      </w:r>
      <w:r w:rsidRPr="004F6597" w:rsidR="006662A3">
        <w:rPr>
          <w:rFonts w:ascii="Calibri" w:hAnsi="Calibri" w:cs="Calibri"/>
          <w:szCs w:val="22"/>
        </w:rPr>
        <w:t xml:space="preserve">itboek schetst oplossingen om de defensie-industrie te versterken door belangrijke tekortkomingen op te vullen en de paraatheid op lange termijn te waarborgen. </w:t>
      </w:r>
    </w:p>
    <w:p w:rsidRPr="004F6597" w:rsidR="00703F11" w:rsidP="00703F11" w:rsidRDefault="00703F11" w14:paraId="521D6EA5" w14:textId="77777777">
      <w:pPr>
        <w:spacing w:line="360" w:lineRule="auto"/>
        <w:rPr>
          <w:rFonts w:ascii="Calibri" w:hAnsi="Calibri" w:cs="Calibri"/>
          <w:szCs w:val="22"/>
        </w:rPr>
      </w:pPr>
      <w:bookmarkStart w:name="_Hlk198034038" w:id="4"/>
      <w:bookmarkEnd w:id="2"/>
      <w:bookmarkEnd w:id="3"/>
    </w:p>
    <w:p w:rsidRPr="004F6597" w:rsidR="00703F11" w:rsidP="00703F11" w:rsidRDefault="00703F11" w14:paraId="4E2A94B8" w14:textId="77777777">
      <w:pPr>
        <w:spacing w:line="360" w:lineRule="auto"/>
        <w:rPr>
          <w:rFonts w:ascii="Calibri" w:hAnsi="Calibri" w:cs="Calibri"/>
          <w:szCs w:val="22"/>
        </w:rPr>
      </w:pPr>
      <w:r w:rsidRPr="004F6597">
        <w:rPr>
          <w:rFonts w:ascii="Calibri" w:hAnsi="Calibri" w:cs="Calibri"/>
          <w:szCs w:val="22"/>
        </w:rPr>
        <w:t xml:space="preserve">De herziening van de verschillende EU-verordeningen heeft hoofdzakelijk vier doelen. </w:t>
      </w:r>
      <w:bookmarkStart w:name="_Hlk198033619" w:id="5"/>
      <w:r w:rsidRPr="004F6597">
        <w:rPr>
          <w:rFonts w:ascii="Calibri" w:hAnsi="Calibri" w:cs="Calibri"/>
          <w:szCs w:val="22"/>
        </w:rPr>
        <w:t>Het eerste doel is het bereiken van een ve</w:t>
      </w:r>
      <w:r w:rsidRPr="004F6597">
        <w:rPr>
          <w:rFonts w:ascii="Calibri" w:hAnsi="Calibri" w:eastAsia="Verdana" w:cs="Calibri"/>
          <w:szCs w:val="22"/>
        </w:rPr>
        <w:t>rsterkte Europese technologische en industriële defensiebasis (EDTIB) en veerkracht van de toeleveringsketens.</w:t>
      </w:r>
      <w:bookmarkEnd w:id="5"/>
      <w:r w:rsidRPr="004F6597">
        <w:rPr>
          <w:rFonts w:ascii="Calibri" w:hAnsi="Calibri" w:eastAsia="Verdana" w:cs="Calibri"/>
          <w:szCs w:val="22"/>
        </w:rPr>
        <w:t xml:space="preserve"> Ten tweede wil de Commissie een verbeterde militaire mobiliteit realiseren. Ten derde wil de Commissie de defensie-innovatie alsook het midden- en kleinbedrijf (mkb) en startups steunen in het ontwikkelen van dual-use en defensietechnologieën. Ten vierde wil de Commissie synergiën creëren tussen de EDTIB en andere sectoren, zoals met de digitale sector. </w:t>
      </w:r>
    </w:p>
    <w:bookmarkEnd w:id="4"/>
    <w:p w:rsidRPr="004F6597" w:rsidR="008821C6" w:rsidP="008821C6" w:rsidRDefault="008821C6" w14:paraId="42239136" w14:textId="77777777">
      <w:pPr>
        <w:spacing w:line="360" w:lineRule="auto"/>
        <w:rPr>
          <w:rFonts w:ascii="Calibri" w:hAnsi="Calibri" w:cs="Calibri"/>
          <w:szCs w:val="22"/>
        </w:rPr>
      </w:pPr>
    </w:p>
    <w:p w:rsidRPr="004F6597" w:rsidR="003C4932" w:rsidP="008821C6" w:rsidRDefault="0365B89C" w14:paraId="1AE43951" w14:textId="2CEE962A">
      <w:pPr>
        <w:spacing w:line="360" w:lineRule="auto"/>
        <w:rPr>
          <w:rFonts w:ascii="Calibri" w:hAnsi="Calibri" w:cs="Calibri"/>
          <w:szCs w:val="22"/>
        </w:rPr>
      </w:pPr>
      <w:bookmarkStart w:name="_Hlk198033602" w:id="6"/>
      <w:r w:rsidRPr="004F6597">
        <w:rPr>
          <w:rFonts w:ascii="Calibri" w:hAnsi="Calibri" w:eastAsia="Verdana" w:cs="Calibri"/>
          <w:szCs w:val="22"/>
        </w:rPr>
        <w:t xml:space="preserve">De herziening zet in op het stimuleren van </w:t>
      </w:r>
      <w:proofErr w:type="spellStart"/>
      <w:r w:rsidRPr="004F6597">
        <w:rPr>
          <w:rFonts w:ascii="Calibri" w:hAnsi="Calibri" w:eastAsia="Verdana" w:cs="Calibri"/>
          <w:szCs w:val="22"/>
        </w:rPr>
        <w:t>defensiegerelateerde</w:t>
      </w:r>
      <w:proofErr w:type="spellEnd"/>
      <w:r w:rsidRPr="004F6597">
        <w:rPr>
          <w:rFonts w:ascii="Calibri" w:hAnsi="Calibri" w:eastAsia="Verdana" w:cs="Calibri"/>
          <w:szCs w:val="22"/>
        </w:rPr>
        <w:t xml:space="preserve"> investeringen in de huidige EU-begroting en het versterken van de defensie-industrie en technologische basis van de EU in overeenstemming met het </w:t>
      </w:r>
      <w:proofErr w:type="spellStart"/>
      <w:r w:rsidRPr="004F6597">
        <w:rPr>
          <w:rFonts w:ascii="Calibri" w:hAnsi="Calibri" w:eastAsia="Verdana" w:cs="Calibri"/>
          <w:szCs w:val="22"/>
        </w:rPr>
        <w:t>ReArm</w:t>
      </w:r>
      <w:proofErr w:type="spellEnd"/>
      <w:r w:rsidRPr="004F6597">
        <w:rPr>
          <w:rFonts w:ascii="Calibri" w:hAnsi="Calibri" w:eastAsia="Verdana" w:cs="Calibri"/>
          <w:szCs w:val="22"/>
        </w:rPr>
        <w:t xml:space="preserve"> Europe-plan. </w:t>
      </w:r>
      <w:bookmarkEnd w:id="6"/>
      <w:r w:rsidRPr="004F6597" w:rsidR="00757EA5">
        <w:rPr>
          <w:rFonts w:ascii="Calibri" w:hAnsi="Calibri" w:eastAsia="Verdana" w:cs="Calibri"/>
          <w:szCs w:val="22"/>
        </w:rPr>
        <w:t xml:space="preserve">Met de </w:t>
      </w:r>
      <w:r w:rsidRPr="004F6597">
        <w:rPr>
          <w:rFonts w:ascii="Calibri" w:hAnsi="Calibri" w:eastAsia="Verdana" w:cs="Calibri"/>
          <w:szCs w:val="22"/>
        </w:rPr>
        <w:t>herziening</w:t>
      </w:r>
      <w:r w:rsidRPr="004F6597" w:rsidR="002617C5">
        <w:rPr>
          <w:rFonts w:ascii="Calibri" w:hAnsi="Calibri" w:eastAsia="Verdana" w:cs="Calibri"/>
          <w:szCs w:val="22"/>
        </w:rPr>
        <w:t xml:space="preserve"> van de </w:t>
      </w:r>
      <w:bookmarkStart w:name="_Hlk198034143" w:id="7"/>
      <w:r w:rsidRPr="004F6597" w:rsidR="002617C5">
        <w:rPr>
          <w:rFonts w:ascii="Calibri" w:hAnsi="Calibri" w:eastAsia="Verdana" w:cs="Calibri"/>
          <w:szCs w:val="22"/>
        </w:rPr>
        <w:t>Strategic Technologies for Europe Platform (STEP) verordening</w:t>
      </w:r>
      <w:r w:rsidRPr="004F6597">
        <w:rPr>
          <w:rFonts w:ascii="Calibri" w:hAnsi="Calibri" w:eastAsia="Verdana" w:cs="Calibri"/>
          <w:szCs w:val="22"/>
        </w:rPr>
        <w:t xml:space="preserve"> </w:t>
      </w:r>
      <w:bookmarkEnd w:id="7"/>
      <w:r w:rsidRPr="004F6597" w:rsidR="00757EA5">
        <w:rPr>
          <w:rFonts w:ascii="Calibri" w:hAnsi="Calibri" w:eastAsia="Verdana" w:cs="Calibri"/>
          <w:szCs w:val="22"/>
        </w:rPr>
        <w:t>wordt voorgesteld</w:t>
      </w:r>
      <w:r w:rsidRPr="004F6597" w:rsidR="00C23CFE">
        <w:rPr>
          <w:rFonts w:ascii="Calibri" w:hAnsi="Calibri" w:eastAsia="Verdana" w:cs="Calibri"/>
          <w:szCs w:val="22"/>
        </w:rPr>
        <w:t xml:space="preserve"> om</w:t>
      </w:r>
      <w:r w:rsidRPr="004F6597" w:rsidR="00757EA5">
        <w:rPr>
          <w:rFonts w:ascii="Calibri" w:hAnsi="Calibri" w:eastAsia="Verdana" w:cs="Calibri"/>
          <w:szCs w:val="22"/>
        </w:rPr>
        <w:t xml:space="preserve"> </w:t>
      </w:r>
      <w:r w:rsidRPr="004F6597">
        <w:rPr>
          <w:rFonts w:ascii="Calibri" w:hAnsi="Calibri" w:eastAsia="Verdana" w:cs="Calibri"/>
          <w:szCs w:val="22"/>
        </w:rPr>
        <w:t>wijzigingen aan</w:t>
      </w:r>
      <w:r w:rsidRPr="004F6597" w:rsidR="00757EA5">
        <w:rPr>
          <w:rFonts w:ascii="Calibri" w:hAnsi="Calibri" w:eastAsia="Verdana" w:cs="Calibri"/>
          <w:szCs w:val="22"/>
        </w:rPr>
        <w:t xml:space="preserve"> te </w:t>
      </w:r>
      <w:r w:rsidRPr="004F6597">
        <w:rPr>
          <w:rFonts w:ascii="Calibri" w:hAnsi="Calibri" w:eastAsia="Verdana" w:cs="Calibri"/>
          <w:szCs w:val="22"/>
        </w:rPr>
        <w:t xml:space="preserve">brengen in </w:t>
      </w:r>
      <w:r w:rsidRPr="004F6597" w:rsidR="008821C6">
        <w:rPr>
          <w:rFonts w:ascii="Calibri" w:hAnsi="Calibri" w:eastAsia="Verdana" w:cs="Calibri"/>
          <w:szCs w:val="22"/>
        </w:rPr>
        <w:t xml:space="preserve">de verordening van </w:t>
      </w:r>
      <w:r w:rsidRPr="004F6597">
        <w:rPr>
          <w:rFonts w:ascii="Calibri" w:hAnsi="Calibri" w:eastAsia="Verdana" w:cs="Calibri"/>
          <w:szCs w:val="22"/>
        </w:rPr>
        <w:t>bestaande EU-programma's,</w:t>
      </w:r>
      <w:r w:rsidRPr="004F6597" w:rsidR="008821C6">
        <w:rPr>
          <w:rFonts w:ascii="Calibri" w:hAnsi="Calibri" w:eastAsia="Verdana" w:cs="Calibri"/>
          <w:szCs w:val="22"/>
        </w:rPr>
        <w:t xml:space="preserve"> te weten:</w:t>
      </w:r>
      <w:r w:rsidRPr="004F6597">
        <w:rPr>
          <w:rFonts w:ascii="Calibri" w:hAnsi="Calibri" w:eastAsia="Verdana" w:cs="Calibri"/>
          <w:szCs w:val="22"/>
        </w:rPr>
        <w:t xml:space="preserve"> Horizon Europe, </w:t>
      </w:r>
      <w:r w:rsidRPr="004F6597" w:rsidR="008821C6">
        <w:rPr>
          <w:rFonts w:ascii="Calibri" w:hAnsi="Calibri" w:eastAsia="Verdana" w:cs="Calibri"/>
          <w:szCs w:val="22"/>
        </w:rPr>
        <w:t xml:space="preserve">het </w:t>
      </w:r>
      <w:r w:rsidRPr="004F6597">
        <w:rPr>
          <w:rFonts w:ascii="Calibri" w:hAnsi="Calibri" w:eastAsia="Verdana" w:cs="Calibri"/>
          <w:szCs w:val="22"/>
        </w:rPr>
        <w:t xml:space="preserve">Europees Defensiefonds (EDF), </w:t>
      </w:r>
      <w:r w:rsidRPr="004F6597">
        <w:rPr>
          <w:rFonts w:ascii="Calibri" w:hAnsi="Calibri" w:eastAsia="Verdana" w:cs="Calibri"/>
          <w:i/>
          <w:iCs/>
          <w:szCs w:val="22"/>
        </w:rPr>
        <w:t>Act i</w:t>
      </w:r>
      <w:r w:rsidRPr="004F6597" w:rsidR="00757EA5">
        <w:rPr>
          <w:rFonts w:ascii="Calibri" w:hAnsi="Calibri" w:eastAsia="Verdana" w:cs="Calibri"/>
          <w:i/>
          <w:iCs/>
          <w:szCs w:val="22"/>
        </w:rPr>
        <w:t>n</w:t>
      </w:r>
      <w:r w:rsidRPr="004F6597">
        <w:rPr>
          <w:rFonts w:ascii="Calibri" w:hAnsi="Calibri" w:eastAsia="Verdana" w:cs="Calibri"/>
          <w:i/>
          <w:iCs/>
          <w:szCs w:val="22"/>
        </w:rPr>
        <w:t xml:space="preserve"> Support of </w:t>
      </w:r>
      <w:proofErr w:type="spellStart"/>
      <w:r w:rsidRPr="004F6597">
        <w:rPr>
          <w:rFonts w:ascii="Calibri" w:hAnsi="Calibri" w:eastAsia="Verdana" w:cs="Calibri"/>
          <w:i/>
          <w:iCs/>
          <w:szCs w:val="22"/>
        </w:rPr>
        <w:t>Ammunition</w:t>
      </w:r>
      <w:proofErr w:type="spellEnd"/>
      <w:r w:rsidRPr="004F6597">
        <w:rPr>
          <w:rFonts w:ascii="Calibri" w:hAnsi="Calibri" w:eastAsia="Verdana" w:cs="Calibri"/>
          <w:i/>
          <w:iCs/>
          <w:szCs w:val="22"/>
        </w:rPr>
        <w:t xml:space="preserve"> </w:t>
      </w:r>
      <w:proofErr w:type="spellStart"/>
      <w:r w:rsidRPr="004F6597">
        <w:rPr>
          <w:rFonts w:ascii="Calibri" w:hAnsi="Calibri" w:eastAsia="Verdana" w:cs="Calibri"/>
          <w:i/>
          <w:iCs/>
          <w:szCs w:val="22"/>
        </w:rPr>
        <w:t>Production</w:t>
      </w:r>
      <w:proofErr w:type="spellEnd"/>
      <w:r w:rsidRPr="004F6597">
        <w:rPr>
          <w:rFonts w:ascii="Calibri" w:hAnsi="Calibri" w:eastAsia="Verdana" w:cs="Calibri"/>
          <w:szCs w:val="22"/>
        </w:rPr>
        <w:t xml:space="preserve"> (ASAP), </w:t>
      </w:r>
      <w:r w:rsidRPr="004F6597">
        <w:rPr>
          <w:rFonts w:ascii="Calibri" w:hAnsi="Calibri" w:eastAsia="Verdana" w:cs="Calibri"/>
          <w:i/>
          <w:iCs/>
          <w:szCs w:val="22"/>
        </w:rPr>
        <w:t xml:space="preserve">Digital Europe </w:t>
      </w:r>
      <w:proofErr w:type="spellStart"/>
      <w:r w:rsidRPr="004F6597" w:rsidR="00757EA5">
        <w:rPr>
          <w:rFonts w:ascii="Calibri" w:hAnsi="Calibri" w:eastAsia="Verdana" w:cs="Calibri"/>
          <w:i/>
          <w:iCs/>
          <w:szCs w:val="22"/>
        </w:rPr>
        <w:t>Programme</w:t>
      </w:r>
      <w:proofErr w:type="spellEnd"/>
      <w:r w:rsidRPr="004F6597" w:rsidR="00757EA5">
        <w:rPr>
          <w:rFonts w:ascii="Calibri" w:hAnsi="Calibri" w:eastAsia="Verdana" w:cs="Calibri"/>
          <w:szCs w:val="22"/>
        </w:rPr>
        <w:t xml:space="preserve"> </w:t>
      </w:r>
      <w:r w:rsidRPr="004F6597">
        <w:rPr>
          <w:rFonts w:ascii="Calibri" w:hAnsi="Calibri" w:eastAsia="Verdana" w:cs="Calibri"/>
          <w:szCs w:val="22"/>
        </w:rPr>
        <w:t xml:space="preserve">(DEP) en </w:t>
      </w:r>
      <w:proofErr w:type="spellStart"/>
      <w:r w:rsidRPr="004F6597">
        <w:rPr>
          <w:rFonts w:ascii="Calibri" w:hAnsi="Calibri" w:eastAsia="Verdana" w:cs="Calibri"/>
          <w:i/>
          <w:iCs/>
          <w:szCs w:val="22"/>
        </w:rPr>
        <w:t>Connecting</w:t>
      </w:r>
      <w:proofErr w:type="spellEnd"/>
      <w:r w:rsidRPr="004F6597">
        <w:rPr>
          <w:rFonts w:ascii="Calibri" w:hAnsi="Calibri" w:eastAsia="Verdana" w:cs="Calibri"/>
          <w:i/>
          <w:iCs/>
          <w:szCs w:val="22"/>
        </w:rPr>
        <w:t xml:space="preserve"> Europe Facility</w:t>
      </w:r>
      <w:r w:rsidRPr="004F6597">
        <w:rPr>
          <w:rFonts w:ascii="Calibri" w:hAnsi="Calibri" w:eastAsia="Verdana" w:cs="Calibri"/>
          <w:szCs w:val="22"/>
        </w:rPr>
        <w:t xml:space="preserve"> (CEF)</w:t>
      </w:r>
      <w:r w:rsidRPr="004F6597" w:rsidR="008821C6">
        <w:rPr>
          <w:rFonts w:ascii="Calibri" w:hAnsi="Calibri" w:eastAsia="Verdana" w:cs="Calibri"/>
          <w:szCs w:val="22"/>
        </w:rPr>
        <w:t xml:space="preserve">. </w:t>
      </w:r>
      <w:r w:rsidRPr="004F6597">
        <w:rPr>
          <w:rFonts w:ascii="Calibri" w:hAnsi="Calibri" w:eastAsia="Verdana" w:cs="Calibri"/>
          <w:szCs w:val="22"/>
        </w:rPr>
        <w:t>De gerichte wijzigingen in de EU-verordeningen treden onmiddellijk</w:t>
      </w:r>
      <w:r w:rsidRPr="004F6597" w:rsidR="00C23CFE">
        <w:rPr>
          <w:rFonts w:ascii="Calibri" w:hAnsi="Calibri" w:eastAsia="Verdana" w:cs="Calibri"/>
          <w:szCs w:val="22"/>
        </w:rPr>
        <w:t xml:space="preserve"> in</w:t>
      </w:r>
      <w:r w:rsidRPr="004F6597">
        <w:rPr>
          <w:rFonts w:ascii="Calibri" w:hAnsi="Calibri" w:eastAsia="Verdana" w:cs="Calibri"/>
          <w:szCs w:val="22"/>
        </w:rPr>
        <w:t xml:space="preserve"> na de goedkeuring van de </w:t>
      </w:r>
      <w:r w:rsidRPr="004F6597" w:rsidR="002617C5">
        <w:rPr>
          <w:rFonts w:ascii="Calibri" w:hAnsi="Calibri" w:eastAsia="Verdana" w:cs="Calibri"/>
          <w:szCs w:val="22"/>
        </w:rPr>
        <w:t xml:space="preserve">herziening van de respectievelijke </w:t>
      </w:r>
      <w:r w:rsidRPr="004F6597">
        <w:rPr>
          <w:rFonts w:ascii="Calibri" w:hAnsi="Calibri" w:eastAsia="Verdana" w:cs="Calibri"/>
          <w:szCs w:val="22"/>
        </w:rPr>
        <w:t>verordening</w:t>
      </w:r>
      <w:r w:rsidRPr="004F6597" w:rsidR="002617C5">
        <w:rPr>
          <w:rFonts w:ascii="Calibri" w:hAnsi="Calibri" w:eastAsia="Verdana" w:cs="Calibri"/>
          <w:szCs w:val="22"/>
        </w:rPr>
        <w:t>en</w:t>
      </w:r>
      <w:r w:rsidRPr="004F6597">
        <w:rPr>
          <w:rFonts w:ascii="Calibri" w:hAnsi="Calibri" w:eastAsia="Verdana" w:cs="Calibri"/>
          <w:szCs w:val="22"/>
        </w:rPr>
        <w:t xml:space="preserve"> in werking. De herziening </w:t>
      </w:r>
      <w:r w:rsidRPr="004F6597" w:rsidR="0004455D">
        <w:rPr>
          <w:rFonts w:ascii="Calibri" w:hAnsi="Calibri" w:eastAsia="Verdana" w:cs="Calibri"/>
          <w:szCs w:val="22"/>
        </w:rPr>
        <w:t xml:space="preserve">vraagt </w:t>
      </w:r>
      <w:r w:rsidRPr="004F6597">
        <w:rPr>
          <w:rFonts w:ascii="Calibri" w:hAnsi="Calibri" w:eastAsia="Verdana" w:cs="Calibri"/>
          <w:szCs w:val="22"/>
        </w:rPr>
        <w:t xml:space="preserve">geen additionele financiering binnen het huidige </w:t>
      </w:r>
      <w:r w:rsidRPr="004F6597" w:rsidR="00757EA5">
        <w:rPr>
          <w:rFonts w:ascii="Calibri" w:hAnsi="Calibri" w:eastAsia="Verdana" w:cs="Calibri"/>
          <w:szCs w:val="22"/>
        </w:rPr>
        <w:t>M</w:t>
      </w:r>
      <w:r w:rsidRPr="004F6597">
        <w:rPr>
          <w:rFonts w:ascii="Calibri" w:hAnsi="Calibri" w:eastAsia="Verdana" w:cs="Calibri"/>
          <w:szCs w:val="22"/>
        </w:rPr>
        <w:t xml:space="preserve">eerjarig </w:t>
      </w:r>
      <w:r w:rsidRPr="004F6597" w:rsidR="00757EA5">
        <w:rPr>
          <w:rFonts w:ascii="Calibri" w:hAnsi="Calibri" w:eastAsia="Verdana" w:cs="Calibri"/>
          <w:szCs w:val="22"/>
        </w:rPr>
        <w:t>F</w:t>
      </w:r>
      <w:r w:rsidRPr="004F6597">
        <w:rPr>
          <w:rFonts w:ascii="Calibri" w:hAnsi="Calibri" w:eastAsia="Verdana" w:cs="Calibri"/>
          <w:szCs w:val="22"/>
        </w:rPr>
        <w:t xml:space="preserve">inancieel </w:t>
      </w:r>
      <w:r w:rsidRPr="004F6597" w:rsidR="00757EA5">
        <w:rPr>
          <w:rFonts w:ascii="Calibri" w:hAnsi="Calibri" w:eastAsia="Verdana" w:cs="Calibri"/>
          <w:szCs w:val="22"/>
        </w:rPr>
        <w:t>K</w:t>
      </w:r>
      <w:r w:rsidRPr="004F6597">
        <w:rPr>
          <w:rFonts w:ascii="Calibri" w:hAnsi="Calibri" w:eastAsia="Verdana" w:cs="Calibri"/>
          <w:szCs w:val="22"/>
        </w:rPr>
        <w:t>ader (MFK)</w:t>
      </w:r>
      <w:r w:rsidRPr="004F6597" w:rsidR="00757EA5">
        <w:rPr>
          <w:rFonts w:ascii="Calibri" w:hAnsi="Calibri" w:eastAsia="Verdana" w:cs="Calibri"/>
          <w:szCs w:val="22"/>
        </w:rPr>
        <w:t xml:space="preserve"> van de EU dat nog loopt tot en met 2027</w:t>
      </w:r>
      <w:r w:rsidRPr="004F6597">
        <w:rPr>
          <w:rFonts w:ascii="Calibri" w:hAnsi="Calibri" w:eastAsia="Verdana" w:cs="Calibri"/>
          <w:szCs w:val="22"/>
        </w:rPr>
        <w:t xml:space="preserve">. </w:t>
      </w:r>
    </w:p>
    <w:p w:rsidRPr="004F6597" w:rsidR="003C4932" w:rsidP="003C4932" w:rsidRDefault="003C4932" w14:paraId="2FDAC1C3" w14:textId="77777777">
      <w:pPr>
        <w:spacing w:line="360" w:lineRule="auto"/>
        <w:rPr>
          <w:rFonts w:ascii="Calibri" w:hAnsi="Calibri" w:cs="Calibri"/>
          <w:iCs/>
          <w:szCs w:val="22"/>
        </w:rPr>
      </w:pPr>
    </w:p>
    <w:p w:rsidRPr="004F6597" w:rsidR="008821C6" w:rsidP="008821C6" w:rsidRDefault="008821C6" w14:paraId="12D66E63" w14:textId="08F308D3">
      <w:pPr>
        <w:spacing w:line="360" w:lineRule="auto"/>
        <w:rPr>
          <w:rFonts w:ascii="Calibri" w:hAnsi="Calibri" w:cs="Calibri"/>
          <w:szCs w:val="22"/>
        </w:rPr>
      </w:pPr>
      <w:bookmarkStart w:name="_Hlk198034131" w:id="8"/>
      <w:r w:rsidRPr="004F6597">
        <w:rPr>
          <w:rFonts w:ascii="Calibri" w:hAnsi="Calibri" w:eastAsia="Verdana" w:cs="Calibri"/>
          <w:szCs w:val="22"/>
        </w:rPr>
        <w:t>Als eerste betreft de herziening het verbreden van de reikwijdte (en omvang) van STEP.</w:t>
      </w:r>
      <w:bookmarkEnd w:id="8"/>
      <w:r w:rsidRPr="004F6597">
        <w:rPr>
          <w:rFonts w:ascii="Calibri" w:hAnsi="Calibri" w:eastAsia="Verdana" w:cs="Calibri"/>
          <w:szCs w:val="22"/>
        </w:rPr>
        <w:t xml:space="preserve"> </w:t>
      </w:r>
      <w:bookmarkStart w:name="_Hlk198034174" w:id="9"/>
      <w:r w:rsidRPr="004F6597">
        <w:rPr>
          <w:rFonts w:ascii="Calibri" w:hAnsi="Calibri" w:cs="Calibri"/>
          <w:szCs w:val="22"/>
        </w:rPr>
        <w:t xml:space="preserve">Met de wijziging wordt een vierde strategische sector toegevoegd aan het STEP-mandaat. Daaronder zouden alle </w:t>
      </w:r>
      <w:proofErr w:type="spellStart"/>
      <w:r w:rsidRPr="004F6597">
        <w:rPr>
          <w:rFonts w:ascii="Calibri" w:hAnsi="Calibri" w:cs="Calibri"/>
          <w:szCs w:val="22"/>
        </w:rPr>
        <w:t>defensiegerelateerde</w:t>
      </w:r>
      <w:proofErr w:type="spellEnd"/>
      <w:r w:rsidRPr="004F6597">
        <w:rPr>
          <w:rFonts w:ascii="Calibri" w:hAnsi="Calibri" w:cs="Calibri"/>
          <w:szCs w:val="22"/>
        </w:rPr>
        <w:t xml:space="preserve"> technologie en producten moeten vallen, in</w:t>
      </w:r>
      <w:bookmarkEnd w:id="9"/>
      <w:r w:rsidRPr="004F6597">
        <w:rPr>
          <w:rFonts w:ascii="Calibri" w:hAnsi="Calibri" w:cs="Calibri"/>
          <w:szCs w:val="22"/>
        </w:rPr>
        <w:t xml:space="preserve">clusief de prioritaire </w:t>
      </w:r>
      <w:proofErr w:type="spellStart"/>
      <w:r w:rsidRPr="004F6597">
        <w:rPr>
          <w:rFonts w:ascii="Calibri" w:hAnsi="Calibri" w:cs="Calibri"/>
          <w:i/>
          <w:iCs/>
          <w:szCs w:val="22"/>
        </w:rPr>
        <w:t>capability</w:t>
      </w:r>
      <w:proofErr w:type="spellEnd"/>
      <w:r w:rsidRPr="004F6597">
        <w:rPr>
          <w:rFonts w:ascii="Calibri" w:hAnsi="Calibri" w:cs="Calibri"/>
          <w:i/>
          <w:iCs/>
          <w:szCs w:val="22"/>
        </w:rPr>
        <w:t xml:space="preserve"> </w:t>
      </w:r>
      <w:r w:rsidRPr="004F6597">
        <w:rPr>
          <w:rFonts w:ascii="Calibri" w:hAnsi="Calibri" w:cs="Calibri"/>
          <w:szCs w:val="22"/>
        </w:rPr>
        <w:t xml:space="preserve">domeinen die worden geadresseerd in het hierboven genoemde Witboek. STEP zou op </w:t>
      </w:r>
      <w:r w:rsidRPr="004F6597">
        <w:rPr>
          <w:rFonts w:ascii="Calibri" w:hAnsi="Calibri" w:cs="Calibri"/>
          <w:szCs w:val="22"/>
        </w:rPr>
        <w:lastRenderedPageBreak/>
        <w:t>deze manier kunnen worden ingezet om extra middelen beschikbaar te maken voor de defensiesector. De Commissie zal middels deze herziening ook STEP-zegels in het kader van Horizon Europe, EDF en DEP kunnen toekennen aan projecten met veel potentieel in de defensiesector, met als doel financiering uit andere bronnen aan te trekken (andere EU-fondsen, nationale fondsen, particuliere of institutionele investeerders).</w:t>
      </w:r>
      <w:r w:rsidRPr="004F6597" w:rsidR="00C23CFE">
        <w:rPr>
          <w:rStyle w:val="Voetnootmarkering"/>
          <w:rFonts w:ascii="Calibri" w:hAnsi="Calibri" w:cs="Calibri"/>
          <w:szCs w:val="22"/>
        </w:rPr>
        <w:footnoteReference w:id="3"/>
      </w:r>
    </w:p>
    <w:p w:rsidRPr="004F6597" w:rsidR="003C4932" w:rsidP="003C4932" w:rsidRDefault="003C4932" w14:paraId="267FE250" w14:textId="77777777">
      <w:pPr>
        <w:spacing w:line="360" w:lineRule="auto"/>
        <w:rPr>
          <w:rFonts w:ascii="Calibri" w:hAnsi="Calibri" w:cs="Calibri"/>
          <w:iCs/>
          <w:szCs w:val="22"/>
        </w:rPr>
      </w:pPr>
    </w:p>
    <w:p w:rsidRPr="004F6597" w:rsidR="008821C6" w:rsidP="008821C6" w:rsidRDefault="008821C6" w14:paraId="2C5FEE7B" w14:textId="7E8B8135">
      <w:pPr>
        <w:spacing w:line="360" w:lineRule="auto"/>
        <w:rPr>
          <w:rFonts w:ascii="Calibri" w:hAnsi="Calibri" w:cs="Calibri"/>
          <w:szCs w:val="22"/>
        </w:rPr>
      </w:pPr>
      <w:bookmarkStart w:name="_Hlk198034318" w:id="10"/>
      <w:r w:rsidRPr="004F6597">
        <w:rPr>
          <w:rFonts w:ascii="Calibri" w:hAnsi="Calibri" w:cs="Calibri"/>
          <w:szCs w:val="22"/>
        </w:rPr>
        <w:t>Ten tweede betreft de herziening een wijziging van het EDF.</w:t>
      </w:r>
      <w:bookmarkEnd w:id="10"/>
      <w:r w:rsidRPr="004F6597">
        <w:rPr>
          <w:rFonts w:ascii="Calibri" w:hAnsi="Calibri" w:cs="Calibri"/>
          <w:szCs w:val="22"/>
        </w:rPr>
        <w:t xml:space="preserve"> De Commissie hoopt financieringslijnen te stroomlijnen tussen het EDF en andere </w:t>
      </w:r>
      <w:r w:rsidRPr="004F6597" w:rsidR="00703F11">
        <w:rPr>
          <w:rFonts w:ascii="Calibri" w:hAnsi="Calibri" w:cs="Calibri"/>
          <w:szCs w:val="22"/>
        </w:rPr>
        <w:t>EU-</w:t>
      </w:r>
      <w:r w:rsidRPr="004F6597">
        <w:rPr>
          <w:rFonts w:ascii="Calibri" w:hAnsi="Calibri" w:cs="Calibri"/>
          <w:szCs w:val="22"/>
        </w:rPr>
        <w:t xml:space="preserve">programma's waar het gaat om </w:t>
      </w:r>
      <w:r w:rsidRPr="004F6597" w:rsidR="004C6C6C">
        <w:rPr>
          <w:rFonts w:ascii="Calibri" w:hAnsi="Calibri" w:cs="Calibri"/>
          <w:szCs w:val="22"/>
        </w:rPr>
        <w:t>financiering voor dezelfde dual-use en defensieprojecten.</w:t>
      </w:r>
      <w:r w:rsidRPr="004F6597">
        <w:rPr>
          <w:rFonts w:ascii="Calibri" w:hAnsi="Calibri" w:cs="Calibri"/>
          <w:szCs w:val="22"/>
        </w:rPr>
        <w:t xml:space="preserve"> Hiermee biedt de wijziging van de EDF-verordening de mogelijkheid om middelen die aan lidstaten zijn toegewezen in het kader van het cohesiebeleid te gebruiken voor de cofinanciering van EDF-projecten. </w:t>
      </w:r>
      <w:r w:rsidRPr="004F6597" w:rsidR="00C23CFE">
        <w:rPr>
          <w:rFonts w:ascii="Calibri" w:hAnsi="Calibri" w:cs="Calibri"/>
          <w:szCs w:val="22"/>
        </w:rPr>
        <w:t>D</w:t>
      </w:r>
      <w:r w:rsidRPr="004F6597">
        <w:rPr>
          <w:rFonts w:ascii="Calibri" w:hAnsi="Calibri" w:cs="Calibri"/>
          <w:szCs w:val="22"/>
        </w:rPr>
        <w:t xml:space="preserve">e ASAP-wijziging </w:t>
      </w:r>
      <w:r w:rsidRPr="004F6597" w:rsidR="00C23CFE">
        <w:rPr>
          <w:rFonts w:ascii="Calibri" w:hAnsi="Calibri" w:cs="Calibri"/>
          <w:szCs w:val="22"/>
        </w:rPr>
        <w:t xml:space="preserve">maakt mogelijk de </w:t>
      </w:r>
      <w:r w:rsidRPr="004F6597">
        <w:rPr>
          <w:rFonts w:ascii="Calibri" w:hAnsi="Calibri" w:cs="Calibri"/>
          <w:szCs w:val="22"/>
        </w:rPr>
        <w:t>vrijwillige overdracht van</w:t>
      </w:r>
      <w:r w:rsidRPr="004F6597" w:rsidR="00C23CFE">
        <w:rPr>
          <w:rFonts w:ascii="Calibri" w:hAnsi="Calibri" w:cs="Calibri"/>
          <w:szCs w:val="22"/>
        </w:rPr>
        <w:t xml:space="preserve"> financiële</w:t>
      </w:r>
      <w:r w:rsidRPr="004F6597">
        <w:rPr>
          <w:rFonts w:ascii="Calibri" w:hAnsi="Calibri" w:cs="Calibri"/>
          <w:szCs w:val="22"/>
        </w:rPr>
        <w:t xml:space="preserve"> middelen die aan lidstaten zijn toegewezen in het kader van het cohesiebeleid naar het ASAP-instrument. </w:t>
      </w:r>
    </w:p>
    <w:p w:rsidRPr="004F6597" w:rsidR="003C4932" w:rsidP="003C4932" w:rsidRDefault="003C4932" w14:paraId="652A605D" w14:textId="77777777">
      <w:pPr>
        <w:spacing w:line="360" w:lineRule="auto"/>
        <w:rPr>
          <w:rFonts w:ascii="Calibri" w:hAnsi="Calibri" w:cs="Calibri"/>
          <w:iCs/>
          <w:szCs w:val="22"/>
        </w:rPr>
      </w:pPr>
    </w:p>
    <w:p w:rsidRPr="004F6597" w:rsidR="003C4932" w:rsidP="0365B89C" w:rsidRDefault="0365B89C" w14:paraId="25BFC1E7" w14:textId="76CBC524">
      <w:pPr>
        <w:spacing w:line="360" w:lineRule="auto"/>
        <w:rPr>
          <w:rFonts w:ascii="Calibri" w:hAnsi="Calibri" w:cs="Calibri"/>
          <w:szCs w:val="22"/>
        </w:rPr>
      </w:pPr>
      <w:bookmarkStart w:name="_Hlk198034411" w:id="11"/>
      <w:r w:rsidRPr="004F6597">
        <w:rPr>
          <w:rFonts w:ascii="Calibri" w:hAnsi="Calibri" w:cs="Calibri"/>
          <w:szCs w:val="22"/>
        </w:rPr>
        <w:t xml:space="preserve">Ten derde betreft de wijziging van het DEP de mogelijkheid </w:t>
      </w:r>
      <w:r w:rsidRPr="004F6597" w:rsidR="004C6C6C">
        <w:rPr>
          <w:rFonts w:ascii="Calibri" w:hAnsi="Calibri" w:cs="Calibri"/>
          <w:szCs w:val="22"/>
        </w:rPr>
        <w:t xml:space="preserve">om </w:t>
      </w:r>
      <w:r w:rsidRPr="004F6597">
        <w:rPr>
          <w:rFonts w:ascii="Calibri" w:hAnsi="Calibri" w:cs="Calibri"/>
          <w:szCs w:val="22"/>
        </w:rPr>
        <w:t xml:space="preserve">aanvullende gerichte investeringen </w:t>
      </w:r>
      <w:r w:rsidRPr="004F6597" w:rsidR="004C6C6C">
        <w:rPr>
          <w:rFonts w:ascii="Calibri" w:hAnsi="Calibri" w:cs="Calibri"/>
          <w:szCs w:val="22"/>
        </w:rPr>
        <w:t xml:space="preserve">te doen in een bredere scope van het programma. </w:t>
      </w:r>
      <w:bookmarkEnd w:id="11"/>
      <w:r w:rsidRPr="004F6597" w:rsidR="004C6C6C">
        <w:rPr>
          <w:rFonts w:ascii="Calibri" w:hAnsi="Calibri" w:cs="Calibri"/>
          <w:szCs w:val="22"/>
        </w:rPr>
        <w:t>Zoals het steunen van projecten van een dual-use aard en het ontwikkelen van AI Fabrieken. De Commissie ambieert dat dit ten gunste zal zijn van</w:t>
      </w:r>
      <w:r w:rsidRPr="004F6597">
        <w:rPr>
          <w:rFonts w:ascii="Calibri" w:hAnsi="Calibri" w:cs="Calibri"/>
          <w:szCs w:val="22"/>
        </w:rPr>
        <w:t xml:space="preserve"> het concurrentievermogen en de strategische autonomie van de EU</w:t>
      </w:r>
      <w:r w:rsidRPr="004F6597" w:rsidR="004C6C6C">
        <w:rPr>
          <w:rFonts w:ascii="Calibri" w:hAnsi="Calibri" w:cs="Calibri"/>
          <w:szCs w:val="22"/>
        </w:rPr>
        <w:t>.</w:t>
      </w:r>
    </w:p>
    <w:p w:rsidRPr="004F6597" w:rsidR="003C4932" w:rsidP="003C4932" w:rsidRDefault="003C4932" w14:paraId="487E86E5" w14:textId="77777777">
      <w:pPr>
        <w:spacing w:line="360" w:lineRule="auto"/>
        <w:rPr>
          <w:rFonts w:ascii="Calibri" w:hAnsi="Calibri" w:cs="Calibri"/>
          <w:iCs/>
          <w:szCs w:val="22"/>
        </w:rPr>
      </w:pPr>
    </w:p>
    <w:p w:rsidRPr="004F6597" w:rsidR="003C4932" w:rsidP="0365B89C" w:rsidRDefault="0365B89C" w14:paraId="3909E013" w14:textId="4C2BE3F6">
      <w:pPr>
        <w:spacing w:line="360" w:lineRule="auto"/>
        <w:rPr>
          <w:rFonts w:ascii="Calibri" w:hAnsi="Calibri" w:cs="Calibri"/>
          <w:szCs w:val="22"/>
        </w:rPr>
      </w:pPr>
      <w:bookmarkStart w:name="_Hlk198034422" w:id="12"/>
      <w:r w:rsidRPr="004F6597">
        <w:rPr>
          <w:rFonts w:ascii="Calibri" w:hAnsi="Calibri" w:cs="Calibri"/>
          <w:szCs w:val="22"/>
        </w:rPr>
        <w:t>Ten vierde</w:t>
      </w:r>
      <w:r w:rsidRPr="004F6597" w:rsidR="002617C5">
        <w:rPr>
          <w:rFonts w:ascii="Calibri" w:hAnsi="Calibri" w:cs="Calibri"/>
          <w:szCs w:val="22"/>
        </w:rPr>
        <w:t xml:space="preserve"> maakt</w:t>
      </w:r>
      <w:r w:rsidRPr="004F6597">
        <w:rPr>
          <w:rFonts w:ascii="Calibri" w:hAnsi="Calibri" w:cs="Calibri"/>
          <w:szCs w:val="22"/>
        </w:rPr>
        <w:t xml:space="preserve"> de </w:t>
      </w:r>
      <w:r w:rsidRPr="004F6597" w:rsidR="002617C5">
        <w:rPr>
          <w:rFonts w:ascii="Calibri" w:hAnsi="Calibri" w:cs="Calibri"/>
          <w:szCs w:val="22"/>
        </w:rPr>
        <w:t xml:space="preserve">voorgestelde </w:t>
      </w:r>
      <w:r w:rsidRPr="004F6597">
        <w:rPr>
          <w:rFonts w:ascii="Calibri" w:hAnsi="Calibri" w:cs="Calibri"/>
          <w:szCs w:val="22"/>
        </w:rPr>
        <w:t>wijziging van het H</w:t>
      </w:r>
      <w:r w:rsidRPr="004F6597" w:rsidR="002617C5">
        <w:rPr>
          <w:rFonts w:ascii="Calibri" w:hAnsi="Calibri" w:cs="Calibri"/>
          <w:szCs w:val="22"/>
        </w:rPr>
        <w:t xml:space="preserve">orizon </w:t>
      </w:r>
      <w:r w:rsidRPr="004F6597">
        <w:rPr>
          <w:rFonts w:ascii="Calibri" w:hAnsi="Calibri" w:cs="Calibri"/>
          <w:szCs w:val="22"/>
        </w:rPr>
        <w:t>E</w:t>
      </w:r>
      <w:r w:rsidRPr="004F6597" w:rsidR="002617C5">
        <w:rPr>
          <w:rFonts w:ascii="Calibri" w:hAnsi="Calibri" w:cs="Calibri"/>
          <w:szCs w:val="22"/>
        </w:rPr>
        <w:t>urope</w:t>
      </w:r>
      <w:r w:rsidRPr="004F6597">
        <w:rPr>
          <w:rFonts w:ascii="Calibri" w:hAnsi="Calibri" w:cs="Calibri"/>
          <w:szCs w:val="22"/>
        </w:rPr>
        <w:t xml:space="preserve">-programma het mogelijk projecten met potentiële </w:t>
      </w:r>
      <w:r w:rsidRPr="004F6597" w:rsidR="002617C5">
        <w:rPr>
          <w:rFonts w:ascii="Calibri" w:hAnsi="Calibri" w:cs="Calibri"/>
          <w:szCs w:val="22"/>
        </w:rPr>
        <w:t>dual-use</w:t>
      </w:r>
      <w:r w:rsidRPr="004F6597">
        <w:rPr>
          <w:rFonts w:ascii="Calibri" w:hAnsi="Calibri" w:cs="Calibri"/>
          <w:szCs w:val="22"/>
        </w:rPr>
        <w:t xml:space="preserve">-toepassingen </w:t>
      </w:r>
      <w:r w:rsidRPr="004F6597" w:rsidR="002617C5">
        <w:rPr>
          <w:rFonts w:ascii="Calibri" w:hAnsi="Calibri" w:cs="Calibri"/>
          <w:szCs w:val="22"/>
        </w:rPr>
        <w:t>te ondersteunen vanuit het</w:t>
      </w:r>
      <w:r w:rsidRPr="004F6597">
        <w:rPr>
          <w:rFonts w:ascii="Calibri" w:hAnsi="Calibri" w:cs="Calibri"/>
          <w:szCs w:val="22"/>
        </w:rPr>
        <w:t xml:space="preserve"> Accelerator</w:t>
      </w:r>
      <w:r w:rsidRPr="004F6597" w:rsidR="002617C5">
        <w:rPr>
          <w:rFonts w:ascii="Calibri" w:hAnsi="Calibri" w:cs="Calibri"/>
          <w:szCs w:val="22"/>
        </w:rPr>
        <w:t>-instrument</w:t>
      </w:r>
      <w:r w:rsidRPr="004F6597">
        <w:rPr>
          <w:rFonts w:ascii="Calibri" w:hAnsi="Calibri" w:cs="Calibri"/>
          <w:szCs w:val="22"/>
        </w:rPr>
        <w:t xml:space="preserve"> van de Europese Innovatieraad (EIC Accelerator) </w:t>
      </w:r>
      <w:bookmarkEnd w:id="12"/>
      <w:r w:rsidRPr="004F6597" w:rsidR="002617C5">
        <w:rPr>
          <w:rFonts w:ascii="Calibri" w:hAnsi="Calibri" w:cs="Calibri"/>
          <w:szCs w:val="22"/>
        </w:rPr>
        <w:t xml:space="preserve">via beurzen </w:t>
      </w:r>
      <w:r w:rsidRPr="004F6597">
        <w:rPr>
          <w:rFonts w:ascii="Calibri" w:hAnsi="Calibri" w:cs="Calibri"/>
          <w:szCs w:val="22"/>
        </w:rPr>
        <w:t>​​</w:t>
      </w:r>
      <w:r w:rsidRPr="004F6597" w:rsidR="0056018B">
        <w:rPr>
          <w:rFonts w:ascii="Calibri" w:hAnsi="Calibri" w:cs="Calibri"/>
          <w:szCs w:val="22"/>
        </w:rPr>
        <w:t>en</w:t>
      </w:r>
      <w:r w:rsidRPr="004F6597">
        <w:rPr>
          <w:rFonts w:ascii="Calibri" w:hAnsi="Calibri" w:cs="Calibri"/>
          <w:szCs w:val="22"/>
        </w:rPr>
        <w:t xml:space="preserve"> aandelen</w:t>
      </w:r>
      <w:r w:rsidRPr="004F6597" w:rsidR="002617C5">
        <w:rPr>
          <w:rFonts w:ascii="Calibri" w:hAnsi="Calibri" w:cs="Calibri"/>
          <w:szCs w:val="22"/>
        </w:rPr>
        <w:t>belang</w:t>
      </w:r>
      <w:r w:rsidRPr="004F6597" w:rsidR="00E750A9">
        <w:rPr>
          <w:rFonts w:ascii="Calibri" w:hAnsi="Calibri" w:cs="Calibri"/>
          <w:szCs w:val="22"/>
        </w:rPr>
        <w:t>en</w:t>
      </w:r>
      <w:r w:rsidRPr="004F6597">
        <w:rPr>
          <w:rFonts w:ascii="Calibri" w:hAnsi="Calibri" w:cs="Calibri"/>
          <w:szCs w:val="22"/>
        </w:rPr>
        <w:t xml:space="preserve">, evenals projecten met een focus op defensietoepassingen </w:t>
      </w:r>
      <w:r w:rsidRPr="004F6597" w:rsidR="002617C5">
        <w:rPr>
          <w:rFonts w:ascii="Calibri" w:hAnsi="Calibri" w:cs="Calibri"/>
          <w:szCs w:val="22"/>
        </w:rPr>
        <w:t>vanuit de</w:t>
      </w:r>
      <w:r w:rsidRPr="004F6597">
        <w:rPr>
          <w:rFonts w:ascii="Calibri" w:hAnsi="Calibri" w:cs="Calibri"/>
          <w:szCs w:val="22"/>
        </w:rPr>
        <w:t xml:space="preserve"> </w:t>
      </w:r>
      <w:r w:rsidRPr="004F6597" w:rsidR="00766C57">
        <w:rPr>
          <w:rFonts w:ascii="Calibri" w:hAnsi="Calibri" w:cs="Calibri"/>
          <w:szCs w:val="22"/>
        </w:rPr>
        <w:t>STEP-</w:t>
      </w:r>
      <w:r w:rsidRPr="004F6597">
        <w:rPr>
          <w:rFonts w:ascii="Calibri" w:hAnsi="Calibri" w:cs="Calibri"/>
          <w:szCs w:val="22"/>
        </w:rPr>
        <w:t>opschalings</w:t>
      </w:r>
      <w:r w:rsidRPr="004F6597" w:rsidR="002617C5">
        <w:rPr>
          <w:rFonts w:ascii="Calibri" w:hAnsi="Calibri" w:cs="Calibri"/>
          <w:szCs w:val="22"/>
        </w:rPr>
        <w:t>pilot</w:t>
      </w:r>
      <w:r w:rsidRPr="004F6597">
        <w:rPr>
          <w:rFonts w:ascii="Calibri" w:hAnsi="Calibri" w:cs="Calibri"/>
          <w:szCs w:val="22"/>
        </w:rPr>
        <w:t xml:space="preserve"> van de EIC </w:t>
      </w:r>
      <w:r w:rsidRPr="004F6597" w:rsidR="002617C5">
        <w:rPr>
          <w:rFonts w:ascii="Calibri" w:hAnsi="Calibri" w:cs="Calibri"/>
          <w:szCs w:val="22"/>
        </w:rPr>
        <w:t xml:space="preserve">via </w:t>
      </w:r>
      <w:r w:rsidRPr="004F6597">
        <w:rPr>
          <w:rFonts w:ascii="Calibri" w:hAnsi="Calibri" w:cs="Calibri"/>
          <w:szCs w:val="22"/>
        </w:rPr>
        <w:t>aandelen</w:t>
      </w:r>
      <w:r w:rsidRPr="004F6597" w:rsidR="002617C5">
        <w:rPr>
          <w:rFonts w:ascii="Calibri" w:hAnsi="Calibri" w:cs="Calibri"/>
          <w:szCs w:val="22"/>
        </w:rPr>
        <w:t>belang</w:t>
      </w:r>
      <w:r w:rsidRPr="004F6597" w:rsidR="00E750A9">
        <w:rPr>
          <w:rFonts w:ascii="Calibri" w:hAnsi="Calibri" w:cs="Calibri"/>
          <w:szCs w:val="22"/>
        </w:rPr>
        <w:t>en</w:t>
      </w:r>
      <w:r w:rsidRPr="004F6597" w:rsidR="00766C57">
        <w:rPr>
          <w:rFonts w:ascii="Calibri" w:hAnsi="Calibri" w:cs="Calibri"/>
          <w:szCs w:val="22"/>
        </w:rPr>
        <w:t>.</w:t>
      </w:r>
    </w:p>
    <w:p w:rsidRPr="004F6597" w:rsidR="00117A80" w:rsidP="003C4932" w:rsidRDefault="00117A80" w14:paraId="1798AF45" w14:textId="77777777">
      <w:pPr>
        <w:spacing w:line="360" w:lineRule="auto"/>
        <w:rPr>
          <w:rFonts w:ascii="Calibri" w:hAnsi="Calibri" w:cs="Calibri"/>
          <w:iCs/>
          <w:szCs w:val="22"/>
        </w:rPr>
      </w:pPr>
    </w:p>
    <w:p w:rsidRPr="004F6597" w:rsidR="00EF7D2D" w:rsidP="00EF7D2D" w:rsidRDefault="00EF7D2D" w14:paraId="5878719D" w14:textId="77777777">
      <w:pPr>
        <w:pStyle w:val="Spreekpunten"/>
        <w:numPr>
          <w:ilvl w:val="0"/>
          <w:numId w:val="0"/>
        </w:numPr>
        <w:rPr>
          <w:rFonts w:ascii="Calibri" w:hAnsi="Calibri" w:cs="Calibri"/>
          <w:sz w:val="22"/>
          <w:szCs w:val="22"/>
          <w:lang w:val="nl-NL" w:eastAsia="zh-CN"/>
        </w:rPr>
      </w:pPr>
      <w:bookmarkStart w:name="_Hlk198034459" w:id="13"/>
      <w:r w:rsidRPr="004F6597">
        <w:rPr>
          <w:rFonts w:ascii="Calibri" w:hAnsi="Calibri" w:cs="Calibri"/>
          <w:sz w:val="22"/>
          <w:szCs w:val="22"/>
          <w:lang w:val="nl-NL"/>
        </w:rPr>
        <w:t>Ten vijfde doet de Commissie een aantal voorstellen naar aanleiding van de tussentijdse herziening van het cohesiebeleid.</w:t>
      </w:r>
      <w:r w:rsidRPr="004F6597">
        <w:rPr>
          <w:rStyle w:val="Voetnootmarkering"/>
          <w:rFonts w:ascii="Calibri" w:hAnsi="Calibri" w:cs="Calibri"/>
          <w:sz w:val="22"/>
          <w:szCs w:val="22"/>
        </w:rPr>
        <w:footnoteReference w:id="4"/>
      </w:r>
      <w:r w:rsidRPr="004F6597">
        <w:rPr>
          <w:rFonts w:ascii="Calibri" w:hAnsi="Calibri" w:cs="Calibri"/>
          <w:sz w:val="22"/>
          <w:szCs w:val="22"/>
          <w:lang w:val="nl-NL"/>
        </w:rPr>
        <w:t xml:space="preserve"> Deze herziening stelt voor investeringen uit cohesiefondsen beter af te stemmen op nieuwe Europese prioriteiten, waaronder op defensie en veilighei</w:t>
      </w:r>
      <w:bookmarkEnd w:id="13"/>
      <w:r w:rsidRPr="004F6597">
        <w:rPr>
          <w:rFonts w:ascii="Calibri" w:hAnsi="Calibri" w:cs="Calibri"/>
          <w:sz w:val="22"/>
          <w:szCs w:val="22"/>
          <w:lang w:val="nl-NL"/>
        </w:rPr>
        <w:t>d.</w:t>
      </w:r>
      <w:r w:rsidRPr="004F6597">
        <w:rPr>
          <w:rStyle w:val="Voetnootmarkering"/>
          <w:rFonts w:ascii="Calibri" w:hAnsi="Calibri" w:cs="Calibri"/>
          <w:sz w:val="22"/>
          <w:szCs w:val="22"/>
        </w:rPr>
        <w:footnoteReference w:id="5"/>
      </w:r>
      <w:r w:rsidRPr="004F6597">
        <w:rPr>
          <w:rFonts w:ascii="Calibri" w:hAnsi="Calibri" w:cs="Calibri"/>
          <w:sz w:val="22"/>
          <w:szCs w:val="22"/>
          <w:lang w:val="nl-NL"/>
        </w:rPr>
        <w:t xml:space="preserve"> Deze middelen kunnen worden gebruikt voor investeringen in de capaciteit van de </w:t>
      </w:r>
      <w:r w:rsidRPr="004F6597">
        <w:rPr>
          <w:rFonts w:ascii="Calibri" w:hAnsi="Calibri" w:cs="Calibri"/>
          <w:sz w:val="22"/>
          <w:szCs w:val="22"/>
          <w:lang w:val="nl-NL" w:eastAsia="zh-CN"/>
        </w:rPr>
        <w:t>defensie-industrie en dual-use-</w:t>
      </w:r>
      <w:r w:rsidRPr="004F6597">
        <w:rPr>
          <w:rFonts w:ascii="Calibri" w:hAnsi="Calibri" w:cs="Calibri"/>
          <w:sz w:val="22"/>
          <w:szCs w:val="22"/>
          <w:lang w:val="nl-NL" w:eastAsia="zh-CN"/>
        </w:rPr>
        <w:lastRenderedPageBreak/>
        <w:t>toepassingen.</w:t>
      </w:r>
      <w:r w:rsidRPr="004F6597">
        <w:rPr>
          <w:rFonts w:ascii="Calibri" w:hAnsi="Calibri" w:cs="Calibri"/>
          <w:sz w:val="22"/>
          <w:szCs w:val="22"/>
          <w:lang w:val="nl-NL"/>
        </w:rPr>
        <w:t xml:space="preserve"> </w:t>
      </w:r>
      <w:r w:rsidRPr="004F6597">
        <w:rPr>
          <w:rFonts w:ascii="Calibri" w:hAnsi="Calibri" w:cs="Calibri"/>
          <w:sz w:val="22"/>
          <w:szCs w:val="22"/>
          <w:lang w:val="nl-NL" w:eastAsia="zh-CN"/>
        </w:rPr>
        <w:t>Dit gaat om technologieën en infrastructuur die zowel voor civiele als voor militaire doeleinden kunnen worden ingezet. Zo stelt de Commissie voor om te investeren in een sterker dual-use infrastructuurnetwerk dat de militaire mobiliteit bevordert. Tenslotte wijst de Commissie erop dat het op de korte termijn opschalen van defensiecapaciteit alleen mogelijk is als er geïnvesteerd wordt in het werven, bij- en omscholen van werknemers. Volgens de Commissie zal dit het concurrentievermogen van de EU versterken en regionale ontwikkeling stimuleren.</w:t>
      </w:r>
    </w:p>
    <w:p w:rsidRPr="004F6597" w:rsidR="004F516D" w:rsidP="0365B89C" w:rsidRDefault="004F516D" w14:paraId="52C16D4F" w14:textId="77777777">
      <w:pPr>
        <w:spacing w:line="360" w:lineRule="auto"/>
        <w:rPr>
          <w:rFonts w:ascii="Calibri" w:hAnsi="Calibri" w:cs="Calibri"/>
          <w:szCs w:val="22"/>
        </w:rPr>
      </w:pPr>
    </w:p>
    <w:p w:rsidRPr="004F6597" w:rsidR="00827EB0" w:rsidP="57656AB0" w:rsidRDefault="00827EB0" w14:paraId="24274033" w14:textId="77777777">
      <w:pPr>
        <w:pStyle w:val="Spreekpunten"/>
        <w:numPr>
          <w:ilvl w:val="0"/>
          <w:numId w:val="7"/>
        </w:numPr>
        <w:rPr>
          <w:rFonts w:ascii="Calibri" w:hAnsi="Calibri" w:cs="Calibri"/>
          <w:i/>
          <w:iCs/>
          <w:sz w:val="22"/>
          <w:szCs w:val="22"/>
          <w:lang w:val="nl-NL" w:eastAsia="zh-CN"/>
        </w:rPr>
      </w:pPr>
      <w:r w:rsidRPr="004F6597">
        <w:rPr>
          <w:rFonts w:ascii="Calibri" w:hAnsi="Calibri" w:cs="Calibri"/>
          <w:i/>
          <w:iCs/>
          <w:sz w:val="22"/>
          <w:szCs w:val="22"/>
          <w:lang w:val="nl-NL" w:eastAsia="zh-CN"/>
        </w:rPr>
        <w:t>Impact assessment Commissie</w:t>
      </w:r>
    </w:p>
    <w:p w:rsidRPr="004F6597" w:rsidR="00CC5945" w:rsidP="00827EB0" w:rsidRDefault="00827EB0" w14:paraId="3E8D955E" w14:textId="3AB89080">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4F6597">
        <w:rPr>
          <w:rFonts w:ascii="Calibri" w:hAnsi="Calibri" w:cs="Calibri"/>
          <w:szCs w:val="22"/>
        </w:rPr>
        <w:t xml:space="preserve">Voor het voorstel is geen apart </w:t>
      </w:r>
      <w:r w:rsidRPr="004F6597">
        <w:rPr>
          <w:rFonts w:ascii="Calibri" w:hAnsi="Calibri" w:cs="Calibri"/>
          <w:i/>
          <w:iCs/>
          <w:szCs w:val="22"/>
        </w:rPr>
        <w:t>impact assessment</w:t>
      </w:r>
      <w:r w:rsidRPr="004F6597">
        <w:rPr>
          <w:rFonts w:ascii="Calibri" w:hAnsi="Calibri" w:cs="Calibri"/>
          <w:szCs w:val="22"/>
        </w:rPr>
        <w:t xml:space="preserve"> </w:t>
      </w:r>
      <w:r w:rsidRPr="004F6597" w:rsidR="00386B00">
        <w:rPr>
          <w:rFonts w:ascii="Calibri" w:hAnsi="Calibri" w:cs="Calibri"/>
          <w:szCs w:val="22"/>
        </w:rPr>
        <w:t>uitgevoerd</w:t>
      </w:r>
      <w:r w:rsidRPr="004F6597">
        <w:rPr>
          <w:rFonts w:ascii="Calibri" w:hAnsi="Calibri" w:cs="Calibri"/>
          <w:szCs w:val="22"/>
        </w:rPr>
        <w:t xml:space="preserve">. De Commissie wijst erop dat dit voorstel geen nieuw instrument creëert en wordt uitgevoerd via bestaande instrumenten binnen de EU-begroting. Ten behoeve van de bestaande instrumenten zijn respectievelijke </w:t>
      </w:r>
      <w:r w:rsidRPr="004F6597">
        <w:rPr>
          <w:rFonts w:ascii="Calibri" w:hAnsi="Calibri" w:cs="Calibri"/>
          <w:i/>
          <w:iCs/>
          <w:szCs w:val="22"/>
        </w:rPr>
        <w:t>impact assessments</w:t>
      </w:r>
      <w:r w:rsidRPr="004F6597">
        <w:rPr>
          <w:rFonts w:ascii="Calibri" w:hAnsi="Calibri" w:cs="Calibri"/>
          <w:szCs w:val="22"/>
        </w:rPr>
        <w:t xml:space="preserve"> gedaan. De Commissie stelt dat geen aparte </w:t>
      </w:r>
      <w:r w:rsidRPr="004F6597">
        <w:rPr>
          <w:rFonts w:ascii="Calibri" w:hAnsi="Calibri" w:cs="Calibri"/>
          <w:i/>
          <w:iCs/>
          <w:szCs w:val="22"/>
        </w:rPr>
        <w:t>impact assessments</w:t>
      </w:r>
      <w:r w:rsidRPr="004F6597">
        <w:rPr>
          <w:rFonts w:ascii="Calibri" w:hAnsi="Calibri" w:cs="Calibri"/>
          <w:szCs w:val="22"/>
        </w:rPr>
        <w:t xml:space="preserve"> nodig zijn ten aanzien van de gerichte en beperkte wijzigingen. </w:t>
      </w:r>
    </w:p>
    <w:p w:rsidRPr="004F6597" w:rsidR="00CC5945" w:rsidP="00827EB0" w:rsidRDefault="00CC5945" w14:paraId="41365BE1"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4F6597" w:rsidR="00E750A9" w:rsidP="00E750A9" w:rsidRDefault="00E750A9" w14:paraId="459F81B1" w14:textId="3E27F7F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4F6597">
        <w:rPr>
          <w:rFonts w:ascii="Calibri" w:hAnsi="Calibri" w:cs="Calibri"/>
          <w:szCs w:val="22"/>
        </w:rPr>
        <w:t xml:space="preserve">Het kabinet verzoekt de Commissie om alsnog een </w:t>
      </w:r>
      <w:r w:rsidRPr="004F6597">
        <w:rPr>
          <w:rFonts w:ascii="Calibri" w:hAnsi="Calibri" w:cs="Calibri"/>
          <w:i/>
          <w:iCs/>
          <w:szCs w:val="22"/>
        </w:rPr>
        <w:t xml:space="preserve">impact assessment </w:t>
      </w:r>
      <w:r w:rsidRPr="004F6597">
        <w:rPr>
          <w:rFonts w:ascii="Calibri" w:hAnsi="Calibri" w:cs="Calibri"/>
          <w:szCs w:val="22"/>
        </w:rPr>
        <w:t>uit te voeren. De Commissie heeft in het eerdere Witboek over dual-use aangegeven meer synergiën op te willen zoeken tussen civiele en militair georiënteerde financiering van onderzoek en innovatie (O&amp;I)</w:t>
      </w:r>
      <w:r w:rsidRPr="004F6597">
        <w:rPr>
          <w:rFonts w:ascii="Calibri" w:hAnsi="Calibri" w:cs="Calibri"/>
          <w:szCs w:val="22"/>
          <w:vertAlign w:val="superscript"/>
        </w:rPr>
        <w:footnoteReference w:id="6"/>
      </w:r>
      <w:r w:rsidRPr="004F6597">
        <w:rPr>
          <w:rFonts w:ascii="Calibri" w:hAnsi="Calibri" w:cs="Calibri"/>
          <w:szCs w:val="22"/>
        </w:rPr>
        <w:t xml:space="preserve">. Het kabinet acht een impact assessment noodzakelijk om zorgvuldig te kunnen beoordelen op welke manier het vergroten van mogelijkheden voor dual-use technologieën invloed heeft op het </w:t>
      </w:r>
      <w:r w:rsidRPr="004F6597" w:rsidR="00A30B42">
        <w:rPr>
          <w:rFonts w:ascii="Calibri" w:hAnsi="Calibri" w:cs="Calibri"/>
          <w:szCs w:val="22"/>
        </w:rPr>
        <w:t xml:space="preserve">Horizon Europe </w:t>
      </w:r>
      <w:r w:rsidRPr="004F6597">
        <w:rPr>
          <w:rFonts w:ascii="Calibri" w:hAnsi="Calibri" w:cs="Calibri"/>
          <w:szCs w:val="22"/>
        </w:rPr>
        <w:t>kaderprogramma, bijvoorbeeld ten aanzien van openheid, toegankelijkheid en internationale samenwerking, zoals geschetst in de Kabinetsappreciatie Witboek over vergroten onderzoek en ontwikkeling van dual-use technologieën</w:t>
      </w:r>
      <w:r w:rsidRPr="004F6597">
        <w:rPr>
          <w:rFonts w:ascii="Calibri" w:hAnsi="Calibri" w:cs="Calibri"/>
          <w:szCs w:val="22"/>
          <w:vertAlign w:val="superscript"/>
        </w:rPr>
        <w:footnoteReference w:id="7"/>
      </w:r>
      <w:r w:rsidRPr="004F6597">
        <w:rPr>
          <w:rFonts w:ascii="Calibri" w:hAnsi="Calibri" w:cs="Calibri"/>
          <w:szCs w:val="22"/>
        </w:rPr>
        <w:t xml:space="preserve">. </w:t>
      </w:r>
    </w:p>
    <w:p w:rsidRPr="004F6597" w:rsidR="006B5951" w:rsidP="00E750A9" w:rsidRDefault="006B5951" w14:paraId="5F160C64"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4F6597" w:rsidR="006B5951" w:rsidP="00E750A9" w:rsidRDefault="0056018B" w14:paraId="235BA5C6" w14:textId="6BF0F6E9">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4F6597">
        <w:rPr>
          <w:rFonts w:ascii="Calibri" w:hAnsi="Calibri" w:cs="Calibri"/>
          <w:szCs w:val="22"/>
        </w:rPr>
        <w:t>Daarnaast is een impact assessment noodzakelijk om te kunnen bezien hoe de financiële en regeldruk zoveel mogelijk te beperken voor</w:t>
      </w:r>
      <w:r w:rsidRPr="004F6597" w:rsidR="00C80FE8">
        <w:rPr>
          <w:rFonts w:ascii="Calibri" w:hAnsi="Calibri" w:cs="Calibri"/>
          <w:szCs w:val="22"/>
        </w:rPr>
        <w:t xml:space="preserve"> Rijkoverheid en de Regio’s.</w:t>
      </w:r>
    </w:p>
    <w:p w:rsidRPr="004F6597" w:rsidR="00827EB0" w:rsidP="00827EB0" w:rsidRDefault="00827EB0" w14:paraId="54F206E5" w14:textId="00B27B3D">
      <w:pPr>
        <w:tabs>
          <w:tab w:val="left" w:pos="0"/>
          <w:tab w:val="left" w:pos="340"/>
          <w:tab w:val="left" w:pos="680"/>
          <w:tab w:val="left" w:pos="1021"/>
          <w:tab w:val="left" w:pos="1361"/>
          <w:tab w:val="left" w:pos="1701"/>
          <w:tab w:val="left" w:pos="3402"/>
        </w:tabs>
        <w:spacing w:line="360" w:lineRule="auto"/>
        <w:rPr>
          <w:rFonts w:ascii="Calibri" w:hAnsi="Calibri" w:cs="Calibri"/>
          <w:szCs w:val="22"/>
          <w:highlight w:val="yellow"/>
        </w:rPr>
      </w:pPr>
    </w:p>
    <w:p w:rsidRPr="004F6597" w:rsidR="00827EB0" w:rsidP="006B5951" w:rsidRDefault="0365B89C" w14:paraId="377C9B99" w14:textId="77777777">
      <w:pPr>
        <w:numPr>
          <w:ilvl w:val="0"/>
          <w:numId w:val="39"/>
        </w:numPr>
        <w:spacing w:line="360" w:lineRule="auto"/>
        <w:rPr>
          <w:rFonts w:ascii="Calibri" w:hAnsi="Calibri" w:cs="Calibri"/>
          <w:b/>
          <w:bCs/>
          <w:szCs w:val="22"/>
        </w:rPr>
      </w:pPr>
      <w:r w:rsidRPr="004F6597">
        <w:rPr>
          <w:rFonts w:ascii="Calibri" w:hAnsi="Calibri" w:cs="Calibri"/>
          <w:b/>
          <w:bCs/>
          <w:szCs w:val="22"/>
        </w:rPr>
        <w:t xml:space="preserve">Nederlandse positie ten aanzien van het voorstel </w:t>
      </w:r>
    </w:p>
    <w:p w:rsidRPr="004F6597" w:rsidR="00827EB0" w:rsidP="57656AB0" w:rsidRDefault="0365B89C" w14:paraId="4269FD8C" w14:textId="77777777">
      <w:pPr>
        <w:numPr>
          <w:ilvl w:val="0"/>
          <w:numId w:val="8"/>
        </w:numPr>
        <w:spacing w:line="360" w:lineRule="auto"/>
        <w:rPr>
          <w:rFonts w:ascii="Calibri" w:hAnsi="Calibri" w:cs="Calibri"/>
          <w:i/>
          <w:iCs/>
          <w:szCs w:val="22"/>
        </w:rPr>
      </w:pPr>
      <w:r w:rsidRPr="004F6597">
        <w:rPr>
          <w:rFonts w:ascii="Calibri" w:hAnsi="Calibri" w:cs="Calibri"/>
          <w:i/>
          <w:iCs/>
          <w:szCs w:val="22"/>
        </w:rPr>
        <w:t>Essentie Nederlands beleid op dit terrein</w:t>
      </w:r>
    </w:p>
    <w:p w:rsidRPr="004F6597" w:rsidR="00C80FE8" w:rsidP="00C80FE8" w:rsidRDefault="00C80FE8" w14:paraId="34082294" w14:textId="1F7DF3F4">
      <w:pPr>
        <w:spacing w:line="360" w:lineRule="auto"/>
        <w:rPr>
          <w:rFonts w:ascii="Calibri" w:hAnsi="Calibri" w:cs="Calibri"/>
          <w:szCs w:val="22"/>
        </w:rPr>
      </w:pPr>
      <w:r w:rsidRPr="004F6597">
        <w:rPr>
          <w:rFonts w:ascii="Calibri" w:hAnsi="Calibri" w:cs="Calibri"/>
          <w:szCs w:val="22"/>
        </w:rPr>
        <w:t xml:space="preserve">Het kabinet pleit ervoor dat de EU meer strategische verantwoordelijkheid moet nemen voor haar eigen veiligheid. De mededeling en het voorstel voor een herziening van een aantal verordeningen sluiten aan bij het kabinetsbeleid zoals </w:t>
      </w:r>
      <w:r w:rsidRPr="004F6597" w:rsidR="00703F11">
        <w:rPr>
          <w:rFonts w:ascii="Calibri" w:hAnsi="Calibri" w:cs="Calibri"/>
          <w:szCs w:val="22"/>
        </w:rPr>
        <w:t>uiteengezet</w:t>
      </w:r>
      <w:r w:rsidRPr="004F6597">
        <w:rPr>
          <w:rFonts w:ascii="Calibri" w:hAnsi="Calibri" w:cs="Calibri"/>
          <w:szCs w:val="22"/>
        </w:rPr>
        <w:t xml:space="preserve"> in de BNC-fiche over het Europees Defensie-industrieprogramma (EDIP) en de Europese Defensie-industriestrategie (EDIS) en het ‘</w:t>
      </w:r>
      <w:r w:rsidRPr="004F6597">
        <w:rPr>
          <w:rFonts w:ascii="Calibri" w:hAnsi="Calibri" w:cs="Calibri"/>
          <w:i/>
          <w:iCs/>
          <w:szCs w:val="22"/>
        </w:rPr>
        <w:t xml:space="preserve">Security Action </w:t>
      </w:r>
      <w:r w:rsidRPr="004F6597">
        <w:rPr>
          <w:rFonts w:ascii="Calibri" w:hAnsi="Calibri" w:cs="Calibri"/>
          <w:i/>
          <w:iCs/>
          <w:szCs w:val="22"/>
        </w:rPr>
        <w:lastRenderedPageBreak/>
        <w:t>for Europe</w:t>
      </w:r>
      <w:r w:rsidRPr="004F6597">
        <w:rPr>
          <w:rFonts w:ascii="Calibri" w:hAnsi="Calibri" w:cs="Calibri"/>
          <w:szCs w:val="22"/>
        </w:rPr>
        <w:t>’-instrument (SAFE-instrument).</w:t>
      </w:r>
      <w:r w:rsidRPr="004F6597">
        <w:rPr>
          <w:rStyle w:val="Voetnootmarkering"/>
          <w:rFonts w:ascii="Calibri" w:hAnsi="Calibri" w:cs="Calibri"/>
          <w:szCs w:val="22"/>
        </w:rPr>
        <w:footnoteReference w:id="8"/>
      </w:r>
      <w:r w:rsidRPr="004F6597">
        <w:rPr>
          <w:rFonts w:ascii="Calibri" w:hAnsi="Calibri" w:cs="Calibri"/>
          <w:szCs w:val="22"/>
        </w:rPr>
        <w:t xml:space="preserve"> Over het Witboek Europese Defensie Gereedheid 2030 is ook een kabinetsappreciatie geschreven</w:t>
      </w:r>
      <w:r w:rsidRPr="004F6597">
        <w:rPr>
          <w:rStyle w:val="Voetnootmarkering"/>
          <w:rFonts w:ascii="Calibri" w:hAnsi="Calibri" w:cs="Calibri"/>
          <w:szCs w:val="22"/>
        </w:rPr>
        <w:footnoteReference w:id="9"/>
      </w:r>
      <w:r w:rsidRPr="004F6597">
        <w:rPr>
          <w:rFonts w:ascii="Calibri" w:hAnsi="Calibri" w:cs="Calibri"/>
          <w:szCs w:val="22"/>
        </w:rPr>
        <w:t>. De stappen die de Commissie zet om meer verantwoordelijkheid te nemen voor haar eigen veiligheid sluiten goed aan bij nationaal beleid, zoals uiteengezet in de Defensienota en de Defensie Strategie voor Industrie en Innovatie 2025-2029.</w:t>
      </w:r>
      <w:r w:rsidRPr="004F6597">
        <w:rPr>
          <w:rStyle w:val="Voetnootmarkering"/>
          <w:rFonts w:ascii="Calibri" w:hAnsi="Calibri" w:cs="Calibri"/>
          <w:szCs w:val="22"/>
        </w:rPr>
        <w:footnoteReference w:id="10"/>
      </w:r>
    </w:p>
    <w:p w:rsidRPr="004F6597" w:rsidR="002F7284" w:rsidP="00ED7628" w:rsidRDefault="002F7284" w14:paraId="64B9FE3E" w14:textId="77777777">
      <w:pPr>
        <w:spacing w:line="360" w:lineRule="auto"/>
        <w:rPr>
          <w:rFonts w:ascii="Calibri" w:hAnsi="Calibri" w:cs="Calibri"/>
          <w:iCs/>
          <w:szCs w:val="22"/>
        </w:rPr>
      </w:pPr>
    </w:p>
    <w:p w:rsidRPr="004F6597" w:rsidR="00C66E07" w:rsidP="00ED7628" w:rsidRDefault="0365B89C" w14:paraId="63282EFE" w14:textId="2C688B24">
      <w:pPr>
        <w:spacing w:line="360" w:lineRule="auto"/>
        <w:rPr>
          <w:rFonts w:ascii="Calibri" w:hAnsi="Calibri" w:eastAsia="Verdana" w:cs="Calibri"/>
          <w:szCs w:val="22"/>
        </w:rPr>
      </w:pPr>
      <w:r w:rsidRPr="004F6597">
        <w:rPr>
          <w:rFonts w:ascii="Calibri" w:hAnsi="Calibri" w:eastAsia="Verdana" w:cs="Calibri"/>
          <w:szCs w:val="22"/>
        </w:rPr>
        <w:t xml:space="preserve">Het kabinet acht de </w:t>
      </w:r>
      <w:r w:rsidRPr="004F6597">
        <w:rPr>
          <w:rFonts w:ascii="Calibri" w:hAnsi="Calibri" w:cs="Calibri"/>
          <w:szCs w:val="22"/>
        </w:rPr>
        <w:t>doelen van het STEP-voorstel passen</w:t>
      </w:r>
      <w:r w:rsidRPr="004F6597" w:rsidR="00757EA5">
        <w:rPr>
          <w:rFonts w:ascii="Calibri" w:hAnsi="Calibri" w:cs="Calibri"/>
          <w:szCs w:val="22"/>
        </w:rPr>
        <w:t>d</w:t>
      </w:r>
      <w:r w:rsidRPr="004F6597">
        <w:rPr>
          <w:rFonts w:ascii="Calibri" w:hAnsi="Calibri" w:cs="Calibri"/>
          <w:szCs w:val="22"/>
        </w:rPr>
        <w:t xml:space="preserve"> binnen het Nederlandse industriebeleid, zoals uiteengezet in het BNC-fiche.</w:t>
      </w:r>
      <w:r w:rsidRPr="004F6597" w:rsidR="004F516D">
        <w:rPr>
          <w:rStyle w:val="Voetnootmarkering"/>
          <w:rFonts w:ascii="Calibri" w:hAnsi="Calibri" w:cs="Calibri"/>
          <w:szCs w:val="22"/>
        </w:rPr>
        <w:footnoteReference w:id="11"/>
      </w:r>
      <w:r w:rsidRPr="004F6597">
        <w:rPr>
          <w:rFonts w:ascii="Calibri" w:hAnsi="Calibri" w:cs="Calibri"/>
          <w:szCs w:val="22"/>
        </w:rPr>
        <w:t xml:space="preserve"> Dit omvat investeringen in strategische technologieën </w:t>
      </w:r>
      <w:r w:rsidRPr="004F6597" w:rsidR="6FB76FB5">
        <w:rPr>
          <w:rFonts w:ascii="Calibri" w:hAnsi="Calibri" w:cs="Calibri"/>
          <w:szCs w:val="22"/>
        </w:rPr>
        <w:t xml:space="preserve">zoals </w:t>
      </w:r>
      <w:r w:rsidRPr="004F6597" w:rsidR="526BB9A6">
        <w:rPr>
          <w:rFonts w:ascii="Calibri" w:hAnsi="Calibri" w:cs="Calibri"/>
          <w:szCs w:val="22"/>
        </w:rPr>
        <w:t xml:space="preserve">de 10 prioritaire technologieën die worden </w:t>
      </w:r>
      <w:r w:rsidRPr="004F6597" w:rsidR="6FB76FB5">
        <w:rPr>
          <w:rFonts w:ascii="Calibri" w:hAnsi="Calibri" w:cs="Calibri"/>
          <w:szCs w:val="22"/>
        </w:rPr>
        <w:t>genoemd in de Nationale Technologi</w:t>
      </w:r>
      <w:r w:rsidRPr="004F6597" w:rsidR="28864E3E">
        <w:rPr>
          <w:rFonts w:ascii="Calibri" w:hAnsi="Calibri" w:cs="Calibri"/>
          <w:szCs w:val="22"/>
        </w:rPr>
        <w:t>e Strategie (</w:t>
      </w:r>
      <w:r w:rsidRPr="004F6597" w:rsidR="42D20789">
        <w:rPr>
          <w:rFonts w:ascii="Calibri" w:hAnsi="Calibri" w:cs="Calibri"/>
          <w:szCs w:val="22"/>
        </w:rPr>
        <w:t>NTS)</w:t>
      </w:r>
      <w:r w:rsidRPr="004F6597">
        <w:rPr>
          <w:rFonts w:ascii="Calibri" w:hAnsi="Calibri" w:cs="Calibri"/>
          <w:szCs w:val="22"/>
        </w:rPr>
        <w:t xml:space="preserve">, de groene maakindustrie en de circulaire economie. </w:t>
      </w:r>
      <w:r w:rsidRPr="004F6597" w:rsidR="00C80FE8">
        <w:rPr>
          <w:rFonts w:ascii="Calibri" w:hAnsi="Calibri" w:cs="Calibri"/>
          <w:szCs w:val="22"/>
        </w:rPr>
        <w:t>Hierbij ziet het kabinet geen sterk onderscheid tussen technologieontwikkeling voor civiele toepassingen aan de ene kant en defensietoepassingen aan de andere kant. Tegenwoordig vindt de meeste innovatie plaats in het civiele domein en vinden die ook hun weg naar het defensiedomein. Het is hierbij zaak om technologie die vanuit een civiel oogpunt wordt ontwikkeld indien relevant optimaal te benutten voor defensiedoeleinden, zoals wordt geambieerd in de recent gepubliceerde Defensie Strategie voor Industrie en Innovatie.</w:t>
      </w:r>
      <w:r w:rsidRPr="004F6597" w:rsidR="00C80FE8">
        <w:rPr>
          <w:rStyle w:val="Voetnootmarkering"/>
          <w:rFonts w:ascii="Calibri" w:hAnsi="Calibri" w:cs="Calibri"/>
          <w:szCs w:val="22"/>
        </w:rPr>
        <w:footnoteReference w:id="12"/>
      </w:r>
      <w:r w:rsidRPr="004F6597" w:rsidR="00C80FE8">
        <w:rPr>
          <w:rFonts w:ascii="Calibri" w:hAnsi="Calibri" w:cs="Calibri"/>
          <w:szCs w:val="22"/>
        </w:rPr>
        <w:t xml:space="preserve">  </w:t>
      </w:r>
      <w:r w:rsidRPr="004F6597">
        <w:rPr>
          <w:rFonts w:ascii="Calibri" w:hAnsi="Calibri" w:cs="Calibri"/>
          <w:szCs w:val="22"/>
        </w:rPr>
        <w:t xml:space="preserve">Daarbij wil het kabinet krachten bundelen, door meer aansluiting te zoeken bij Europese initiatieven en samen met Europese partners richting te geven aan de ontwikkeling van waardeketens en strategische technologieën ter versterking van onze concurrentiekracht en vermindering van </w:t>
      </w:r>
      <w:r w:rsidRPr="004F6597" w:rsidR="0001656E">
        <w:rPr>
          <w:rFonts w:ascii="Calibri" w:hAnsi="Calibri" w:cs="Calibri"/>
          <w:szCs w:val="22"/>
        </w:rPr>
        <w:t xml:space="preserve">risicovolle </w:t>
      </w:r>
      <w:r w:rsidRPr="004F6597">
        <w:rPr>
          <w:rFonts w:ascii="Calibri" w:hAnsi="Calibri" w:cs="Calibri"/>
          <w:szCs w:val="22"/>
        </w:rPr>
        <w:t>strategische afhankelijkheden om onze klimaatdoelen en verdienvermogen te borgen.</w:t>
      </w:r>
    </w:p>
    <w:p w:rsidRPr="004F6597" w:rsidR="00C66E07" w:rsidP="00ED7628" w:rsidRDefault="00C66E07" w14:paraId="663237A3" w14:textId="77777777">
      <w:pPr>
        <w:spacing w:line="360" w:lineRule="auto"/>
        <w:rPr>
          <w:rFonts w:ascii="Calibri" w:hAnsi="Calibri" w:cs="Calibri"/>
          <w:iCs/>
          <w:szCs w:val="22"/>
        </w:rPr>
      </w:pPr>
    </w:p>
    <w:p w:rsidRPr="004F6597" w:rsidR="00827EB0" w:rsidP="00F35AB5" w:rsidRDefault="00827EB0" w14:paraId="39DBED51" w14:textId="3355F7C2">
      <w:pPr>
        <w:numPr>
          <w:ilvl w:val="0"/>
          <w:numId w:val="8"/>
        </w:numPr>
        <w:spacing w:line="360" w:lineRule="auto"/>
        <w:rPr>
          <w:rFonts w:ascii="Calibri" w:hAnsi="Calibri" w:cs="Calibri"/>
          <w:i/>
          <w:iCs/>
          <w:szCs w:val="22"/>
        </w:rPr>
      </w:pPr>
      <w:r w:rsidRPr="004F6597">
        <w:rPr>
          <w:rFonts w:ascii="Calibri" w:hAnsi="Calibri" w:cs="Calibri"/>
          <w:i/>
          <w:iCs/>
          <w:szCs w:val="22"/>
        </w:rPr>
        <w:t>Beoordeling + inzet ten aanzien van dit voorstel</w:t>
      </w:r>
    </w:p>
    <w:p w:rsidRPr="004F6597" w:rsidR="00F21536" w:rsidP="0365B89C" w:rsidRDefault="00EF7D2D" w14:paraId="0DC04F76" w14:textId="06C01278">
      <w:pPr>
        <w:spacing w:line="360" w:lineRule="auto"/>
        <w:rPr>
          <w:rFonts w:ascii="Calibri" w:hAnsi="Calibri" w:cs="Calibri"/>
          <w:szCs w:val="22"/>
        </w:rPr>
      </w:pPr>
      <w:r w:rsidRPr="004F6597">
        <w:rPr>
          <w:rFonts w:ascii="Calibri" w:hAnsi="Calibri" w:cs="Calibri"/>
          <w:szCs w:val="22"/>
        </w:rPr>
        <w:t xml:space="preserve">Defensie en veiligheid zijn grote Europese uitdagingen waar de Unie momenteel voor staat. Hiervoor gelden duidelijk nieuwe omstandigheden, waarbij gezamenlijk Europees optreden toegevoegde waarde kan opleveren. </w:t>
      </w:r>
      <w:r w:rsidRPr="004F6597" w:rsidR="0365B89C">
        <w:rPr>
          <w:rFonts w:ascii="Calibri" w:hAnsi="Calibri" w:cs="Calibri"/>
          <w:szCs w:val="22"/>
        </w:rPr>
        <w:t xml:space="preserve">Nieuwe geopolitieke uitdagingen vragen om een herijking van de invulling en prioriteiten van de EU-begroting opdat het nog lopende MFK de </w:t>
      </w:r>
      <w:r w:rsidRPr="004F6597">
        <w:rPr>
          <w:rFonts w:ascii="Calibri" w:hAnsi="Calibri" w:cs="Calibri"/>
          <w:szCs w:val="22"/>
        </w:rPr>
        <w:t>actuele</w:t>
      </w:r>
      <w:r w:rsidRPr="004F6597" w:rsidR="0365B89C">
        <w:rPr>
          <w:rFonts w:ascii="Calibri" w:hAnsi="Calibri" w:cs="Calibri"/>
          <w:szCs w:val="22"/>
        </w:rPr>
        <w:t xml:space="preserve"> prioriteiten reflecteert. </w:t>
      </w:r>
      <w:r w:rsidRPr="004F6597" w:rsidR="00613647">
        <w:rPr>
          <w:rFonts w:ascii="Calibri" w:hAnsi="Calibri" w:cs="Calibri"/>
          <w:szCs w:val="22"/>
        </w:rPr>
        <w:t>De benodigde</w:t>
      </w:r>
      <w:r w:rsidRPr="004F6597" w:rsidR="00CF2DA8">
        <w:rPr>
          <w:rFonts w:ascii="Calibri" w:hAnsi="Calibri" w:cs="Calibri"/>
          <w:szCs w:val="22"/>
        </w:rPr>
        <w:t xml:space="preserve"> middelen </w:t>
      </w:r>
      <w:r w:rsidRPr="004F6597" w:rsidR="00613647">
        <w:rPr>
          <w:rFonts w:ascii="Calibri" w:hAnsi="Calibri" w:cs="Calibri"/>
          <w:szCs w:val="22"/>
        </w:rPr>
        <w:t xml:space="preserve">moeten </w:t>
      </w:r>
      <w:r w:rsidRPr="004F6597" w:rsidR="00CF2DA8">
        <w:rPr>
          <w:rFonts w:ascii="Calibri" w:hAnsi="Calibri" w:cs="Calibri"/>
          <w:szCs w:val="22"/>
        </w:rPr>
        <w:t>worden gevonden binnen de begrotingskaders van het huidige MFK</w:t>
      </w:r>
      <w:r w:rsidRPr="004F6597" w:rsidR="00766C57">
        <w:rPr>
          <w:rFonts w:ascii="Calibri" w:hAnsi="Calibri" w:cs="Calibri"/>
          <w:szCs w:val="22"/>
        </w:rPr>
        <w:t>, daar waar er geen middelen worden aangewend vanuit het vorige MFK</w:t>
      </w:r>
      <w:r w:rsidRPr="004F6597" w:rsidR="00CF2DA8">
        <w:rPr>
          <w:rFonts w:ascii="Calibri" w:hAnsi="Calibri" w:cs="Calibri"/>
          <w:szCs w:val="22"/>
        </w:rPr>
        <w:t>.</w:t>
      </w:r>
      <w:r w:rsidRPr="004F6597" w:rsidR="0365B89C">
        <w:rPr>
          <w:rFonts w:ascii="Calibri" w:hAnsi="Calibri" w:cs="Calibri"/>
          <w:szCs w:val="22"/>
        </w:rPr>
        <w:t xml:space="preserve"> Daarom is het kabinet positief gestemd over de herprioritering en inzet van </w:t>
      </w:r>
      <w:r w:rsidRPr="004F6597" w:rsidR="00E750A9">
        <w:rPr>
          <w:rFonts w:ascii="Calibri" w:hAnsi="Calibri" w:cs="Calibri"/>
          <w:szCs w:val="22"/>
        </w:rPr>
        <w:t xml:space="preserve">diverse </w:t>
      </w:r>
      <w:r w:rsidRPr="004F6597" w:rsidR="0365B89C">
        <w:rPr>
          <w:rFonts w:ascii="Calibri" w:hAnsi="Calibri" w:cs="Calibri"/>
          <w:szCs w:val="22"/>
        </w:rPr>
        <w:t>bestaande middelen binnen de EU-begroting</w:t>
      </w:r>
      <w:r w:rsidRPr="004F6597" w:rsidR="00703F11">
        <w:rPr>
          <w:rFonts w:ascii="Calibri" w:hAnsi="Calibri" w:cs="Calibri"/>
          <w:szCs w:val="22"/>
        </w:rPr>
        <w:t xml:space="preserve"> </w:t>
      </w:r>
      <w:r w:rsidRPr="004F6597" w:rsidR="00F21536">
        <w:rPr>
          <w:rFonts w:ascii="Calibri" w:hAnsi="Calibri" w:cs="Calibri"/>
          <w:szCs w:val="22"/>
        </w:rPr>
        <w:t>voor defensiedoeleinden. De uitdaging waar de EU voor staat op defensiegebied is groot. Het huidige MFK is opgezet in een tijd met een andere veiligheidsdreiging. Het kabinet acht het passend om de betreffende programma’s tussentijds aan te passen aan de nieuwe realiteit.</w:t>
      </w:r>
    </w:p>
    <w:p w:rsidRPr="004F6597" w:rsidR="00F21536" w:rsidP="0365B89C" w:rsidRDefault="00F21536" w14:paraId="6FD28272" w14:textId="77777777">
      <w:pPr>
        <w:spacing w:line="360" w:lineRule="auto"/>
        <w:rPr>
          <w:rFonts w:ascii="Calibri" w:hAnsi="Calibri" w:cs="Calibri"/>
          <w:szCs w:val="22"/>
        </w:rPr>
      </w:pPr>
    </w:p>
    <w:p w:rsidRPr="004F6597" w:rsidR="002F7284" w:rsidP="001D5110" w:rsidRDefault="003F4981" w14:paraId="4514C386" w14:textId="22A9F10A">
      <w:pPr>
        <w:spacing w:line="360" w:lineRule="auto"/>
        <w:rPr>
          <w:rFonts w:ascii="Calibri" w:hAnsi="Calibri" w:cs="Calibri"/>
          <w:szCs w:val="22"/>
        </w:rPr>
      </w:pPr>
      <w:r w:rsidRPr="004F6597">
        <w:rPr>
          <w:rFonts w:ascii="Calibri" w:hAnsi="Calibri" w:cs="Calibri"/>
          <w:szCs w:val="22"/>
        </w:rPr>
        <w:t>Het kabinet is positief dat de Commissie gezocht heeft naar kansen voor het stroomlijnen van financieringsbronnen. Voor de genoemde fondsen in gedeeld beheer geldt wel dat de budgetten vastliggen in lidstaat-enveloppen en hierdoor al aan de verschillende programma’s zijn gealloceerd.</w:t>
      </w:r>
      <w:r w:rsidRPr="004F6597" w:rsidR="009F4876">
        <w:rPr>
          <w:rFonts w:ascii="Calibri" w:hAnsi="Calibri" w:cs="Calibri"/>
          <w:szCs w:val="22"/>
        </w:rPr>
        <w:t xml:space="preserve"> Dit betekent dat voor Nederland er niet direct meer investeringsmogelijkheden vrijkomen</w:t>
      </w:r>
      <w:r w:rsidRPr="004F6597" w:rsidR="00F540D8">
        <w:rPr>
          <w:rFonts w:ascii="Calibri" w:hAnsi="Calibri" w:cs="Calibri"/>
          <w:szCs w:val="22"/>
        </w:rPr>
        <w:t xml:space="preserve"> omdat de cohesiemiddelen al zijn toebedeeld</w:t>
      </w:r>
      <w:r w:rsidRPr="004F6597" w:rsidR="009F4876">
        <w:rPr>
          <w:rFonts w:ascii="Calibri" w:hAnsi="Calibri" w:cs="Calibri"/>
          <w:szCs w:val="22"/>
        </w:rPr>
        <w:t>. Nederland kan wel profiteren van de indirecte effecten als toeleverancier in een grensoverschrijdende waardeketen als andere landen wel investeren en gebruikmaken van de ruimte om te investeren in de defensiesector.</w:t>
      </w:r>
    </w:p>
    <w:p w:rsidRPr="004F6597" w:rsidR="003F4981" w:rsidP="001D5110" w:rsidRDefault="003F4981" w14:paraId="63B81652" w14:textId="77777777">
      <w:pPr>
        <w:spacing w:line="360" w:lineRule="auto"/>
        <w:rPr>
          <w:rFonts w:ascii="Calibri" w:hAnsi="Calibri" w:cs="Calibri"/>
          <w:iCs/>
          <w:szCs w:val="22"/>
          <w:u w:val="single"/>
        </w:rPr>
      </w:pPr>
    </w:p>
    <w:p w:rsidRPr="004F6597" w:rsidR="00EF7D2D" w:rsidP="008005CB" w:rsidRDefault="0365B89C" w14:paraId="5C1C07C9" w14:textId="01C1FC67">
      <w:pPr>
        <w:spacing w:line="360" w:lineRule="auto"/>
        <w:rPr>
          <w:rFonts w:ascii="Calibri" w:hAnsi="Calibri" w:eastAsia="Verdana" w:cs="Calibri"/>
          <w:szCs w:val="22"/>
        </w:rPr>
      </w:pPr>
      <w:r w:rsidRPr="004F6597">
        <w:rPr>
          <w:rFonts w:ascii="Calibri" w:hAnsi="Calibri" w:cs="Calibri"/>
          <w:szCs w:val="22"/>
          <w:lang w:eastAsia="nl-NL"/>
        </w:rPr>
        <w:t xml:space="preserve">Het kabinet staat positief tegenover de mogelijkheid om effectief financiering voor het EDF en het </w:t>
      </w:r>
      <w:r w:rsidRPr="004F6597" w:rsidR="00703F11">
        <w:rPr>
          <w:rFonts w:ascii="Calibri" w:hAnsi="Calibri" w:cs="Calibri"/>
          <w:szCs w:val="22"/>
          <w:lang w:eastAsia="nl-NL"/>
        </w:rPr>
        <w:t>ASAP-programma</w:t>
      </w:r>
      <w:r w:rsidRPr="004F6597">
        <w:rPr>
          <w:rFonts w:ascii="Calibri" w:hAnsi="Calibri" w:cs="Calibri"/>
          <w:szCs w:val="22"/>
          <w:lang w:eastAsia="nl-NL"/>
        </w:rPr>
        <w:t xml:space="preserve"> cumulatief aan te wenden.</w:t>
      </w:r>
      <w:r w:rsidRPr="004F6597" w:rsidR="003F4981">
        <w:rPr>
          <w:rFonts w:ascii="Calibri" w:hAnsi="Calibri" w:cs="Calibri"/>
          <w:szCs w:val="22"/>
        </w:rPr>
        <w:t xml:space="preserve"> Het kabinet heeft eerder in het kader van het Europees Defensie-industrie Programma (EDIP) aangegeven de mogelijkheid te steunen om cohesiemiddelen te gebruiken voor activiteiten op het gebied van defensie-industriële versterking door deze als cofinanciering in te zetten voor ASAP</w:t>
      </w:r>
      <w:r w:rsidRPr="004F6597" w:rsidR="003F4981">
        <w:rPr>
          <w:rStyle w:val="Voetnootmarkering"/>
          <w:rFonts w:ascii="Calibri" w:hAnsi="Calibri" w:cs="Calibri"/>
          <w:szCs w:val="22"/>
        </w:rPr>
        <w:footnoteReference w:id="13"/>
      </w:r>
      <w:r w:rsidRPr="004F6597" w:rsidR="003F4981">
        <w:rPr>
          <w:rFonts w:ascii="Calibri" w:hAnsi="Calibri" w:cs="Calibri"/>
          <w:szCs w:val="22"/>
        </w:rPr>
        <w:t xml:space="preserve">. Het kabinet steunt ook de nieuwe mogelijkheden die de Commissie voorstelt voor het overhevelen van cohesiemiddelen naar EDF, ASAP en CEF. </w:t>
      </w:r>
      <w:r w:rsidRPr="004F6597" w:rsidR="00EF7D2D">
        <w:rPr>
          <w:rFonts w:ascii="Calibri" w:hAnsi="Calibri" w:eastAsia="Verdana" w:cs="Calibri"/>
          <w:szCs w:val="22"/>
        </w:rPr>
        <w:t xml:space="preserve">Het kabinet roept de Commissie op om nadere toelichting te geven over het proces van deze overdracht en vraagt zich af in hoeverre lidstaten hiertoe bereid zijn. Daarnaast dient voorkomen te worden dat bevroren gelden kunnen worden overgeheveld naar andere programma’s en via een omweg toch kunnen worden uitgegeven. </w:t>
      </w:r>
    </w:p>
    <w:p w:rsidRPr="004F6597" w:rsidR="00EF7D2D" w:rsidP="008005CB" w:rsidRDefault="00EF7D2D" w14:paraId="199AC002" w14:textId="77777777">
      <w:pPr>
        <w:spacing w:line="360" w:lineRule="auto"/>
        <w:rPr>
          <w:rFonts w:ascii="Calibri" w:hAnsi="Calibri" w:eastAsia="Verdana" w:cs="Calibri"/>
          <w:szCs w:val="22"/>
        </w:rPr>
      </w:pPr>
    </w:p>
    <w:p w:rsidRPr="004F6597" w:rsidR="00EF7D2D" w:rsidP="00EF7D2D" w:rsidRDefault="003F4981" w14:paraId="5A159E02" w14:textId="16BF07B1">
      <w:pPr>
        <w:spacing w:line="360" w:lineRule="auto"/>
        <w:rPr>
          <w:rFonts w:ascii="Calibri" w:hAnsi="Calibri" w:cs="Calibri"/>
          <w:szCs w:val="22"/>
          <w:lang w:eastAsia="nl-NL"/>
        </w:rPr>
      </w:pPr>
      <w:r w:rsidRPr="004F6597">
        <w:rPr>
          <w:rFonts w:ascii="Calibri" w:hAnsi="Calibri" w:cs="Calibri"/>
          <w:szCs w:val="22"/>
        </w:rPr>
        <w:t>Daarnaast wil de Commissie ook binnen de kaders van het cohesiebeleid meer mogelijk maken voor lidstaten om te investeren in defensie en veiligheid. Dit is onderdeel van de tussentijdse herziening van het cohesiebeleid, waarmee de Commissie de investeringen uit de fondsen onder het cohesiebeleid beter wil afstemmen op de nieuwe Europese prioriteiten. Het kabinet staat positief tegenover de verbreding van het cohesiebeleid met een nieuwe prioriteit voor defensie en veiligheid,</w:t>
      </w:r>
      <w:r w:rsidRPr="004F6597">
        <w:rPr>
          <w:rFonts w:ascii="Calibri" w:hAnsi="Calibri" w:cs="Calibri"/>
          <w:szCs w:val="22"/>
          <w:lang w:eastAsia="nl-NL"/>
        </w:rPr>
        <w:t xml:space="preserve"> i</w:t>
      </w:r>
      <w:r w:rsidRPr="004F6597">
        <w:rPr>
          <w:rFonts w:ascii="Calibri" w:hAnsi="Calibri" w:cs="Calibri"/>
          <w:szCs w:val="22"/>
        </w:rPr>
        <w:t>n lijn met de overgenomen motie van de leden Kahraman en Van Campen</w:t>
      </w:r>
      <w:r w:rsidRPr="004F6597">
        <w:rPr>
          <w:rStyle w:val="Voetnootmarkering"/>
          <w:rFonts w:ascii="Calibri" w:hAnsi="Calibri" w:cs="Calibri" w:eastAsiaTheme="majorEastAsia"/>
          <w:szCs w:val="22"/>
        </w:rPr>
        <w:footnoteReference w:id="14"/>
      </w:r>
      <w:r w:rsidRPr="004F6597">
        <w:rPr>
          <w:rFonts w:ascii="Calibri" w:hAnsi="Calibri" w:cs="Calibri"/>
          <w:szCs w:val="22"/>
        </w:rPr>
        <w:t>. Voor de voorstellen inzake de tussentijdse herziening van het cohesiebeleid is een separaat BNC-fiche opgesteld</w:t>
      </w:r>
      <w:r w:rsidRPr="004F6597" w:rsidR="00685D18">
        <w:rPr>
          <w:rFonts w:ascii="Calibri" w:hAnsi="Calibri" w:cs="Calibri"/>
          <w:szCs w:val="22"/>
        </w:rPr>
        <w:t>.</w:t>
      </w:r>
      <w:r w:rsidRPr="004F6597">
        <w:rPr>
          <w:rStyle w:val="Voetnootmarkering"/>
          <w:rFonts w:ascii="Calibri" w:hAnsi="Calibri" w:cs="Calibri"/>
          <w:szCs w:val="22"/>
        </w:rPr>
        <w:footnoteReference w:id="15"/>
      </w:r>
    </w:p>
    <w:p w:rsidRPr="004F6597" w:rsidR="002F7284" w:rsidP="001D5110" w:rsidRDefault="002F7284" w14:paraId="4B2ACA67" w14:textId="77777777">
      <w:pPr>
        <w:spacing w:line="360" w:lineRule="auto"/>
        <w:rPr>
          <w:rFonts w:ascii="Calibri" w:hAnsi="Calibri" w:cs="Calibri"/>
          <w:szCs w:val="22"/>
          <w:lang w:eastAsia="nl-NL"/>
        </w:rPr>
      </w:pPr>
    </w:p>
    <w:p w:rsidRPr="004F6597" w:rsidR="001D5110" w:rsidP="0365B89C" w:rsidRDefault="0365B89C" w14:paraId="430534B9" w14:textId="26AF8663">
      <w:pPr>
        <w:spacing w:line="360" w:lineRule="auto"/>
        <w:rPr>
          <w:rFonts w:ascii="Calibri" w:hAnsi="Calibri" w:cs="Calibri"/>
          <w:szCs w:val="22"/>
          <w:lang w:eastAsia="nl-NL"/>
        </w:rPr>
      </w:pPr>
      <w:r w:rsidRPr="004F6597">
        <w:rPr>
          <w:rFonts w:ascii="Calibri" w:hAnsi="Calibri" w:cs="Calibri"/>
          <w:szCs w:val="22"/>
        </w:rPr>
        <w:t xml:space="preserve">Het kabinet steunt de Commissie in haar wens om toegang tot financiering voor bedrijven zoveel mogelijk te </w:t>
      </w:r>
      <w:r w:rsidRPr="004F6597" w:rsidR="00E750A9">
        <w:rPr>
          <w:rFonts w:ascii="Calibri" w:hAnsi="Calibri" w:cs="Calibri"/>
          <w:szCs w:val="22"/>
        </w:rPr>
        <w:t xml:space="preserve">vergroten </w:t>
      </w:r>
      <w:r w:rsidRPr="004F6597">
        <w:rPr>
          <w:rFonts w:ascii="Calibri" w:hAnsi="Calibri" w:cs="Calibri"/>
          <w:szCs w:val="22"/>
        </w:rPr>
        <w:t xml:space="preserve">door middel van een </w:t>
      </w:r>
      <w:r w:rsidRPr="004F6597" w:rsidR="00C66E07">
        <w:rPr>
          <w:rFonts w:ascii="Calibri" w:hAnsi="Calibri" w:cs="Calibri"/>
          <w:szCs w:val="22"/>
          <w:lang w:eastAsia="nl-NL"/>
        </w:rPr>
        <w:t>STEP-zegel</w:t>
      </w:r>
      <w:r w:rsidRPr="004F6597">
        <w:rPr>
          <w:rFonts w:ascii="Calibri" w:hAnsi="Calibri" w:cs="Calibri"/>
          <w:szCs w:val="22"/>
          <w:lang w:eastAsia="nl-NL"/>
        </w:rPr>
        <w:t>. Deze</w:t>
      </w:r>
      <w:r w:rsidRPr="004F6597" w:rsidR="00C66E07">
        <w:rPr>
          <w:rFonts w:ascii="Calibri" w:hAnsi="Calibri" w:cs="Calibri"/>
          <w:szCs w:val="22"/>
          <w:lang w:eastAsia="nl-NL"/>
        </w:rPr>
        <w:t xml:space="preserve"> zegel</w:t>
      </w:r>
      <w:r w:rsidRPr="004F6597">
        <w:rPr>
          <w:rFonts w:ascii="Calibri" w:hAnsi="Calibri" w:cs="Calibri"/>
          <w:i/>
          <w:iCs/>
          <w:szCs w:val="22"/>
          <w:lang w:eastAsia="nl-NL"/>
        </w:rPr>
        <w:t xml:space="preserve"> </w:t>
      </w:r>
      <w:r w:rsidRPr="004F6597">
        <w:rPr>
          <w:rFonts w:ascii="Calibri" w:hAnsi="Calibri" w:cs="Calibri"/>
          <w:szCs w:val="22"/>
          <w:lang w:eastAsia="nl-NL"/>
        </w:rPr>
        <w:t>wordt gegeven aan</w:t>
      </w:r>
      <w:r w:rsidRPr="004F6597">
        <w:rPr>
          <w:rFonts w:ascii="Calibri" w:hAnsi="Calibri" w:cs="Calibri"/>
          <w:i/>
          <w:iCs/>
          <w:szCs w:val="22"/>
          <w:lang w:eastAsia="nl-NL"/>
        </w:rPr>
        <w:t xml:space="preserve"> </w:t>
      </w:r>
      <w:r w:rsidRPr="004F6597">
        <w:rPr>
          <w:rFonts w:ascii="Calibri" w:hAnsi="Calibri" w:eastAsia="Verdana" w:cs="Calibri"/>
          <w:szCs w:val="22"/>
        </w:rPr>
        <w:t xml:space="preserve">projecten met een hoog potentieel in de defensiesector, met als doel financiering uit andere bronnen aan te </w:t>
      </w:r>
      <w:r w:rsidRPr="004F6597">
        <w:rPr>
          <w:rFonts w:ascii="Calibri" w:hAnsi="Calibri" w:eastAsia="Verdana" w:cs="Calibri"/>
          <w:szCs w:val="22"/>
        </w:rPr>
        <w:lastRenderedPageBreak/>
        <w:t xml:space="preserve">trekken </w:t>
      </w:r>
      <w:r w:rsidRPr="004F6597" w:rsidR="00E750A9">
        <w:rPr>
          <w:rFonts w:ascii="Calibri" w:hAnsi="Calibri" w:eastAsia="Verdana" w:cs="Calibri"/>
          <w:szCs w:val="22"/>
        </w:rPr>
        <w:t xml:space="preserve">dan </w:t>
      </w:r>
      <w:r w:rsidRPr="004F6597">
        <w:rPr>
          <w:rFonts w:ascii="Calibri" w:hAnsi="Calibri" w:eastAsia="Verdana" w:cs="Calibri"/>
          <w:szCs w:val="22"/>
        </w:rPr>
        <w:t xml:space="preserve">de Horizon Europe, DEP en </w:t>
      </w:r>
      <w:r w:rsidRPr="004F6597" w:rsidR="00703F11">
        <w:rPr>
          <w:rFonts w:ascii="Calibri" w:hAnsi="Calibri" w:eastAsia="Verdana" w:cs="Calibri"/>
          <w:szCs w:val="22"/>
        </w:rPr>
        <w:t>EDF-programma’s</w:t>
      </w:r>
      <w:r w:rsidRPr="004F6597">
        <w:rPr>
          <w:rFonts w:ascii="Calibri" w:hAnsi="Calibri" w:eastAsia="Verdana" w:cs="Calibri"/>
          <w:szCs w:val="22"/>
        </w:rPr>
        <w:t xml:space="preserve">. </w:t>
      </w:r>
      <w:r w:rsidRPr="004F6597">
        <w:rPr>
          <w:rFonts w:ascii="Calibri" w:hAnsi="Calibri" w:cs="Calibri"/>
          <w:szCs w:val="22"/>
          <w:lang w:eastAsia="nl-NL"/>
        </w:rPr>
        <w:t xml:space="preserve">Wel vraagt het kabinet zich af of de huidige opzet van dit kwaliteitslabel </w:t>
      </w:r>
      <w:r w:rsidRPr="004F6597" w:rsidR="00A95F68">
        <w:rPr>
          <w:rFonts w:ascii="Calibri" w:hAnsi="Calibri" w:cs="Calibri"/>
          <w:szCs w:val="22"/>
          <w:lang w:eastAsia="nl-NL"/>
        </w:rPr>
        <w:t xml:space="preserve">echt effect sorteert, </w:t>
      </w:r>
      <w:r w:rsidRPr="004F6597">
        <w:rPr>
          <w:rFonts w:ascii="Calibri" w:hAnsi="Calibri" w:cs="Calibri"/>
          <w:szCs w:val="22"/>
          <w:lang w:eastAsia="nl-NL"/>
        </w:rPr>
        <w:t xml:space="preserve">doelmatig is en kijkt het naar mogelijkheden om aanvullende administratieve lasten zoveel mogelijk te voorkomen en effectiviteit ervan te versterken. Daarom roept het kabinet op tot het uitvoeren van </w:t>
      </w:r>
      <w:r w:rsidRPr="004F6597" w:rsidR="00C66E07">
        <w:rPr>
          <w:rFonts w:ascii="Calibri" w:hAnsi="Calibri" w:cs="Calibri"/>
          <w:szCs w:val="22"/>
          <w:lang w:eastAsia="nl-NL"/>
        </w:rPr>
        <w:t xml:space="preserve">een </w:t>
      </w:r>
      <w:r w:rsidRPr="004F6597">
        <w:rPr>
          <w:rFonts w:ascii="Calibri" w:hAnsi="Calibri" w:cs="Calibri"/>
          <w:i/>
          <w:iCs/>
          <w:szCs w:val="22"/>
          <w:lang w:eastAsia="nl-NL"/>
        </w:rPr>
        <w:t>impact assessmen</w:t>
      </w:r>
      <w:r w:rsidRPr="004F6597" w:rsidR="00C66E07">
        <w:rPr>
          <w:rFonts w:ascii="Calibri" w:hAnsi="Calibri" w:cs="Calibri"/>
          <w:i/>
          <w:iCs/>
          <w:szCs w:val="22"/>
          <w:lang w:eastAsia="nl-NL"/>
        </w:rPr>
        <w:t>t</w:t>
      </w:r>
      <w:r w:rsidRPr="004F6597">
        <w:rPr>
          <w:rFonts w:ascii="Calibri" w:hAnsi="Calibri" w:cs="Calibri"/>
          <w:szCs w:val="22"/>
          <w:lang w:eastAsia="nl-NL"/>
        </w:rPr>
        <w:t xml:space="preserve"> om duidelijk inzicht te krijgen in de effecten van </w:t>
      </w:r>
      <w:r w:rsidRPr="004F6597" w:rsidR="00C66E07">
        <w:rPr>
          <w:rFonts w:ascii="Calibri" w:hAnsi="Calibri" w:cs="Calibri"/>
          <w:szCs w:val="22"/>
        </w:rPr>
        <w:t xml:space="preserve">een </w:t>
      </w:r>
      <w:r w:rsidRPr="004F6597" w:rsidR="00C66E07">
        <w:rPr>
          <w:rFonts w:ascii="Calibri" w:hAnsi="Calibri" w:cs="Calibri"/>
          <w:szCs w:val="22"/>
          <w:lang w:eastAsia="nl-NL"/>
        </w:rPr>
        <w:t>STEP-zegel</w:t>
      </w:r>
      <w:r w:rsidRPr="004F6597" w:rsidR="4FAD3442">
        <w:rPr>
          <w:rFonts w:ascii="Calibri" w:hAnsi="Calibri" w:cs="Calibri"/>
          <w:i/>
          <w:iCs/>
          <w:szCs w:val="22"/>
          <w:lang w:eastAsia="nl-NL"/>
        </w:rPr>
        <w:t>.</w:t>
      </w:r>
    </w:p>
    <w:p w:rsidRPr="004F6597" w:rsidR="008A715E" w:rsidP="001D5110" w:rsidRDefault="008A715E" w14:paraId="27A8B948" w14:textId="77777777">
      <w:pPr>
        <w:spacing w:line="360" w:lineRule="auto"/>
        <w:rPr>
          <w:rFonts w:ascii="Calibri" w:hAnsi="Calibri" w:cs="Calibri"/>
          <w:szCs w:val="22"/>
          <w:lang w:eastAsia="nl-NL"/>
        </w:rPr>
      </w:pPr>
    </w:p>
    <w:p w:rsidRPr="004F6597" w:rsidR="003F4981" w:rsidP="003F4981" w:rsidRDefault="008A715E" w14:paraId="175BA339" w14:textId="06A41473">
      <w:pPr>
        <w:spacing w:line="360" w:lineRule="auto"/>
        <w:rPr>
          <w:rFonts w:ascii="Calibri" w:hAnsi="Calibri" w:cs="Calibri"/>
          <w:szCs w:val="22"/>
          <w:lang w:eastAsia="nl-NL"/>
        </w:rPr>
      </w:pPr>
      <w:bookmarkStart w:name="_Hlk198031721" w:id="14"/>
      <w:r w:rsidRPr="004F6597">
        <w:rPr>
          <w:rFonts w:ascii="Calibri" w:hAnsi="Calibri" w:cs="Calibri"/>
          <w:szCs w:val="22"/>
          <w:lang w:eastAsia="nl-NL"/>
        </w:rPr>
        <w:t xml:space="preserve">Het kabinet steunt de herziening van het DEP om acties voor </w:t>
      </w:r>
      <w:r w:rsidRPr="004F6597" w:rsidR="6C08274B">
        <w:rPr>
          <w:rFonts w:ascii="Calibri" w:hAnsi="Calibri" w:cs="Calibri"/>
          <w:szCs w:val="22"/>
          <w:lang w:eastAsia="nl-NL"/>
        </w:rPr>
        <w:t>dual-use</w:t>
      </w:r>
      <w:r w:rsidRPr="004F6597">
        <w:rPr>
          <w:rFonts w:ascii="Calibri" w:hAnsi="Calibri" w:cs="Calibri"/>
          <w:szCs w:val="22"/>
          <w:lang w:eastAsia="nl-NL"/>
        </w:rPr>
        <w:t xml:space="preserve"> toe te staan</w:t>
      </w:r>
      <w:r w:rsidRPr="004F6597" w:rsidR="00970424">
        <w:rPr>
          <w:rFonts w:ascii="Calibri" w:hAnsi="Calibri" w:cs="Calibri"/>
          <w:szCs w:val="22"/>
          <w:lang w:eastAsia="nl-NL"/>
        </w:rPr>
        <w:t>.</w:t>
      </w:r>
      <w:r w:rsidRPr="004F6597">
        <w:rPr>
          <w:rFonts w:ascii="Calibri" w:hAnsi="Calibri" w:cs="Calibri"/>
          <w:szCs w:val="22"/>
          <w:lang w:eastAsia="nl-NL"/>
        </w:rPr>
        <w:t xml:space="preserve"> Het kabinet is positief ten aanzien van de mogelijk</w:t>
      </w:r>
      <w:r w:rsidRPr="004F6597" w:rsidR="00970424">
        <w:rPr>
          <w:rFonts w:ascii="Calibri" w:hAnsi="Calibri" w:cs="Calibri"/>
          <w:szCs w:val="22"/>
          <w:lang w:eastAsia="nl-NL"/>
        </w:rPr>
        <w:t>heid</w:t>
      </w:r>
      <w:r w:rsidRPr="004F6597" w:rsidR="0040264E">
        <w:rPr>
          <w:rFonts w:ascii="Calibri" w:hAnsi="Calibri" w:cs="Calibri"/>
          <w:szCs w:val="22"/>
          <w:lang w:eastAsia="nl-NL"/>
        </w:rPr>
        <w:t xml:space="preserve"> bieden</w:t>
      </w:r>
      <w:r w:rsidRPr="004F6597">
        <w:rPr>
          <w:rFonts w:ascii="Calibri" w:hAnsi="Calibri" w:cs="Calibri"/>
          <w:szCs w:val="22"/>
          <w:lang w:eastAsia="nl-NL"/>
        </w:rPr>
        <w:t xml:space="preserve"> om begrotingsflexibiliteit te gebruiken om aanvullende, gerichte investeringen te ondersteunen ten behoeve van het concurrentievermogen en de </w:t>
      </w:r>
      <w:r w:rsidRPr="004F6597" w:rsidR="0040264E">
        <w:rPr>
          <w:rFonts w:ascii="Calibri" w:hAnsi="Calibri" w:cs="Calibri"/>
          <w:szCs w:val="22"/>
          <w:lang w:eastAsia="nl-NL"/>
        </w:rPr>
        <w:t xml:space="preserve">open </w:t>
      </w:r>
      <w:r w:rsidRPr="004F6597">
        <w:rPr>
          <w:rFonts w:ascii="Calibri" w:hAnsi="Calibri" w:cs="Calibri"/>
          <w:szCs w:val="22"/>
          <w:lang w:eastAsia="nl-NL"/>
        </w:rPr>
        <w:t xml:space="preserve">strategische autonomie van de EU. Het kabinet benadrukt dat er veel potentieel zit in </w:t>
      </w:r>
      <w:r w:rsidRPr="004F6597" w:rsidR="003F4981">
        <w:rPr>
          <w:rFonts w:ascii="Calibri" w:hAnsi="Calibri" w:cs="Calibri"/>
          <w:szCs w:val="22"/>
          <w:lang w:eastAsia="nl-NL"/>
        </w:rPr>
        <w:t>technologie projecten</w:t>
      </w:r>
      <w:r w:rsidRPr="004F6597">
        <w:rPr>
          <w:rFonts w:ascii="Calibri" w:hAnsi="Calibri" w:cs="Calibri"/>
          <w:szCs w:val="22"/>
          <w:lang w:eastAsia="nl-NL"/>
        </w:rPr>
        <w:t xml:space="preserve"> van DEP en ziet dan ook kansen om hierin </w:t>
      </w:r>
      <w:r w:rsidRPr="004F6597" w:rsidR="00972A77">
        <w:rPr>
          <w:rFonts w:ascii="Calibri" w:hAnsi="Calibri" w:cs="Calibri"/>
          <w:szCs w:val="22"/>
          <w:lang w:eastAsia="nl-NL"/>
        </w:rPr>
        <w:t>synergiën</w:t>
      </w:r>
      <w:r w:rsidRPr="004F6597">
        <w:rPr>
          <w:rFonts w:ascii="Calibri" w:hAnsi="Calibri" w:cs="Calibri"/>
          <w:szCs w:val="22"/>
          <w:lang w:eastAsia="nl-NL"/>
        </w:rPr>
        <w:t xml:space="preserve"> op te zoeken en technologie en onderzoek aan te wenden voor </w:t>
      </w:r>
      <w:r w:rsidRPr="004F6597" w:rsidR="6C08274B">
        <w:rPr>
          <w:rFonts w:ascii="Calibri" w:hAnsi="Calibri" w:cs="Calibri"/>
          <w:szCs w:val="22"/>
          <w:lang w:eastAsia="nl-NL"/>
        </w:rPr>
        <w:t>dual-use</w:t>
      </w:r>
      <w:r w:rsidRPr="004F6597" w:rsidR="00A95F68">
        <w:rPr>
          <w:rFonts w:ascii="Calibri" w:hAnsi="Calibri" w:cs="Calibri"/>
          <w:szCs w:val="22"/>
          <w:lang w:eastAsia="nl-NL"/>
        </w:rPr>
        <w:t>-toepassingen</w:t>
      </w:r>
      <w:r w:rsidRPr="004F6597">
        <w:rPr>
          <w:rFonts w:ascii="Calibri" w:hAnsi="Calibri" w:cs="Calibri"/>
          <w:szCs w:val="22"/>
          <w:lang w:eastAsia="nl-NL"/>
        </w:rPr>
        <w:t xml:space="preserve"> als daar kansen voor zijn.</w:t>
      </w:r>
      <w:r w:rsidRPr="004F6597" w:rsidR="319C9AEE">
        <w:rPr>
          <w:rFonts w:ascii="Calibri" w:hAnsi="Calibri" w:cs="Calibri"/>
          <w:szCs w:val="22"/>
          <w:lang w:eastAsia="nl-NL"/>
        </w:rPr>
        <w:t xml:space="preserve"> </w:t>
      </w:r>
      <w:r w:rsidRPr="004F6597" w:rsidR="003F4981">
        <w:rPr>
          <w:rFonts w:ascii="Calibri" w:hAnsi="Calibri" w:cs="Calibri"/>
          <w:szCs w:val="22"/>
          <w:lang w:eastAsia="nl-NL"/>
        </w:rPr>
        <w:t xml:space="preserve">Het kabinet vraagt wel aandacht voor de veiligheidsgarantie-verzoeken die naar verwachting zullen toenemen op basis van artikel 12.5 van de DEP-regeling. Deze garanties zijn belangrijk om de open strategische autonomie te beschermen, maar het proces hiertoe is niet gestroomlijnd vanuit de Commissie, waardoor zowel landen als projecten juridische of vertragingsrisico (kunnen) oplopen.  </w:t>
      </w:r>
    </w:p>
    <w:bookmarkEnd w:id="14"/>
    <w:p w:rsidRPr="004F6597" w:rsidR="4D477FD8" w:rsidP="00972A77" w:rsidRDefault="4D477FD8" w14:paraId="64C071A0" w14:textId="004A0D84">
      <w:pPr>
        <w:spacing w:line="360" w:lineRule="auto"/>
        <w:rPr>
          <w:rFonts w:ascii="Calibri" w:hAnsi="Calibri" w:cs="Calibri"/>
          <w:szCs w:val="22"/>
          <w:lang w:eastAsia="nl-NL"/>
        </w:rPr>
      </w:pPr>
    </w:p>
    <w:p w:rsidRPr="004F6597" w:rsidR="00C90670" w:rsidP="0040264E" w:rsidRDefault="0040264E" w14:paraId="456C2983" w14:textId="77777777">
      <w:pPr>
        <w:spacing w:line="360" w:lineRule="auto"/>
        <w:rPr>
          <w:rFonts w:ascii="Calibri" w:hAnsi="Calibri" w:cs="Calibri"/>
          <w:szCs w:val="22"/>
          <w:lang w:eastAsia="nl-NL"/>
        </w:rPr>
      </w:pPr>
      <w:r w:rsidRPr="004F6597">
        <w:rPr>
          <w:rFonts w:ascii="Calibri" w:hAnsi="Calibri" w:cs="Calibri"/>
          <w:szCs w:val="22"/>
          <w:lang w:eastAsia="nl-NL"/>
        </w:rPr>
        <w:t xml:space="preserve">Wat betreft de voorgestelde inzet binnen de EIC wijst het kabinet erop dat de EIC de ontwikkeling en </w:t>
      </w:r>
      <w:proofErr w:type="spellStart"/>
      <w:r w:rsidRPr="004F6597">
        <w:rPr>
          <w:rFonts w:ascii="Calibri" w:hAnsi="Calibri" w:cs="Calibri"/>
          <w:szCs w:val="22"/>
          <w:lang w:eastAsia="nl-NL"/>
        </w:rPr>
        <w:t>vermarkting</w:t>
      </w:r>
      <w:proofErr w:type="spellEnd"/>
      <w:r w:rsidRPr="004F6597">
        <w:rPr>
          <w:rFonts w:ascii="Calibri" w:hAnsi="Calibri" w:cs="Calibri"/>
          <w:szCs w:val="22"/>
          <w:lang w:eastAsia="nl-NL"/>
        </w:rPr>
        <w:t xml:space="preserve"> van </w:t>
      </w:r>
      <w:proofErr w:type="spellStart"/>
      <w:r w:rsidRPr="004F6597">
        <w:rPr>
          <w:rFonts w:ascii="Calibri" w:hAnsi="Calibri" w:cs="Calibri"/>
          <w:szCs w:val="22"/>
          <w:lang w:eastAsia="nl-NL"/>
        </w:rPr>
        <w:t>dual-use</w:t>
      </w:r>
      <w:proofErr w:type="spellEnd"/>
      <w:r w:rsidRPr="004F6597">
        <w:rPr>
          <w:rFonts w:ascii="Calibri" w:hAnsi="Calibri" w:cs="Calibri"/>
          <w:szCs w:val="22"/>
          <w:lang w:eastAsia="nl-NL"/>
        </w:rPr>
        <w:t xml:space="preserve"> technologie al ondersteunt, mits gericht op de civiele toepassing van de technologie. Het kabinet benadrukt dat het bestaande beleid van de EIC waar deze activiteiten deel van uitmaken ten minste onverminderd voortgang moet blijven vinden in het licht van de actuele geopolitieke uitdagingen rondom concurrentievermogen. Door de voorgestelde inzet van </w:t>
      </w:r>
      <w:r w:rsidRPr="004F6597">
        <w:rPr>
          <w:rFonts w:ascii="Calibri" w:hAnsi="Calibri" w:cs="Calibri"/>
          <w:szCs w:val="22"/>
        </w:rPr>
        <w:t>ongebruikte bedragen en terugvloeiing</w:t>
      </w:r>
      <w:r w:rsidRPr="004F6597">
        <w:rPr>
          <w:rFonts w:ascii="Calibri" w:hAnsi="Calibri" w:cs="Calibri"/>
          <w:szCs w:val="22"/>
          <w:lang w:eastAsia="nl-NL"/>
        </w:rPr>
        <w:t xml:space="preserve"> uit het vorige MFK kan het kabinet derhalve instemmen met de openstelling van de EIC Accelerator voor technologie met dual-use toepassingen, aangezien het om extra middelen gaat. </w:t>
      </w:r>
    </w:p>
    <w:p w:rsidRPr="004F6597" w:rsidR="0040264E" w:rsidP="0040264E" w:rsidRDefault="0040264E" w14:paraId="4A28AE0B" w14:textId="47A94FEE">
      <w:pPr>
        <w:spacing w:line="360" w:lineRule="auto"/>
        <w:rPr>
          <w:rFonts w:ascii="Calibri" w:hAnsi="Calibri" w:cs="Calibri"/>
          <w:szCs w:val="22"/>
        </w:rPr>
      </w:pPr>
      <w:r w:rsidRPr="004F6597">
        <w:rPr>
          <w:rFonts w:ascii="Calibri" w:hAnsi="Calibri" w:cs="Calibri"/>
          <w:szCs w:val="22"/>
          <w:lang w:eastAsia="nl-NL"/>
        </w:rPr>
        <w:t>Het kabinet dringt erop aan dat de focus op civiele toepassingen te alle</w:t>
      </w:r>
      <w:r w:rsidRPr="004F6597" w:rsidR="004426F6">
        <w:rPr>
          <w:rFonts w:ascii="Calibri" w:hAnsi="Calibri" w:cs="Calibri"/>
          <w:szCs w:val="22"/>
          <w:lang w:eastAsia="nl-NL"/>
        </w:rPr>
        <w:t>n</w:t>
      </w:r>
      <w:r w:rsidRPr="004F6597">
        <w:rPr>
          <w:rFonts w:ascii="Calibri" w:hAnsi="Calibri" w:cs="Calibri"/>
          <w:szCs w:val="22"/>
          <w:lang w:eastAsia="nl-NL"/>
        </w:rPr>
        <w:t xml:space="preserve"> tijde het vertrekpunt moet zijn en onderdeel moet blijven van de te financieren activiteit. Het kabinet acht het in de uitwerking van belang de bestaande (veiligheids)eisen die aan bedrijven worden gesteld te handhaven en duplicatie met mogelijkheden voor O&amp;I-activiteiten voor bedrijven binnen het EDF te vermijden. Het kabinet ziet geen rol voor </w:t>
      </w:r>
      <w:r w:rsidRPr="004F6597">
        <w:rPr>
          <w:rFonts w:ascii="Calibri" w:hAnsi="Calibri" w:cs="Calibri"/>
          <w:szCs w:val="22"/>
        </w:rPr>
        <w:t xml:space="preserve">projecten met een focus op </w:t>
      </w:r>
      <w:r w:rsidRPr="004F6597">
        <w:rPr>
          <w:rFonts w:ascii="Calibri" w:hAnsi="Calibri" w:cs="Calibri"/>
          <w:szCs w:val="22"/>
          <w:lang w:eastAsia="nl-NL"/>
        </w:rPr>
        <w:t xml:space="preserve">exclusief militaire toepassingen in de EIC en is derhalve tegen het voorstel om projecten met een focus op defensietoepassingen </w:t>
      </w:r>
      <w:r w:rsidRPr="004F6597">
        <w:rPr>
          <w:rFonts w:ascii="Calibri" w:hAnsi="Calibri" w:cs="Calibri"/>
          <w:szCs w:val="22"/>
        </w:rPr>
        <w:t xml:space="preserve">vanuit de STEP-opschalingspilot van de EIC te ondersteunen. Het kabinet wijst erop dat steun voor dit type activiteit elders in het MFK thuishoort, zoals in het EDF en </w:t>
      </w:r>
      <w:proofErr w:type="spellStart"/>
      <w:r w:rsidRPr="004F6597">
        <w:rPr>
          <w:rFonts w:ascii="Calibri" w:hAnsi="Calibri" w:cs="Calibri"/>
          <w:szCs w:val="22"/>
        </w:rPr>
        <w:t>InvestEU</w:t>
      </w:r>
      <w:proofErr w:type="spellEnd"/>
      <w:r w:rsidRPr="004F6597">
        <w:rPr>
          <w:rFonts w:ascii="Calibri" w:hAnsi="Calibri" w:cs="Calibri"/>
          <w:szCs w:val="22"/>
        </w:rPr>
        <w:t>. Het kabinet zal zich tijdens de onderhandelingen hiervoor inzetten.</w:t>
      </w:r>
    </w:p>
    <w:p w:rsidRPr="004F6597" w:rsidR="00281F65" w:rsidP="001D5110" w:rsidRDefault="00281F65" w14:paraId="39C50770" w14:textId="77777777">
      <w:pPr>
        <w:spacing w:line="360" w:lineRule="auto"/>
        <w:rPr>
          <w:rFonts w:ascii="Calibri" w:hAnsi="Calibri" w:cs="Calibri"/>
          <w:szCs w:val="22"/>
          <w:lang w:eastAsia="nl-NL"/>
        </w:rPr>
      </w:pPr>
    </w:p>
    <w:p w:rsidRPr="004F6597" w:rsidR="0365B89C" w:rsidP="0365B89C" w:rsidRDefault="0365B89C" w14:paraId="01094442" w14:textId="27EEA39B">
      <w:pPr>
        <w:spacing w:line="360" w:lineRule="auto"/>
        <w:rPr>
          <w:rFonts w:ascii="Calibri" w:hAnsi="Calibri" w:cs="Calibri"/>
          <w:szCs w:val="22"/>
          <w:lang w:eastAsia="nl-NL"/>
        </w:rPr>
      </w:pPr>
      <w:r w:rsidRPr="004F6597">
        <w:rPr>
          <w:rFonts w:ascii="Calibri" w:hAnsi="Calibri" w:cs="Calibri"/>
          <w:szCs w:val="22"/>
          <w:lang w:eastAsia="nl-NL"/>
        </w:rPr>
        <w:t xml:space="preserve">In zowel </w:t>
      </w:r>
      <w:r w:rsidRPr="004F6597" w:rsidR="00757EA5">
        <w:rPr>
          <w:rFonts w:ascii="Calibri" w:hAnsi="Calibri" w:cs="Calibri"/>
          <w:szCs w:val="22"/>
          <w:lang w:eastAsia="nl-NL"/>
        </w:rPr>
        <w:t xml:space="preserve">de </w:t>
      </w:r>
      <w:r w:rsidRPr="004F6597">
        <w:rPr>
          <w:rFonts w:ascii="Calibri" w:hAnsi="Calibri" w:cs="Calibri"/>
          <w:szCs w:val="22"/>
          <w:lang w:eastAsia="nl-NL"/>
        </w:rPr>
        <w:t>EIC als het DEP-programma is er ruimte</w:t>
      </w:r>
      <w:r w:rsidRPr="004F6597" w:rsidR="00A95F68">
        <w:rPr>
          <w:rFonts w:ascii="Calibri" w:hAnsi="Calibri" w:cs="Calibri"/>
          <w:szCs w:val="22"/>
          <w:lang w:eastAsia="nl-NL"/>
        </w:rPr>
        <w:t xml:space="preserve"> entiteiten uit</w:t>
      </w:r>
      <w:r w:rsidRPr="004F6597">
        <w:rPr>
          <w:rFonts w:ascii="Calibri" w:hAnsi="Calibri" w:cs="Calibri"/>
          <w:szCs w:val="22"/>
          <w:lang w:eastAsia="nl-NL"/>
        </w:rPr>
        <w:t xml:space="preserve"> voor derde landen om mee te dingen </w:t>
      </w:r>
      <w:r w:rsidRPr="004F6597" w:rsidR="00757EA5">
        <w:rPr>
          <w:rFonts w:ascii="Calibri" w:hAnsi="Calibri" w:cs="Calibri"/>
          <w:szCs w:val="22"/>
          <w:lang w:eastAsia="nl-NL"/>
        </w:rPr>
        <w:t xml:space="preserve">naar </w:t>
      </w:r>
      <w:r w:rsidRPr="004F6597">
        <w:rPr>
          <w:rFonts w:ascii="Calibri" w:hAnsi="Calibri" w:cs="Calibri"/>
          <w:szCs w:val="22"/>
          <w:lang w:eastAsia="nl-NL"/>
        </w:rPr>
        <w:t>EU</w:t>
      </w:r>
      <w:r w:rsidRPr="004F6597" w:rsidR="00757EA5">
        <w:rPr>
          <w:rFonts w:ascii="Calibri" w:hAnsi="Calibri" w:cs="Calibri"/>
          <w:szCs w:val="22"/>
          <w:lang w:eastAsia="nl-NL"/>
        </w:rPr>
        <w:t>-</w:t>
      </w:r>
      <w:r w:rsidRPr="004F6597">
        <w:rPr>
          <w:rFonts w:ascii="Calibri" w:hAnsi="Calibri" w:cs="Calibri"/>
          <w:szCs w:val="22"/>
          <w:lang w:eastAsia="nl-NL"/>
        </w:rPr>
        <w:t xml:space="preserve">fondsen. Het kabinet </w:t>
      </w:r>
      <w:r w:rsidRPr="004F6597" w:rsidR="00E750A9">
        <w:rPr>
          <w:rFonts w:ascii="Calibri" w:hAnsi="Calibri" w:cs="Calibri"/>
          <w:szCs w:val="22"/>
          <w:lang w:eastAsia="nl-NL"/>
        </w:rPr>
        <w:t>dringt erop aan</w:t>
      </w:r>
      <w:r w:rsidRPr="004F6597">
        <w:rPr>
          <w:rFonts w:ascii="Calibri" w:hAnsi="Calibri" w:cs="Calibri"/>
          <w:szCs w:val="22"/>
          <w:lang w:eastAsia="nl-NL"/>
        </w:rPr>
        <w:t xml:space="preserve"> de </w:t>
      </w:r>
      <w:r w:rsidRPr="004F6597" w:rsidR="00E750A9">
        <w:rPr>
          <w:rFonts w:ascii="Calibri" w:hAnsi="Calibri" w:cs="Calibri"/>
          <w:szCs w:val="22"/>
          <w:lang w:eastAsia="nl-NL"/>
        </w:rPr>
        <w:t xml:space="preserve">bestaande procedures en eisen rondom </w:t>
      </w:r>
      <w:r w:rsidRPr="004F6597">
        <w:rPr>
          <w:rFonts w:ascii="Calibri" w:hAnsi="Calibri" w:cs="Calibri"/>
          <w:szCs w:val="22"/>
          <w:lang w:eastAsia="nl-NL"/>
        </w:rPr>
        <w:t xml:space="preserve">geschiktheidsverklaringen die zullen moeten worden afgegeven </w:t>
      </w:r>
      <w:r w:rsidRPr="004F6597" w:rsidR="00E750A9">
        <w:rPr>
          <w:rFonts w:ascii="Calibri" w:hAnsi="Calibri" w:cs="Calibri"/>
          <w:szCs w:val="22"/>
          <w:lang w:eastAsia="nl-NL"/>
        </w:rPr>
        <w:t>te handhaven</w:t>
      </w:r>
      <w:r w:rsidRPr="004F6597">
        <w:rPr>
          <w:rFonts w:ascii="Calibri" w:hAnsi="Calibri" w:cs="Calibri"/>
          <w:szCs w:val="22"/>
          <w:lang w:eastAsia="nl-NL"/>
        </w:rPr>
        <w:t xml:space="preserve">. </w:t>
      </w:r>
      <w:r w:rsidRPr="004F6597" w:rsidR="004426F6">
        <w:rPr>
          <w:rFonts w:ascii="Calibri" w:hAnsi="Calibri" w:cs="Calibri"/>
          <w:szCs w:val="22"/>
          <w:lang w:eastAsia="nl-NL"/>
        </w:rPr>
        <w:t xml:space="preserve">Deze </w:t>
      </w:r>
      <w:r w:rsidRPr="004F6597" w:rsidR="00332978">
        <w:rPr>
          <w:rFonts w:ascii="Calibri" w:hAnsi="Calibri" w:cs="Calibri"/>
          <w:szCs w:val="22"/>
          <w:lang w:eastAsia="nl-NL"/>
        </w:rPr>
        <w:t>verklaringen</w:t>
      </w:r>
      <w:r w:rsidRPr="004F6597" w:rsidR="004426F6">
        <w:rPr>
          <w:rFonts w:ascii="Calibri" w:hAnsi="Calibri" w:cs="Calibri"/>
          <w:szCs w:val="22"/>
          <w:lang w:eastAsia="nl-NL"/>
        </w:rPr>
        <w:t xml:space="preserve"> zijn belangrijk om ervoor te zorgen dat de Europese en nationale veiligheid overal op min of meer dezelfde wijze geborgd wordt en er geen onbedoeld concurrentievoordeel optreedt. </w:t>
      </w:r>
      <w:r w:rsidRPr="004F6597">
        <w:rPr>
          <w:rFonts w:ascii="Calibri" w:hAnsi="Calibri" w:cs="Calibri"/>
          <w:szCs w:val="22"/>
          <w:lang w:eastAsia="nl-NL"/>
        </w:rPr>
        <w:t xml:space="preserve">In de herziening stelt de Commissie dat binnen het </w:t>
      </w:r>
      <w:r w:rsidRPr="004F6597">
        <w:rPr>
          <w:rFonts w:ascii="Calibri" w:hAnsi="Calibri" w:eastAsia="Verdana" w:cs="Calibri"/>
          <w:szCs w:val="22"/>
        </w:rPr>
        <w:t xml:space="preserve">DEP er steun komt voor acties voor </w:t>
      </w:r>
      <w:r w:rsidRPr="004F6597" w:rsidR="6C08274B">
        <w:rPr>
          <w:rFonts w:ascii="Calibri" w:hAnsi="Calibri" w:eastAsia="Verdana" w:cs="Calibri"/>
          <w:szCs w:val="22"/>
        </w:rPr>
        <w:t>dual-use</w:t>
      </w:r>
      <w:r w:rsidRPr="004F6597">
        <w:rPr>
          <w:rFonts w:ascii="Calibri" w:hAnsi="Calibri" w:eastAsia="Verdana" w:cs="Calibri"/>
          <w:szCs w:val="22"/>
        </w:rPr>
        <w:t xml:space="preserve"> en wordt de mogelijkheid geboden om de begrotingsflexibiliteit te gebruiken om aanvullende, goed gerichte investeringen te ondersteunen ten behoeve van het concurrentievermogen en de </w:t>
      </w:r>
      <w:r w:rsidRPr="004F6597" w:rsidR="00C66E07">
        <w:rPr>
          <w:rFonts w:ascii="Calibri" w:hAnsi="Calibri" w:eastAsia="Verdana" w:cs="Calibri"/>
          <w:szCs w:val="22"/>
        </w:rPr>
        <w:t xml:space="preserve">open </w:t>
      </w:r>
      <w:r w:rsidRPr="004F6597">
        <w:rPr>
          <w:rFonts w:ascii="Calibri" w:hAnsi="Calibri" w:eastAsia="Verdana" w:cs="Calibri"/>
          <w:szCs w:val="22"/>
        </w:rPr>
        <w:t>strategische autonomie van de EU.</w:t>
      </w:r>
      <w:r w:rsidRPr="004F6597">
        <w:rPr>
          <w:rFonts w:ascii="Calibri" w:hAnsi="Calibri" w:cs="Calibri"/>
          <w:szCs w:val="22"/>
          <w:lang w:eastAsia="nl-NL"/>
        </w:rPr>
        <w:t xml:space="preserve"> Het kabinet vraagt zich af op welke manier deze steun zich binnen het DEP-programma zal manifesteren en wat het effect zal zijn van deze steun o</w:t>
      </w:r>
      <w:r w:rsidRPr="004F6597" w:rsidR="00CC659A">
        <w:rPr>
          <w:rFonts w:ascii="Calibri" w:hAnsi="Calibri" w:cs="Calibri"/>
          <w:szCs w:val="22"/>
          <w:lang w:eastAsia="nl-NL"/>
        </w:rPr>
        <w:t>p de extra mobilisatie van</w:t>
      </w:r>
      <w:r w:rsidRPr="004F6597">
        <w:rPr>
          <w:rFonts w:ascii="Calibri" w:hAnsi="Calibri" w:cs="Calibri"/>
          <w:szCs w:val="22"/>
          <w:lang w:eastAsia="nl-NL"/>
        </w:rPr>
        <w:t xml:space="preserve"> private en publieke financiering. Het kabinet benadrukt daarbij de noodzaak van het uitvoeren van zorgvuldige impactanalyses en overleg met belanghebbenden om deze discussie gefundeerd verder vorm te geven.</w:t>
      </w:r>
    </w:p>
    <w:p w:rsidRPr="004F6597" w:rsidR="008A715E" w:rsidP="001D5110" w:rsidRDefault="008A715E" w14:paraId="03028268" w14:textId="77777777">
      <w:pPr>
        <w:spacing w:line="360" w:lineRule="auto"/>
        <w:rPr>
          <w:rFonts w:ascii="Calibri" w:hAnsi="Calibri" w:cs="Calibri"/>
          <w:szCs w:val="22"/>
          <w:lang w:eastAsia="nl-NL"/>
        </w:rPr>
      </w:pPr>
    </w:p>
    <w:p w:rsidRPr="004F6597" w:rsidR="00955F9E" w:rsidP="0365B89C" w:rsidRDefault="0365B89C" w14:paraId="750F8735" w14:textId="77777777">
      <w:pPr>
        <w:spacing w:line="360" w:lineRule="auto"/>
        <w:rPr>
          <w:rFonts w:ascii="Calibri" w:hAnsi="Calibri" w:cs="Calibri"/>
          <w:szCs w:val="22"/>
          <w:lang w:eastAsia="nl-NL"/>
        </w:rPr>
      </w:pPr>
      <w:r w:rsidRPr="004F6597">
        <w:rPr>
          <w:rFonts w:ascii="Calibri" w:hAnsi="Calibri" w:cs="Calibri"/>
          <w:szCs w:val="22"/>
          <w:lang w:eastAsia="nl-NL"/>
        </w:rPr>
        <w:t xml:space="preserve">Het kabinet steunt het initiatief van de Commissie om te streven naar </w:t>
      </w:r>
      <w:r w:rsidRPr="004F6597" w:rsidR="00C66E07">
        <w:rPr>
          <w:rFonts w:ascii="Calibri" w:hAnsi="Calibri" w:cs="Calibri"/>
          <w:szCs w:val="22"/>
          <w:lang w:eastAsia="nl-NL"/>
        </w:rPr>
        <w:t>open strategische autonomie</w:t>
      </w:r>
      <w:r w:rsidRPr="004F6597">
        <w:rPr>
          <w:rFonts w:ascii="Calibri" w:hAnsi="Calibri" w:cs="Calibri"/>
          <w:szCs w:val="22"/>
          <w:lang w:eastAsia="nl-NL"/>
        </w:rPr>
        <w:t xml:space="preserve"> en sterker concurrentievermogen. De Commissie hoopt dat de EU een leidende rol kan spelen in computing-, </w:t>
      </w:r>
      <w:proofErr w:type="spellStart"/>
      <w:r w:rsidRPr="004F6597">
        <w:rPr>
          <w:rFonts w:ascii="Calibri" w:hAnsi="Calibri" w:cs="Calibri"/>
          <w:szCs w:val="22"/>
          <w:lang w:eastAsia="nl-NL"/>
        </w:rPr>
        <w:t>cloud</w:t>
      </w:r>
      <w:proofErr w:type="spellEnd"/>
      <w:r w:rsidRPr="004F6597">
        <w:rPr>
          <w:rFonts w:ascii="Calibri" w:hAnsi="Calibri" w:cs="Calibri"/>
          <w:szCs w:val="22"/>
          <w:lang w:eastAsia="nl-NL"/>
        </w:rPr>
        <w:t xml:space="preserve">- en data-infrastructuren. Het kabinet steunt deze wens. Het kabinet is het eens met de wens </w:t>
      </w:r>
      <w:r w:rsidRPr="004F6597" w:rsidR="000D79DC">
        <w:rPr>
          <w:rFonts w:ascii="Calibri" w:hAnsi="Calibri" w:cs="Calibri"/>
          <w:szCs w:val="22"/>
          <w:lang w:eastAsia="nl-NL"/>
        </w:rPr>
        <w:t xml:space="preserve">tot </w:t>
      </w:r>
      <w:r w:rsidRPr="004F6597">
        <w:rPr>
          <w:rFonts w:ascii="Calibri" w:hAnsi="Calibri" w:cs="Calibri"/>
          <w:szCs w:val="22"/>
          <w:lang w:eastAsia="nl-NL"/>
        </w:rPr>
        <w:t xml:space="preserve">het verbreden van de doelstellingen van de digitale CEF-sector binnen de verordening zodat de inzet en voorziening van digitale capaciteiten zoals </w:t>
      </w:r>
      <w:proofErr w:type="spellStart"/>
      <w:r w:rsidRPr="004F6597">
        <w:rPr>
          <w:rFonts w:ascii="Calibri" w:hAnsi="Calibri" w:cs="Calibri"/>
          <w:szCs w:val="22"/>
          <w:lang w:eastAsia="nl-NL"/>
        </w:rPr>
        <w:t>cloud</w:t>
      </w:r>
      <w:proofErr w:type="spellEnd"/>
      <w:r w:rsidRPr="004F6597">
        <w:rPr>
          <w:rFonts w:ascii="Calibri" w:hAnsi="Calibri" w:cs="Calibri"/>
          <w:szCs w:val="22"/>
          <w:lang w:eastAsia="nl-NL"/>
        </w:rPr>
        <w:t>, AI en AI-</w:t>
      </w:r>
      <w:proofErr w:type="spellStart"/>
      <w:r w:rsidRPr="004F6597">
        <w:rPr>
          <w:rFonts w:ascii="Calibri" w:hAnsi="Calibri" w:cs="Calibri"/>
          <w:szCs w:val="22"/>
          <w:lang w:eastAsia="nl-NL"/>
        </w:rPr>
        <w:t>gigafabrieken</w:t>
      </w:r>
      <w:proofErr w:type="spellEnd"/>
      <w:r w:rsidRPr="004F6597">
        <w:rPr>
          <w:rFonts w:ascii="Calibri" w:hAnsi="Calibri" w:cs="Calibri"/>
          <w:szCs w:val="22"/>
          <w:lang w:eastAsia="nl-NL"/>
        </w:rPr>
        <w:t xml:space="preserve"> ook defensieproducten en technologieën behelst. </w:t>
      </w:r>
    </w:p>
    <w:p w:rsidRPr="004F6597" w:rsidR="00955F9E" w:rsidP="0365B89C" w:rsidRDefault="00955F9E" w14:paraId="22E0CE58" w14:textId="77777777">
      <w:pPr>
        <w:spacing w:line="360" w:lineRule="auto"/>
        <w:rPr>
          <w:rFonts w:ascii="Calibri" w:hAnsi="Calibri" w:cs="Calibri"/>
          <w:szCs w:val="22"/>
          <w:lang w:eastAsia="nl-NL"/>
        </w:rPr>
      </w:pPr>
    </w:p>
    <w:p w:rsidRPr="004F6597" w:rsidR="00C90670" w:rsidP="0365B89C" w:rsidRDefault="00685D18" w14:paraId="3D76B573" w14:textId="77777777">
      <w:pPr>
        <w:spacing w:line="360" w:lineRule="auto"/>
        <w:rPr>
          <w:rFonts w:ascii="Calibri" w:hAnsi="Calibri" w:cs="Calibri"/>
          <w:szCs w:val="22"/>
          <w:lang w:eastAsia="nl-NL"/>
        </w:rPr>
      </w:pPr>
      <w:bookmarkStart w:name="_Hlk198036289" w:id="15"/>
      <w:r w:rsidRPr="004F6597">
        <w:rPr>
          <w:rFonts w:ascii="Calibri" w:hAnsi="Calibri" w:cs="Calibri"/>
          <w:szCs w:val="22"/>
          <w:lang w:eastAsia="nl-NL"/>
        </w:rPr>
        <w:t xml:space="preserve">Daarnaast </w:t>
      </w:r>
      <w:r w:rsidRPr="004F6597" w:rsidR="00E57381">
        <w:rPr>
          <w:rFonts w:ascii="Calibri" w:hAnsi="Calibri" w:cs="Calibri"/>
          <w:szCs w:val="22"/>
          <w:lang w:eastAsia="nl-NL"/>
        </w:rPr>
        <w:t>acht</w:t>
      </w:r>
      <w:r w:rsidRPr="004F6597">
        <w:rPr>
          <w:rFonts w:ascii="Calibri" w:hAnsi="Calibri" w:cs="Calibri"/>
          <w:szCs w:val="22"/>
          <w:lang w:eastAsia="nl-NL"/>
        </w:rPr>
        <w:t xml:space="preserve"> het kabinet het positief om de financiële prikkels voor het overhevelen van cohesiemiddelen naar CEF voor </w:t>
      </w:r>
      <w:proofErr w:type="spellStart"/>
      <w:r w:rsidRPr="004F6597">
        <w:rPr>
          <w:rFonts w:ascii="Calibri" w:hAnsi="Calibri" w:cs="Calibri"/>
          <w:szCs w:val="22"/>
          <w:lang w:eastAsia="nl-NL"/>
        </w:rPr>
        <w:t>defensiegerelateerde</w:t>
      </w:r>
      <w:proofErr w:type="spellEnd"/>
      <w:r w:rsidRPr="004F6597">
        <w:rPr>
          <w:rFonts w:ascii="Calibri" w:hAnsi="Calibri" w:cs="Calibri"/>
          <w:szCs w:val="22"/>
          <w:lang w:eastAsia="nl-NL"/>
        </w:rPr>
        <w:t xml:space="preserve"> investeringen gelijk te trekken met de prikkels voor herprioritering naar investeringen op het gebied van defensie en veiligheid binnen het cohesiebeleid.</w:t>
      </w:r>
      <w:r w:rsidRPr="004F6597" w:rsidR="0365B89C">
        <w:rPr>
          <w:rFonts w:ascii="Calibri" w:hAnsi="Calibri" w:cs="Calibri"/>
          <w:szCs w:val="22"/>
          <w:lang w:eastAsia="nl-NL"/>
        </w:rPr>
        <w:t xml:space="preserve"> </w:t>
      </w:r>
      <w:r w:rsidRPr="004F6597" w:rsidR="009F4876">
        <w:rPr>
          <w:rFonts w:ascii="Calibri" w:hAnsi="Calibri" w:cs="Calibri"/>
          <w:szCs w:val="22"/>
          <w:lang w:eastAsia="nl-NL"/>
        </w:rPr>
        <w:t xml:space="preserve">Het gebruik van de financiële middelen transfer moet aantrekkelijk zijn voor lidstaten. </w:t>
      </w:r>
      <w:r w:rsidRPr="004F6597">
        <w:rPr>
          <w:rFonts w:ascii="Calibri" w:hAnsi="Calibri" w:cs="Calibri"/>
          <w:szCs w:val="22"/>
          <w:lang w:eastAsia="nl-NL"/>
        </w:rPr>
        <w:t>Grote delen van de (trans-Europese) infrastructuur kennen een grote instandhoudingsopgave en zijn nog niet geheel geschikt om (grootschalige) militaire transporten te faciliteren. Voor deze opgave is in Nederland en andere lidstaten onvoldoende budget bij ministeries voor infrastructuur. Het kabinet acht het wenselijk om serieus te kijken naar de mogelijkheden van additionele vormen van financiering voor deze infrastructuur binnen het huidige MFK.</w:t>
      </w:r>
      <w:r w:rsidRPr="004F6597" w:rsidR="009F4876">
        <w:rPr>
          <w:rFonts w:ascii="Calibri" w:hAnsi="Calibri" w:cs="Calibri"/>
          <w:szCs w:val="22"/>
        </w:rPr>
        <w:t xml:space="preserve"> Het kabinet hoopt dat Nederland kan profiteren van de (in)directe effecten wanneer zij en andere landen investeren en gebruikmaken van dit type investeringen</w:t>
      </w:r>
      <w:r w:rsidRPr="004F6597" w:rsidR="00C90670">
        <w:rPr>
          <w:rFonts w:ascii="Calibri" w:hAnsi="Calibri" w:cs="Calibri"/>
          <w:szCs w:val="22"/>
        </w:rPr>
        <w:t>.</w:t>
      </w:r>
      <w:r w:rsidRPr="004F6597">
        <w:rPr>
          <w:rFonts w:ascii="Calibri" w:hAnsi="Calibri" w:cs="Calibri"/>
          <w:szCs w:val="22"/>
          <w:lang w:eastAsia="nl-NL"/>
        </w:rPr>
        <w:t xml:space="preserve"> </w:t>
      </w:r>
    </w:p>
    <w:p w:rsidRPr="004F6597" w:rsidR="008A715E" w:rsidP="0365B89C" w:rsidRDefault="00685D18" w14:paraId="5E3634DA" w14:textId="61816E70">
      <w:pPr>
        <w:spacing w:line="360" w:lineRule="auto"/>
        <w:rPr>
          <w:rFonts w:ascii="Calibri" w:hAnsi="Calibri" w:cs="Calibri"/>
          <w:szCs w:val="22"/>
          <w:lang w:eastAsia="nl-NL"/>
        </w:rPr>
      </w:pPr>
      <w:r w:rsidRPr="004F6597">
        <w:rPr>
          <w:rFonts w:ascii="Calibri" w:hAnsi="Calibri" w:cs="Calibri"/>
          <w:szCs w:val="22"/>
          <w:lang w:eastAsia="nl-NL"/>
        </w:rPr>
        <w:lastRenderedPageBreak/>
        <w:t xml:space="preserve">Net als bij de tussentijdse herziening van het cohesiebeleid is het kabinet is echter kritisch op het voorgestelde </w:t>
      </w:r>
      <w:r w:rsidRPr="004F6597">
        <w:rPr>
          <w:rFonts w:ascii="Calibri" w:hAnsi="Calibri" w:cs="Calibri"/>
          <w:szCs w:val="22"/>
        </w:rPr>
        <w:t xml:space="preserve">EU-cofinancieringspercentage van 100% en een voorfinancieringspercentage van 30%. Een onderbouwing van deze percentages ontbreekt ook in dit voorstel. </w:t>
      </w:r>
      <w:r w:rsidRPr="004F6597">
        <w:rPr>
          <w:rFonts w:ascii="Calibri" w:hAnsi="Calibri" w:cs="Calibri"/>
          <w:szCs w:val="22"/>
          <w:lang w:eastAsia="nl-NL"/>
        </w:rPr>
        <w:t xml:space="preserve">Het kabinet roept de Commissie op tot het maken van impactanalyses om zo inzichtelijk te maken of de EU lidstaten bereid zijn om overgedragen cohesiemiddelen door te schuiven voor gebruik binnen de aangepaste CEF-verordening. </w:t>
      </w:r>
    </w:p>
    <w:bookmarkEnd w:id="15"/>
    <w:p w:rsidRPr="004F6597" w:rsidR="001F6039" w:rsidP="001D5110" w:rsidRDefault="001F6039" w14:paraId="1AA4489F" w14:textId="77777777">
      <w:pPr>
        <w:spacing w:line="360" w:lineRule="auto"/>
        <w:rPr>
          <w:rFonts w:ascii="Calibri" w:hAnsi="Calibri" w:cs="Calibri"/>
          <w:szCs w:val="22"/>
          <w:lang w:eastAsia="nl-NL"/>
        </w:rPr>
      </w:pPr>
    </w:p>
    <w:p w:rsidRPr="004F6597" w:rsidR="00827EB0" w:rsidP="00972A77" w:rsidRDefault="00827EB0" w14:paraId="7CE9C38B" w14:textId="3D44AD7E">
      <w:pPr>
        <w:numPr>
          <w:ilvl w:val="0"/>
          <w:numId w:val="8"/>
        </w:numPr>
        <w:spacing w:line="360" w:lineRule="auto"/>
        <w:rPr>
          <w:rFonts w:ascii="Calibri" w:hAnsi="Calibri" w:cs="Calibri"/>
          <w:i/>
          <w:iCs/>
          <w:szCs w:val="22"/>
        </w:rPr>
      </w:pPr>
      <w:r w:rsidRPr="004F6597">
        <w:rPr>
          <w:rFonts w:ascii="Calibri" w:hAnsi="Calibri" w:cs="Calibri"/>
          <w:i/>
          <w:iCs/>
          <w:szCs w:val="22"/>
        </w:rPr>
        <w:t>Eerste inschatting van krachtenveld</w:t>
      </w:r>
    </w:p>
    <w:p w:rsidRPr="004F6597" w:rsidR="00827EB0" w:rsidP="00685D8F" w:rsidRDefault="00685D8F" w14:paraId="5699DE86" w14:textId="65D70024">
      <w:pPr>
        <w:spacing w:line="360" w:lineRule="auto"/>
        <w:rPr>
          <w:rFonts w:ascii="Calibri" w:hAnsi="Calibri" w:cs="Calibri"/>
          <w:szCs w:val="22"/>
        </w:rPr>
      </w:pPr>
      <w:r w:rsidRPr="004F6597">
        <w:rPr>
          <w:rFonts w:ascii="Calibri" w:hAnsi="Calibri" w:cs="Calibri"/>
          <w:szCs w:val="22"/>
        </w:rPr>
        <w:t xml:space="preserve">Er is onder EU-lidstaten een breed gedeeld gevoel van urgentie dat Europa meer moet doen aan </w:t>
      </w:r>
      <w:r w:rsidRPr="004F6597" w:rsidR="00972A77">
        <w:rPr>
          <w:rFonts w:ascii="Calibri" w:hAnsi="Calibri" w:cs="Calibri"/>
          <w:szCs w:val="22"/>
        </w:rPr>
        <w:t xml:space="preserve">haar </w:t>
      </w:r>
      <w:r w:rsidRPr="004F6597">
        <w:rPr>
          <w:rFonts w:ascii="Calibri" w:hAnsi="Calibri" w:cs="Calibri"/>
          <w:szCs w:val="22"/>
        </w:rPr>
        <w:t xml:space="preserve">eigen defensie </w:t>
      </w:r>
      <w:r w:rsidRPr="004F6597" w:rsidR="00972A77">
        <w:rPr>
          <w:rFonts w:ascii="Calibri" w:hAnsi="Calibri" w:cs="Calibri"/>
          <w:szCs w:val="22"/>
        </w:rPr>
        <w:t xml:space="preserve">in het licht van geopolitieke ontwikkelingen en uitdagingen. </w:t>
      </w:r>
      <w:r w:rsidRPr="004F6597" w:rsidR="00C31AEF">
        <w:rPr>
          <w:rFonts w:ascii="Calibri" w:hAnsi="Calibri" w:cs="Calibri"/>
          <w:szCs w:val="22"/>
        </w:rPr>
        <w:t xml:space="preserve">De positie van de Raad en het EP op dit voorstel is nog niet duidelijk. </w:t>
      </w:r>
    </w:p>
    <w:p w:rsidRPr="004F6597" w:rsidR="00685D8F" w:rsidP="00685D8F" w:rsidRDefault="00685D8F" w14:paraId="05735F45" w14:textId="77777777">
      <w:pPr>
        <w:spacing w:line="360" w:lineRule="auto"/>
        <w:rPr>
          <w:rFonts w:ascii="Calibri" w:hAnsi="Calibri" w:cs="Calibri"/>
          <w:b/>
          <w:szCs w:val="22"/>
          <w:highlight w:val="yellow"/>
        </w:rPr>
      </w:pPr>
    </w:p>
    <w:p w:rsidRPr="004F6597" w:rsidR="00827EB0" w:rsidP="006B5951" w:rsidRDefault="00827EB0" w14:paraId="67FAAF1E" w14:textId="77777777">
      <w:pPr>
        <w:numPr>
          <w:ilvl w:val="0"/>
          <w:numId w:val="39"/>
        </w:numPr>
        <w:spacing w:line="360" w:lineRule="auto"/>
        <w:rPr>
          <w:rFonts w:ascii="Calibri" w:hAnsi="Calibri" w:cs="Calibri"/>
          <w:i/>
          <w:iCs/>
          <w:szCs w:val="22"/>
        </w:rPr>
      </w:pPr>
      <w:r w:rsidRPr="004F6597">
        <w:rPr>
          <w:rFonts w:ascii="Calibri" w:hAnsi="Calibri" w:cs="Calibri"/>
          <w:b/>
          <w:bCs/>
          <w:szCs w:val="22"/>
        </w:rPr>
        <w:t xml:space="preserve">Beoordeling bevoegdheid, subsidiariteit en proportionaliteit </w:t>
      </w:r>
    </w:p>
    <w:p w:rsidRPr="004F6597" w:rsidR="00827EB0" w:rsidP="57656AB0" w:rsidRDefault="00827EB0" w14:paraId="4D19317C" w14:textId="77777777">
      <w:pPr>
        <w:pStyle w:val="Spreekpunten"/>
        <w:numPr>
          <w:ilvl w:val="0"/>
          <w:numId w:val="9"/>
        </w:numPr>
        <w:rPr>
          <w:rFonts w:ascii="Calibri" w:hAnsi="Calibri" w:cs="Calibri"/>
          <w:i/>
          <w:iCs/>
          <w:sz w:val="22"/>
          <w:szCs w:val="22"/>
          <w:lang w:val="nl-NL" w:eastAsia="zh-CN"/>
        </w:rPr>
      </w:pPr>
      <w:r w:rsidRPr="004F6597">
        <w:rPr>
          <w:rFonts w:ascii="Calibri" w:hAnsi="Calibri" w:cs="Calibri"/>
          <w:i/>
          <w:iCs/>
          <w:sz w:val="22"/>
          <w:szCs w:val="22"/>
          <w:lang w:val="nl-NL" w:eastAsia="zh-CN"/>
        </w:rPr>
        <w:t>Bevoegdheid</w:t>
      </w:r>
    </w:p>
    <w:p w:rsidRPr="004F6597" w:rsidR="00C90670" w:rsidP="00192126" w:rsidRDefault="00192126" w14:paraId="34FD9C81"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4F6597">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4F6597" w:rsidR="00827EB0">
        <w:rPr>
          <w:rFonts w:ascii="Calibri" w:hAnsi="Calibri" w:cs="Calibri"/>
          <w:szCs w:val="22"/>
        </w:rPr>
        <w:t xml:space="preserve">Het oordeel van het kabinet ten aanzien van de bevoegdheid is positief. Het voorstel is gebaseerd op </w:t>
      </w:r>
      <w:r w:rsidRPr="004F6597" w:rsidR="00BC7013">
        <w:rPr>
          <w:rFonts w:ascii="Calibri" w:hAnsi="Calibri" w:cs="Calibri"/>
          <w:szCs w:val="22"/>
        </w:rPr>
        <w:t>Artikel 114, Artikel 164, Artikel 172, Artikel 173, Artikel 175, derde paragraaf, Artikel 176, Artikel 177 Artikel 178, Artikel 182, Artikel 183, Artikel 188 en Artikel 192 eerste lid, van het Verdrag betreffende de werking van de Europese Unie (VWEU). Artikel 114 stelt regels vast voor het vaststellen van harmonisatie-maatregelen voor de interne markt. Het doel is om obstakels voor de vrije handel tussen lidstaten te verminderen en uniforme regels te creëren waar nodig. Artikel 164 betreft de oprichting van de Europese Centrale Bank (ECB) en de Europese Rekenkamer. Het gaat specifiek over de organisatie en de werking van de financiële instellingen van de EU. Artikel 172 artikel beschrijft het proces van de goedkeuring van de meerjarige financiële kader van de EU. Artikel 175, derde paragraaf, heeft betrekking op de milieu- en ecologische maatregelen die de EU</w:t>
      </w:r>
      <w:r w:rsidRPr="004F6597" w:rsidR="00703F11">
        <w:rPr>
          <w:rFonts w:ascii="Calibri" w:hAnsi="Calibri" w:cs="Calibri"/>
          <w:szCs w:val="22"/>
        </w:rPr>
        <w:t xml:space="preserve"> </w:t>
      </w:r>
      <w:r w:rsidRPr="004F6597" w:rsidR="00BC7013">
        <w:rPr>
          <w:rFonts w:ascii="Calibri" w:hAnsi="Calibri" w:cs="Calibri"/>
          <w:szCs w:val="22"/>
        </w:rPr>
        <w:t>kan treffen om de interne markt te ondersteunen. Artikel 176 regelt de procedures voor de uitvoering van milieumaatregelen in de EU. Het legt de nadruk op samenwerking tussen lidstaten</w:t>
      </w:r>
      <w:r w:rsidRPr="004F6597" w:rsidR="00703F11">
        <w:rPr>
          <w:rFonts w:ascii="Calibri" w:hAnsi="Calibri" w:cs="Calibri"/>
          <w:szCs w:val="22"/>
        </w:rPr>
        <w:t xml:space="preserve"> </w:t>
      </w:r>
      <w:r w:rsidRPr="004F6597" w:rsidR="00BC7013">
        <w:rPr>
          <w:rFonts w:ascii="Calibri" w:hAnsi="Calibri" w:cs="Calibri"/>
          <w:szCs w:val="22"/>
        </w:rPr>
        <w:t>om milieukwesties aan te pakken.</w:t>
      </w:r>
      <w:r w:rsidRPr="004F6597">
        <w:rPr>
          <w:rFonts w:ascii="Calibri" w:hAnsi="Calibri" w:cs="Calibri"/>
          <w:szCs w:val="22"/>
        </w:rPr>
        <w:t xml:space="preserve"> </w:t>
      </w:r>
      <w:r w:rsidRPr="004F6597" w:rsidR="00BC7013">
        <w:rPr>
          <w:rFonts w:ascii="Calibri" w:hAnsi="Calibri" w:cs="Calibri"/>
          <w:szCs w:val="22"/>
        </w:rPr>
        <w:t xml:space="preserve">Artikel 177 richt zich op het Europees Sociaal Fonds, dat helpt bij de bevordering van werkgelegenheid en het verbeteren van de </w:t>
      </w:r>
      <w:r w:rsidRPr="004F6597">
        <w:rPr>
          <w:rFonts w:ascii="Calibri" w:hAnsi="Calibri" w:cs="Calibri"/>
          <w:szCs w:val="22"/>
        </w:rPr>
        <w:t>w</w:t>
      </w:r>
      <w:r w:rsidRPr="004F6597" w:rsidR="00BC7013">
        <w:rPr>
          <w:rFonts w:ascii="Calibri" w:hAnsi="Calibri" w:cs="Calibri"/>
          <w:szCs w:val="22"/>
        </w:rPr>
        <w:t>erkgelegenheids</w:t>
      </w:r>
      <w:r w:rsidRPr="004F6597" w:rsidR="00C90670">
        <w:rPr>
          <w:rFonts w:ascii="Calibri" w:hAnsi="Calibri" w:cs="Calibri"/>
          <w:szCs w:val="22"/>
        </w:rPr>
        <w:t>-</w:t>
      </w:r>
      <w:r w:rsidRPr="004F6597" w:rsidR="00BC7013">
        <w:rPr>
          <w:rFonts w:ascii="Calibri" w:hAnsi="Calibri" w:cs="Calibri"/>
          <w:szCs w:val="22"/>
        </w:rPr>
        <w:t>omstandigheden in de EU-lidstaten.</w:t>
      </w:r>
      <w:r w:rsidRPr="004F6597">
        <w:rPr>
          <w:rFonts w:ascii="Calibri" w:hAnsi="Calibri" w:cs="Calibri"/>
          <w:szCs w:val="22"/>
        </w:rPr>
        <w:t xml:space="preserve"> </w:t>
      </w:r>
      <w:r w:rsidRPr="004F6597" w:rsidR="00BC7013">
        <w:rPr>
          <w:rFonts w:ascii="Calibri" w:hAnsi="Calibri" w:cs="Calibri"/>
          <w:szCs w:val="22"/>
        </w:rPr>
        <w:t>Artikel 182 geeft de EU de bevoegdheid om wetgeving vast te stellen en projecten te financieren op het gebied van onderzoek en technologische ontwikkeling.</w:t>
      </w:r>
      <w:r w:rsidRPr="004F6597">
        <w:rPr>
          <w:rFonts w:ascii="Calibri" w:hAnsi="Calibri" w:cs="Calibri"/>
          <w:szCs w:val="22"/>
        </w:rPr>
        <w:t xml:space="preserve"> </w:t>
      </w:r>
      <w:r w:rsidRPr="004F6597" w:rsidR="00BC7013">
        <w:rPr>
          <w:rFonts w:ascii="Calibri" w:hAnsi="Calibri" w:cs="Calibri"/>
          <w:szCs w:val="22"/>
        </w:rPr>
        <w:t>Artikel 183 behandelt het kader voor het onderzoeksbeleid van de EU en de implementatie van gezamenlijke onderzoeksprojecten tussen de lidstaten.</w:t>
      </w:r>
      <w:r w:rsidRPr="004F6597">
        <w:rPr>
          <w:rFonts w:ascii="Calibri" w:hAnsi="Calibri" w:cs="Calibri"/>
          <w:szCs w:val="22"/>
        </w:rPr>
        <w:t xml:space="preserve"> </w:t>
      </w:r>
      <w:r w:rsidRPr="004F6597" w:rsidR="00BC7013">
        <w:rPr>
          <w:rFonts w:ascii="Calibri" w:hAnsi="Calibri" w:cs="Calibri"/>
          <w:szCs w:val="22"/>
        </w:rPr>
        <w:t xml:space="preserve">Artikel 188 </w:t>
      </w:r>
      <w:r w:rsidRPr="004F6597">
        <w:rPr>
          <w:rFonts w:ascii="Calibri" w:hAnsi="Calibri" w:cs="Calibri"/>
          <w:szCs w:val="22"/>
        </w:rPr>
        <w:lastRenderedPageBreak/>
        <w:t xml:space="preserve">heeft betrekking op de procedure voor het goedkeuren van bepaalde handelingen van de EU in verband met de interne markt, de industrie en andere sectoren. Artikel 192, eerste lid, geeft het Europese Parlement en de Raad van de EU het recht om wetgeving vast te stellen over milieubescherming en andere milieukwesties binnen de EU. Het kabinet kan zich vinden in deze rechtsgrondslag. Het voorstel beoogt investeringen in defensie te stimuleren door prikkels te bieden, potentiële belemmeringen weg te nemen en te zorgen voor meer flexibiliteit en vereenvoudiging. </w:t>
      </w:r>
    </w:p>
    <w:p w:rsidRPr="004F6597" w:rsidR="00192126" w:rsidP="00192126" w:rsidRDefault="00CC5945" w14:paraId="53B32986" w14:textId="5C72A3AA">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4F6597">
        <w:rPr>
          <w:rFonts w:ascii="Calibri" w:hAnsi="Calibri" w:cs="Calibri"/>
          <w:szCs w:val="22"/>
        </w:rPr>
        <w:t>Met betrekking tot economisch beleid en economische, sociale en territoriale samenhang is sprake van een gedeelde bevoegdheid tussen de EU en de lidstaten (respectievelijk artikel 4, lid 2 sub c, VWEU). Met betrekking tot industriebeleid is er sprake van een aanvullende bevoegdheid (artikel 6, sub b, VWEU).</w:t>
      </w:r>
    </w:p>
    <w:p w:rsidRPr="004F6597" w:rsidR="00192126" w:rsidP="00192126" w:rsidRDefault="00192126" w14:paraId="70F05DBB" w14:textId="77777777">
      <w:pPr>
        <w:tabs>
          <w:tab w:val="left" w:pos="0"/>
          <w:tab w:val="left" w:pos="340"/>
          <w:tab w:val="left" w:pos="680"/>
          <w:tab w:val="left" w:pos="1021"/>
          <w:tab w:val="left" w:pos="1361"/>
          <w:tab w:val="left" w:pos="1701"/>
          <w:tab w:val="left" w:pos="3402"/>
        </w:tabs>
        <w:spacing w:line="360" w:lineRule="auto"/>
        <w:rPr>
          <w:rFonts w:ascii="Calibri" w:hAnsi="Calibri" w:cs="Calibri"/>
          <w:i/>
          <w:iCs/>
          <w:szCs w:val="22"/>
          <w:highlight w:val="yellow"/>
        </w:rPr>
      </w:pPr>
    </w:p>
    <w:p w:rsidRPr="004F6597" w:rsidR="00827EB0" w:rsidP="57656AB0" w:rsidRDefault="00827EB0" w14:paraId="7B90E190" w14:textId="77777777">
      <w:pPr>
        <w:pStyle w:val="Spreekpunten"/>
        <w:numPr>
          <w:ilvl w:val="0"/>
          <w:numId w:val="9"/>
        </w:numPr>
        <w:rPr>
          <w:rFonts w:ascii="Calibri" w:hAnsi="Calibri" w:cs="Calibri"/>
          <w:i/>
          <w:iCs/>
          <w:sz w:val="22"/>
          <w:szCs w:val="22"/>
          <w:lang w:val="nl-NL" w:eastAsia="zh-CN"/>
        </w:rPr>
      </w:pPr>
      <w:r w:rsidRPr="004F6597">
        <w:rPr>
          <w:rFonts w:ascii="Calibri" w:hAnsi="Calibri" w:cs="Calibri"/>
          <w:i/>
          <w:iCs/>
          <w:sz w:val="22"/>
          <w:szCs w:val="22"/>
          <w:lang w:val="nl-NL" w:eastAsia="zh-CN"/>
        </w:rPr>
        <w:t>Subsidiariteit</w:t>
      </w:r>
    </w:p>
    <w:p w:rsidRPr="004F6597" w:rsidR="00C31AEF" w:rsidP="00827EB0" w:rsidRDefault="003C1BC7" w14:paraId="6057740F" w14:textId="77777777">
      <w:pPr>
        <w:pStyle w:val="Spreekpunten"/>
        <w:numPr>
          <w:ilvl w:val="0"/>
          <w:numId w:val="0"/>
        </w:numPr>
        <w:rPr>
          <w:rFonts w:ascii="Calibri" w:hAnsi="Calibri" w:cs="Calibri"/>
          <w:sz w:val="22"/>
          <w:szCs w:val="22"/>
          <w:lang w:val="nl-NL" w:eastAsia="zh-CN"/>
        </w:rPr>
      </w:pPr>
      <w:r w:rsidRPr="004F6597">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Het voorstel </w:t>
      </w:r>
    </w:p>
    <w:p w:rsidRPr="004F6597" w:rsidR="00827EB0" w:rsidP="00C31AEF" w:rsidRDefault="00C31AEF" w14:paraId="4DA46854" w14:textId="0069E259">
      <w:pPr>
        <w:pStyle w:val="Spreekpunten"/>
        <w:numPr>
          <w:ilvl w:val="0"/>
          <w:numId w:val="0"/>
        </w:numPr>
        <w:rPr>
          <w:rFonts w:ascii="Calibri" w:hAnsi="Calibri" w:cs="Calibri"/>
          <w:sz w:val="22"/>
          <w:szCs w:val="22"/>
          <w:lang w:val="nl-NL" w:eastAsia="zh-CN"/>
        </w:rPr>
      </w:pPr>
      <w:r w:rsidRPr="004F6597">
        <w:rPr>
          <w:rFonts w:ascii="Calibri" w:hAnsi="Calibri" w:cs="Calibri"/>
          <w:sz w:val="22"/>
          <w:szCs w:val="22"/>
          <w:lang w:val="nl-NL"/>
        </w:rPr>
        <w:t>heeft hoofdzakelijk vier doelen die zich erop richten om een ve</w:t>
      </w:r>
      <w:r w:rsidRPr="004F6597">
        <w:rPr>
          <w:rFonts w:ascii="Calibri" w:hAnsi="Calibri" w:eastAsia="Verdana" w:cs="Calibri"/>
          <w:sz w:val="22"/>
          <w:szCs w:val="22"/>
          <w:lang w:val="nl-NL"/>
        </w:rPr>
        <w:t xml:space="preserve">rsterkte Europese technologische en industriële defensiebasis (EUDTIB) en veerkracht van de toeleveringsketens te bereiken. </w:t>
      </w:r>
      <w:r w:rsidRPr="004F6597" w:rsidR="00C90670">
        <w:rPr>
          <w:rFonts w:ascii="Calibri" w:hAnsi="Calibri" w:eastAsia="Verdana" w:cs="Calibri"/>
          <w:sz w:val="22"/>
          <w:szCs w:val="22"/>
          <w:lang w:val="nl-NL"/>
        </w:rPr>
        <w:br/>
      </w:r>
      <w:r w:rsidRPr="004F6597" w:rsidR="003C1BC7">
        <w:rPr>
          <w:rFonts w:ascii="Calibri" w:hAnsi="Calibri" w:cs="Calibri"/>
          <w:sz w:val="22"/>
          <w:szCs w:val="22"/>
          <w:lang w:val="nl-NL" w:eastAsia="zh-CN"/>
        </w:rPr>
        <w:t xml:space="preserve">Dit resultaat kan niet worden bereikt met maatregelen op nationaal niveau. Gezien de </w:t>
      </w:r>
      <w:r w:rsidRPr="004F6597">
        <w:rPr>
          <w:rFonts w:ascii="Calibri" w:hAnsi="Calibri" w:cs="Calibri"/>
          <w:sz w:val="22"/>
          <w:szCs w:val="22"/>
          <w:lang w:val="nl-NL" w:eastAsia="zh-CN"/>
        </w:rPr>
        <w:t xml:space="preserve">grensoverschrijdende </w:t>
      </w:r>
      <w:r w:rsidRPr="004F6597" w:rsidR="003C1BC7">
        <w:rPr>
          <w:rFonts w:ascii="Calibri" w:hAnsi="Calibri" w:cs="Calibri"/>
          <w:sz w:val="22"/>
          <w:szCs w:val="22"/>
          <w:lang w:val="nl-NL" w:eastAsia="zh-CN"/>
        </w:rPr>
        <w:t xml:space="preserve">aard van de </w:t>
      </w:r>
      <w:r w:rsidRPr="004F6597">
        <w:rPr>
          <w:rFonts w:ascii="Calibri" w:hAnsi="Calibri" w:cs="Calibri"/>
          <w:sz w:val="22"/>
          <w:szCs w:val="22"/>
          <w:lang w:val="nl-NL" w:eastAsia="zh-CN"/>
        </w:rPr>
        <w:t>gestelde doelen</w:t>
      </w:r>
      <w:r w:rsidRPr="004F6597" w:rsidR="003C1BC7">
        <w:rPr>
          <w:rFonts w:ascii="Calibri" w:hAnsi="Calibri" w:cs="Calibri"/>
          <w:sz w:val="22"/>
          <w:szCs w:val="22"/>
          <w:lang w:val="nl-NL" w:eastAsia="zh-CN"/>
        </w:rPr>
        <w:t xml:space="preserve"> op EU-niveau en de </w:t>
      </w:r>
      <w:r w:rsidRPr="004F6597">
        <w:rPr>
          <w:rFonts w:ascii="Calibri" w:hAnsi="Calibri" w:cs="Calibri"/>
          <w:sz w:val="22"/>
          <w:szCs w:val="22"/>
          <w:lang w:val="nl-NL" w:eastAsia="zh-CN"/>
        </w:rPr>
        <w:t>voorgestelde herzieningen</w:t>
      </w:r>
      <w:r w:rsidRPr="004F6597" w:rsidR="003C1BC7">
        <w:rPr>
          <w:rFonts w:ascii="Calibri" w:hAnsi="Calibri" w:cs="Calibri"/>
          <w:sz w:val="22"/>
          <w:szCs w:val="22"/>
          <w:lang w:val="nl-NL" w:eastAsia="zh-CN"/>
        </w:rPr>
        <w:t xml:space="preserve"> kan die onvoldoende door de lidstaten op centraal, regionaal of lokaal niveau worden verwezenlijkt, daarom is een EU-aanpak nodig. Op Unie-niveau optreden kan leiden tot grotere efficiëntie in de besteding van publieke middelen en meer lange-termijn zekerheid geven aan (defensie-)industrie om op te schalen ten opzichte van nationaal optreden. Om die redenen is optreden op het niveau van de EU gerechtvaardigd.</w:t>
      </w:r>
    </w:p>
    <w:p w:rsidRPr="004F6597" w:rsidR="003C1BC7" w:rsidP="00827EB0" w:rsidRDefault="003C1BC7" w14:paraId="16AD9308" w14:textId="2254A0AB">
      <w:pPr>
        <w:pStyle w:val="Spreekpunten"/>
        <w:numPr>
          <w:ilvl w:val="0"/>
          <w:numId w:val="0"/>
        </w:numPr>
        <w:rPr>
          <w:rFonts w:ascii="Calibri" w:hAnsi="Calibri" w:cs="Calibri"/>
          <w:sz w:val="22"/>
          <w:szCs w:val="22"/>
          <w:highlight w:val="yellow"/>
          <w:lang w:val="nl-NL" w:eastAsia="zh-CN"/>
        </w:rPr>
      </w:pPr>
    </w:p>
    <w:p w:rsidRPr="004F6597" w:rsidR="00827EB0" w:rsidP="57656AB0" w:rsidRDefault="00827EB0" w14:paraId="37434B16" w14:textId="77777777">
      <w:pPr>
        <w:pStyle w:val="Spreekpunten"/>
        <w:numPr>
          <w:ilvl w:val="0"/>
          <w:numId w:val="9"/>
        </w:numPr>
        <w:rPr>
          <w:rFonts w:ascii="Calibri" w:hAnsi="Calibri" w:cs="Calibri"/>
          <w:i/>
          <w:iCs/>
          <w:sz w:val="22"/>
          <w:szCs w:val="22"/>
          <w:lang w:val="nl-NL" w:eastAsia="zh-CN"/>
        </w:rPr>
      </w:pPr>
      <w:r w:rsidRPr="004F6597">
        <w:rPr>
          <w:rFonts w:ascii="Calibri" w:hAnsi="Calibri" w:cs="Calibri"/>
          <w:i/>
          <w:iCs/>
          <w:sz w:val="22"/>
          <w:szCs w:val="22"/>
          <w:lang w:val="nl-NL" w:eastAsia="zh-CN"/>
        </w:rPr>
        <w:t>Proportionaliteit</w:t>
      </w:r>
    </w:p>
    <w:p w:rsidRPr="004F6597" w:rsidR="003C1BC7" w:rsidP="00827EB0" w:rsidRDefault="00C31AEF" w14:paraId="7959FF98" w14:textId="791D2FDE">
      <w:pPr>
        <w:pStyle w:val="Spreekpunten"/>
        <w:numPr>
          <w:ilvl w:val="0"/>
          <w:numId w:val="0"/>
        </w:numPr>
        <w:rPr>
          <w:rFonts w:ascii="Calibri" w:hAnsi="Calibri" w:cs="Calibri"/>
          <w:i/>
          <w:iCs/>
          <w:sz w:val="22"/>
          <w:szCs w:val="22"/>
          <w:highlight w:val="yellow"/>
          <w:lang w:val="nl-NL" w:eastAsia="zh-CN"/>
        </w:rPr>
      </w:pPr>
      <w:r w:rsidRPr="004F6597">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 Het voorstel </w:t>
      </w:r>
      <w:r w:rsidRPr="004F6597" w:rsidR="00F96E4F">
        <w:rPr>
          <w:rFonts w:ascii="Calibri" w:hAnsi="Calibri" w:cs="Calibri"/>
          <w:sz w:val="22"/>
          <w:szCs w:val="22"/>
          <w:lang w:val="nl-NL" w:eastAsia="zh-CN"/>
        </w:rPr>
        <w:t xml:space="preserve">heeft als doel de Europese technologische en industriële </w:t>
      </w:r>
      <w:r w:rsidRPr="004F6597" w:rsidR="00F96E4F">
        <w:rPr>
          <w:rFonts w:ascii="Calibri" w:hAnsi="Calibri" w:cs="Calibri"/>
          <w:sz w:val="22"/>
          <w:szCs w:val="22"/>
          <w:lang w:val="nl-NL" w:eastAsia="zh-CN"/>
        </w:rPr>
        <w:lastRenderedPageBreak/>
        <w:t xml:space="preserve">defensiebasis (EUDTIB) te versterken en veerkracht van de toeleveringsketens te bereiken. </w:t>
      </w:r>
      <w:r w:rsidRPr="004F6597" w:rsidR="00C90670">
        <w:rPr>
          <w:rFonts w:ascii="Calibri" w:hAnsi="Calibri" w:cs="Calibri"/>
          <w:sz w:val="22"/>
          <w:szCs w:val="22"/>
          <w:lang w:val="nl-NL" w:eastAsia="zh-CN"/>
        </w:rPr>
        <w:br/>
      </w:r>
      <w:r w:rsidRPr="004F6597">
        <w:rPr>
          <w:rFonts w:ascii="Calibri" w:hAnsi="Calibri" w:cs="Calibri"/>
          <w:sz w:val="22"/>
          <w:szCs w:val="22"/>
          <w:lang w:val="nl-NL" w:eastAsia="zh-CN"/>
        </w:rPr>
        <w:t>Het voorgestelde optreden is geschikt om deze doelstelling te bereiken, omdat het EU-fondsen gericht en behouden aanwendt tot het ondersteunen van investeringen in de defensie(-industrie) om zo de huidige stand van de defensieparaatheid sterk te verbeteren ten opzichte van de afgelopen decennia. Dit onderstreept de noodzaak van een gezamenlijke inspanning om de defensiepositie van de EU te versterken. Bovendien gaat het voorgestelde optreden, niet verder dan noodzakelijk, gezien de geopolitieke situatie.</w:t>
      </w:r>
    </w:p>
    <w:p w:rsidRPr="004F6597" w:rsidR="00827EB0" w:rsidP="00827EB0" w:rsidRDefault="00827EB0" w14:paraId="431A36EF" w14:textId="77777777">
      <w:pPr>
        <w:spacing w:line="360" w:lineRule="auto"/>
        <w:ind w:left="360"/>
        <w:rPr>
          <w:rFonts w:ascii="Calibri" w:hAnsi="Calibri" w:cs="Calibri"/>
          <w:b/>
          <w:szCs w:val="22"/>
          <w:highlight w:val="yellow"/>
        </w:rPr>
      </w:pPr>
    </w:p>
    <w:p w:rsidRPr="004F6597" w:rsidR="00827EB0" w:rsidP="00F35AB5" w:rsidRDefault="00827EB0" w14:paraId="5FBA5480" w14:textId="77777777">
      <w:pPr>
        <w:numPr>
          <w:ilvl w:val="0"/>
          <w:numId w:val="39"/>
        </w:numPr>
        <w:spacing w:line="360" w:lineRule="auto"/>
        <w:rPr>
          <w:rFonts w:ascii="Calibri" w:hAnsi="Calibri" w:cs="Calibri"/>
          <w:b/>
          <w:bCs/>
          <w:szCs w:val="22"/>
        </w:rPr>
      </w:pPr>
      <w:r w:rsidRPr="004F6597">
        <w:rPr>
          <w:rFonts w:ascii="Calibri" w:hAnsi="Calibri" w:cs="Calibri"/>
          <w:b/>
          <w:bCs/>
          <w:szCs w:val="22"/>
        </w:rPr>
        <w:t xml:space="preserve">Financiële consequenties, gevolgen voor regeldruk, concurrentiekracht en geopolitieke aspecten </w:t>
      </w:r>
    </w:p>
    <w:p w:rsidRPr="004F6597" w:rsidR="00827EB0" w:rsidP="00F35AB5" w:rsidRDefault="00827EB0" w14:paraId="0A489F00" w14:textId="77777777">
      <w:pPr>
        <w:numPr>
          <w:ilvl w:val="0"/>
          <w:numId w:val="10"/>
        </w:numPr>
        <w:spacing w:line="360" w:lineRule="auto"/>
        <w:outlineLvl w:val="0"/>
        <w:rPr>
          <w:rFonts w:ascii="Calibri" w:hAnsi="Calibri" w:cs="Calibri"/>
          <w:i/>
          <w:iCs/>
          <w:szCs w:val="22"/>
        </w:rPr>
      </w:pPr>
      <w:r w:rsidRPr="004F6597">
        <w:rPr>
          <w:rFonts w:ascii="Calibri" w:hAnsi="Calibri" w:cs="Calibri"/>
          <w:i/>
          <w:iCs/>
          <w:szCs w:val="22"/>
        </w:rPr>
        <w:t>Consequenties EU-begroting</w:t>
      </w:r>
    </w:p>
    <w:p w:rsidRPr="004F6597" w:rsidR="007B1D1B" w:rsidRDefault="007B1D1B" w14:paraId="61B50D51" w14:textId="78B49149">
      <w:pPr>
        <w:spacing w:line="360" w:lineRule="auto"/>
        <w:outlineLvl w:val="0"/>
        <w:rPr>
          <w:rFonts w:ascii="Calibri" w:hAnsi="Calibri" w:cs="Calibri"/>
          <w:szCs w:val="22"/>
        </w:rPr>
      </w:pPr>
      <w:r w:rsidRPr="004F6597">
        <w:rPr>
          <w:rFonts w:ascii="Calibri" w:hAnsi="Calibri" w:cs="Calibri"/>
          <w:szCs w:val="22"/>
        </w:rPr>
        <w:t xml:space="preserve">Dit initiatief zal worden gefinancierd met bestaande middelen, binnen de overeengekomen budgetten van de betrokken programma's en de toegewezen </w:t>
      </w:r>
      <w:r w:rsidRPr="004F6597">
        <w:rPr>
          <w:rFonts w:ascii="Calibri" w:hAnsi="Calibri" w:cs="Calibri"/>
          <w:i/>
          <w:iCs/>
          <w:szCs w:val="22"/>
        </w:rPr>
        <w:t>headroom</w:t>
      </w:r>
      <w:r w:rsidRPr="004F6597" w:rsidR="001310EF">
        <w:rPr>
          <w:rFonts w:ascii="Calibri" w:hAnsi="Calibri" w:cs="Calibri"/>
          <w:szCs w:val="22"/>
        </w:rPr>
        <w:t xml:space="preserve"> van het huidige EU Meerjarig Financieel Kader (MFK)</w:t>
      </w:r>
      <w:r w:rsidRPr="004F6597">
        <w:rPr>
          <w:rFonts w:ascii="Calibri" w:hAnsi="Calibri" w:cs="Calibri"/>
          <w:szCs w:val="22"/>
        </w:rPr>
        <w:t>.</w:t>
      </w:r>
    </w:p>
    <w:p w:rsidRPr="004F6597" w:rsidR="00136856" w:rsidP="00F35AB5" w:rsidRDefault="00136856" w14:paraId="1BD159E9" w14:textId="77777777">
      <w:pPr>
        <w:spacing w:line="360" w:lineRule="auto"/>
        <w:outlineLvl w:val="0"/>
        <w:rPr>
          <w:rFonts w:ascii="Calibri" w:hAnsi="Calibri" w:cs="Calibri"/>
          <w:szCs w:val="22"/>
        </w:rPr>
      </w:pPr>
    </w:p>
    <w:p w:rsidRPr="004F6597" w:rsidR="00827EB0" w:rsidRDefault="007B1D1B" w14:paraId="14EBDCFA" w14:textId="7E5ED2B5">
      <w:pPr>
        <w:spacing w:line="360" w:lineRule="auto"/>
        <w:outlineLvl w:val="0"/>
        <w:rPr>
          <w:rFonts w:ascii="Calibri" w:hAnsi="Calibri" w:cs="Calibri"/>
          <w:szCs w:val="22"/>
        </w:rPr>
      </w:pPr>
      <w:r w:rsidRPr="004F6597">
        <w:rPr>
          <w:rFonts w:ascii="Calibri" w:hAnsi="Calibri" w:cs="Calibri"/>
          <w:szCs w:val="22"/>
        </w:rPr>
        <w:t>Het voorstel zal het budget van de EIC met 210 miljoen euro verhogen, afkomstig van de ongebruikte bedragen en terugvloeiing van het EIC-pilotproject van Horizon 2020.</w:t>
      </w:r>
      <w:r w:rsidRPr="004F6597" w:rsidR="00C31AEF">
        <w:rPr>
          <w:rFonts w:ascii="Calibri" w:hAnsi="Calibri" w:cs="Calibri"/>
          <w:szCs w:val="22"/>
        </w:rPr>
        <w:t xml:space="preserve"> Het voorstel beoogt om meer flexibiliteit en inzetbaarheid te halen binnen de bestaande financiële kaders van bestaande Europese fondsen. Dit is in lijn met dat het kabinet van mening is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Pr="004F6597" w:rsidR="004426F6">
        <w:rPr>
          <w:rFonts w:ascii="Calibri" w:hAnsi="Calibri" w:cs="Calibri"/>
          <w:szCs w:val="22"/>
        </w:rPr>
        <w:t>.</w:t>
      </w:r>
    </w:p>
    <w:p w:rsidRPr="004F6597" w:rsidR="00136856" w:rsidP="00F35AB5" w:rsidRDefault="00136856" w14:paraId="4404EA30" w14:textId="77777777">
      <w:pPr>
        <w:spacing w:line="360" w:lineRule="auto"/>
        <w:outlineLvl w:val="0"/>
        <w:rPr>
          <w:rFonts w:ascii="Calibri" w:hAnsi="Calibri" w:cs="Calibri"/>
          <w:szCs w:val="22"/>
        </w:rPr>
      </w:pPr>
    </w:p>
    <w:p w:rsidRPr="004F6597" w:rsidR="00827EB0" w:rsidP="006B5951" w:rsidRDefault="00827EB0" w14:paraId="37892163" w14:textId="530D84BF">
      <w:pPr>
        <w:numPr>
          <w:ilvl w:val="0"/>
          <w:numId w:val="10"/>
        </w:numPr>
        <w:spacing w:line="360" w:lineRule="auto"/>
        <w:outlineLvl w:val="0"/>
        <w:rPr>
          <w:rFonts w:ascii="Calibri" w:hAnsi="Calibri" w:cs="Calibri"/>
          <w:i/>
          <w:iCs/>
          <w:szCs w:val="22"/>
        </w:rPr>
      </w:pPr>
      <w:r w:rsidRPr="004F6597">
        <w:rPr>
          <w:rFonts w:ascii="Calibri" w:hAnsi="Calibri" w:cs="Calibri"/>
          <w:i/>
          <w:iCs/>
          <w:szCs w:val="22"/>
        </w:rPr>
        <w:t xml:space="preserve">Financiële consequenties (incl. personele) voor </w:t>
      </w:r>
      <w:r w:rsidRPr="004F6597" w:rsidR="00B75EC0">
        <w:rPr>
          <w:rFonts w:ascii="Calibri" w:hAnsi="Calibri" w:cs="Calibri"/>
          <w:i/>
          <w:iCs/>
          <w:szCs w:val="22"/>
        </w:rPr>
        <w:t>R</w:t>
      </w:r>
      <w:r w:rsidRPr="004F6597">
        <w:rPr>
          <w:rFonts w:ascii="Calibri" w:hAnsi="Calibri" w:cs="Calibri"/>
          <w:i/>
          <w:iCs/>
          <w:szCs w:val="22"/>
        </w:rPr>
        <w:t>ijksoverheid en/of medeoverheden</w:t>
      </w:r>
    </w:p>
    <w:p w:rsidRPr="004F6597" w:rsidR="00703369" w:rsidP="00972A77" w:rsidRDefault="00703369" w14:paraId="451BA7C9" w14:textId="72939A90">
      <w:pPr>
        <w:spacing w:line="360" w:lineRule="auto"/>
        <w:outlineLvl w:val="0"/>
        <w:rPr>
          <w:rFonts w:ascii="Calibri" w:hAnsi="Calibri" w:cs="Calibri"/>
          <w:szCs w:val="22"/>
        </w:rPr>
      </w:pPr>
      <w:r w:rsidRPr="004F6597">
        <w:rPr>
          <w:rFonts w:ascii="Calibri" w:hAnsi="Calibri" w:cs="Calibri"/>
          <w:szCs w:val="22"/>
        </w:rPr>
        <w:t xml:space="preserve">Gebruikmaken van de genoemde fondsen is vrijwillig. Als de Rijksoverheid of medeoverheden door dit voorstel meer gebruik gaan maken van de fondsen, kan dit gevolgen hebben voor de uitvoeringskosten. </w:t>
      </w:r>
      <w:r w:rsidRPr="004F6597">
        <w:rPr>
          <w:rFonts w:ascii="Calibri" w:hAnsi="Calibri" w:eastAsia="Verdana" w:cs="Calibri"/>
          <w:szCs w:val="22"/>
        </w:rPr>
        <w:t>Hieronder vallen onder meer personele inzet van (mede)overheden die deze uitvoeringsorganisaties onder hun hoede hebben. Eventuele budgettaire gevolgen worden proportioneel ingepast op de begroting van het beleidsverantwoordelijke departement, conform de regels van de budgetdiscipline.</w:t>
      </w:r>
      <w:r w:rsidRPr="004F6597">
        <w:rPr>
          <w:rFonts w:ascii="Calibri" w:hAnsi="Calibri" w:cs="Calibri"/>
          <w:szCs w:val="22"/>
        </w:rPr>
        <w:t xml:space="preserve"> Voor </w:t>
      </w:r>
      <w:r w:rsidRPr="004F6597" w:rsidR="00301B9E">
        <w:rPr>
          <w:rFonts w:ascii="Calibri" w:hAnsi="Calibri" w:cs="Calibri"/>
          <w:szCs w:val="22"/>
        </w:rPr>
        <w:t xml:space="preserve">een deel van </w:t>
      </w:r>
      <w:r w:rsidRPr="004F6597">
        <w:rPr>
          <w:rFonts w:ascii="Calibri" w:hAnsi="Calibri" w:cs="Calibri"/>
          <w:szCs w:val="22"/>
        </w:rPr>
        <w:t xml:space="preserve">de genoemde fondsen geldt dat de budgetten al zijn gealloceerd, waardoor voor Nederland geen directe investeringsmogelijkheden vrijkomen. Dit betekent ook dat er naar verwachting geen additionele kosten optreden (voor de uitvoering) voortkomend uit dit voorstel. </w:t>
      </w:r>
    </w:p>
    <w:p w:rsidRPr="004F6597" w:rsidR="00B76422" w:rsidP="00827EB0" w:rsidRDefault="00B76422" w14:paraId="343D788B" w14:textId="77777777">
      <w:pPr>
        <w:spacing w:line="360" w:lineRule="auto"/>
        <w:outlineLvl w:val="0"/>
        <w:rPr>
          <w:rFonts w:ascii="Calibri" w:hAnsi="Calibri" w:cs="Calibri"/>
          <w:bCs/>
          <w:szCs w:val="22"/>
        </w:rPr>
      </w:pPr>
    </w:p>
    <w:p w:rsidRPr="004F6597" w:rsidR="00827EB0" w:rsidP="006B5951" w:rsidRDefault="008D3246" w14:paraId="24C4452A" w14:textId="3D6F516D">
      <w:pPr>
        <w:numPr>
          <w:ilvl w:val="0"/>
          <w:numId w:val="10"/>
        </w:numPr>
        <w:spacing w:line="360" w:lineRule="auto"/>
        <w:rPr>
          <w:rFonts w:ascii="Calibri" w:hAnsi="Calibri" w:cs="Calibri"/>
          <w:i/>
          <w:iCs/>
          <w:szCs w:val="22"/>
        </w:rPr>
      </w:pPr>
      <w:r w:rsidRPr="004F6597">
        <w:rPr>
          <w:rFonts w:ascii="Calibri" w:hAnsi="Calibri" w:cs="Calibri"/>
          <w:i/>
          <w:iCs/>
          <w:szCs w:val="22"/>
        </w:rPr>
        <w:lastRenderedPageBreak/>
        <w:t>Financiële</w:t>
      </w:r>
      <w:r w:rsidRPr="004F6597" w:rsidR="00827EB0">
        <w:rPr>
          <w:rFonts w:ascii="Calibri" w:hAnsi="Calibri" w:cs="Calibri"/>
          <w:i/>
          <w:iCs/>
          <w:szCs w:val="22"/>
        </w:rPr>
        <w:t xml:space="preserve"> consequenties  en gevolgen voor regeldruk voor bedrijfsleven en burger</w:t>
      </w:r>
    </w:p>
    <w:p w:rsidRPr="004F6597" w:rsidR="007B1D1B" w:rsidP="006B5951" w:rsidRDefault="007B1D1B" w14:paraId="72435757" w14:textId="24C663DE">
      <w:pPr>
        <w:spacing w:line="360" w:lineRule="auto"/>
        <w:rPr>
          <w:rFonts w:ascii="Calibri" w:hAnsi="Calibri" w:cs="Calibri"/>
          <w:szCs w:val="22"/>
        </w:rPr>
      </w:pPr>
      <w:r w:rsidRPr="004F6597">
        <w:rPr>
          <w:rFonts w:ascii="Calibri" w:hAnsi="Calibri" w:cs="Calibri"/>
          <w:szCs w:val="22"/>
        </w:rPr>
        <w:t xml:space="preserve">Omdat er geen impactanalyse is uitgevoerd voor dit voorstel is het niet goed mogelijk een inschatting te maken van de mogelijke regeldrukeffecten voor het bedrijfsleven. Het kabinet zal de Commissie vragen alsnog een impactanalyse uit te voeren, waarbij de inzet zal zijn om de regeldruk zo veel mogelijk te beperken. Wel geeft de Commissie aan dat het </w:t>
      </w:r>
      <w:r w:rsidRPr="004F6597" w:rsidR="00C31AEF">
        <w:rPr>
          <w:rFonts w:ascii="Calibri" w:hAnsi="Calibri" w:cs="Calibri"/>
          <w:szCs w:val="22"/>
        </w:rPr>
        <w:t>v</w:t>
      </w:r>
      <w:r w:rsidRPr="004F6597">
        <w:rPr>
          <w:rFonts w:ascii="Calibri" w:hAnsi="Calibri" w:cs="Calibri"/>
          <w:szCs w:val="22"/>
        </w:rPr>
        <w:t>oorstel de voorwaarden moet stellen voor een effectiever, efficiënter en gerichter gebruik van bestaande Europese middelen. Het is echter zonder impact assessment niet mogelijk in te schatten of dit ook echt tot verminderde regeldruk zal leiden.</w:t>
      </w:r>
    </w:p>
    <w:p w:rsidRPr="004F6597" w:rsidR="00A210BB" w:rsidP="006B5951" w:rsidRDefault="00A210BB" w14:paraId="584C32E1" w14:textId="453BE4AC">
      <w:pPr>
        <w:spacing w:line="360" w:lineRule="auto"/>
        <w:rPr>
          <w:rFonts w:ascii="Calibri" w:hAnsi="Calibri" w:cs="Calibri"/>
          <w:szCs w:val="22"/>
          <w:highlight w:val="yellow"/>
        </w:rPr>
      </w:pPr>
      <w:r w:rsidRPr="004F6597">
        <w:rPr>
          <w:rFonts w:ascii="Calibri" w:hAnsi="Calibri" w:cs="Calibri"/>
          <w:szCs w:val="22"/>
        </w:rPr>
        <w:t>Het bedrijfsleven en burger zijn (potentieel) begunstigden van de genoemde fondsen. Dit betekent dat de financiële consequenties voor het bedrijfsleven en de burger gunstig zijn, zonder dat er op dit moment een inschatting te geven is van de hoogte hiervan.</w:t>
      </w:r>
    </w:p>
    <w:p w:rsidRPr="004F6597" w:rsidR="00827EB0" w:rsidP="00827EB0" w:rsidRDefault="00827EB0" w14:paraId="0832EACC" w14:textId="77777777">
      <w:pPr>
        <w:spacing w:line="360" w:lineRule="auto"/>
        <w:rPr>
          <w:rFonts w:ascii="Calibri" w:hAnsi="Calibri" w:cs="Calibri"/>
          <w:bCs/>
          <w:szCs w:val="22"/>
          <w:highlight w:val="yellow"/>
        </w:rPr>
      </w:pPr>
    </w:p>
    <w:p w:rsidRPr="004F6597" w:rsidR="00827EB0" w:rsidP="00F35AB5" w:rsidRDefault="00827EB0" w14:paraId="246638C0" w14:textId="77777777">
      <w:pPr>
        <w:numPr>
          <w:ilvl w:val="0"/>
          <w:numId w:val="10"/>
        </w:numPr>
        <w:spacing w:line="360" w:lineRule="auto"/>
        <w:rPr>
          <w:rFonts w:ascii="Calibri" w:hAnsi="Calibri" w:cs="Calibri"/>
          <w:i/>
          <w:iCs/>
          <w:szCs w:val="22"/>
        </w:rPr>
      </w:pPr>
      <w:r w:rsidRPr="004F6597">
        <w:rPr>
          <w:rFonts w:ascii="Calibri" w:hAnsi="Calibri" w:cs="Calibri"/>
          <w:i/>
          <w:iCs/>
          <w:szCs w:val="22"/>
        </w:rPr>
        <w:t>Gevolgen voor concurrentiekracht en geopolitieke aspecten</w:t>
      </w:r>
    </w:p>
    <w:p w:rsidRPr="004F6597" w:rsidR="00A95F68" w:rsidP="00F35AB5" w:rsidRDefault="00A270A4" w14:paraId="2620E959"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4F6597">
        <w:rPr>
          <w:rFonts w:ascii="Calibri" w:hAnsi="Calibri" w:cs="Calibri"/>
          <w:szCs w:val="22"/>
        </w:rPr>
        <w:t>Het voorstel versterkt het vermogen van de lidstaten om zelfstandig te voorzien in militaire capaciteitsbehoeften en daarmee minder afhankelijk te zijn van internationale partners, en draagt dus bij aan het vermogen van de EU om autonomer te opereren in een geopolitieke fragiele wereld. Dit is ook in het belang van NAVO</w:t>
      </w:r>
      <w:r w:rsidRPr="004F6597" w:rsidR="00A95F68">
        <w:rPr>
          <w:rFonts w:ascii="Calibri" w:hAnsi="Calibri" w:cs="Calibri"/>
          <w:szCs w:val="22"/>
        </w:rPr>
        <w:t>-</w:t>
      </w:r>
      <w:r w:rsidRPr="004F6597">
        <w:rPr>
          <w:rFonts w:ascii="Calibri" w:hAnsi="Calibri" w:cs="Calibri"/>
          <w:szCs w:val="22"/>
        </w:rPr>
        <w:t xml:space="preserve">partners, want een sterkere EU betekent een sterkere NAVO. </w:t>
      </w:r>
    </w:p>
    <w:p w:rsidRPr="004F6597" w:rsidR="00A95F68" w:rsidP="00F35AB5" w:rsidRDefault="00A95F68" w14:paraId="6770A33A"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p>
    <w:p w:rsidRPr="004F6597" w:rsidR="00A95F68" w:rsidP="00A95F68" w:rsidRDefault="00A95F68" w14:paraId="64217A77"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4F6597">
        <w:rPr>
          <w:rFonts w:ascii="Calibri" w:hAnsi="Calibri" w:cs="Calibri"/>
          <w:szCs w:val="22"/>
        </w:rPr>
        <w:t>De Europese defensie-industrie is een belangrijke pijler onder Europees concurrentievermogen. Investeringen in de Europese defensie-industrie dragen bij aan het langetermijnperspectief van Europese bedrijven en zal dit voordelig zijn voor de bedrijvigheid, productiviteit en concurrentiepositie van deze bedrijven. Voor het concurrentievermogen van de Europese defensie-industrie is echter wel van belang dat er sprake is van een open en competitieve defensiemarkt. Dit geldt zowel voor (enige vorm van) concurrentie tussen aanbieders van eindproducten, als voor eerlijke concurrentie tussen toeleveranciers van eindproducenten. Binnen de toeleveringsketens van de Europese defensiemarkt moeten toeleveranciers geselecteerd op basis van prijs, kwaliteit en levertijd en niet op basis van nationaliteit. Op die manier wordt innovatie, efficiëntie en weerbaarheid in defensieproductieketens gewaarborgd.</w:t>
      </w:r>
    </w:p>
    <w:p w:rsidRPr="004F6597" w:rsidR="00A270A4" w:rsidP="00827EB0" w:rsidRDefault="00A270A4" w14:paraId="637681E4"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highlight w:val="yellow"/>
        </w:rPr>
      </w:pPr>
    </w:p>
    <w:p w:rsidRPr="004F6597" w:rsidR="00827EB0" w:rsidP="00F35AB5" w:rsidRDefault="00827EB0" w14:paraId="43CB597D" w14:textId="77777777">
      <w:pPr>
        <w:numPr>
          <w:ilvl w:val="0"/>
          <w:numId w:val="39"/>
        </w:numPr>
        <w:spacing w:line="360" w:lineRule="auto"/>
        <w:rPr>
          <w:rFonts w:ascii="Calibri" w:hAnsi="Calibri" w:cs="Calibri"/>
          <w:b/>
          <w:bCs/>
          <w:szCs w:val="22"/>
        </w:rPr>
      </w:pPr>
      <w:r w:rsidRPr="004F6597">
        <w:rPr>
          <w:rFonts w:ascii="Calibri" w:hAnsi="Calibri" w:cs="Calibri"/>
          <w:b/>
          <w:bCs/>
          <w:szCs w:val="22"/>
        </w:rPr>
        <w:t>Implicaties juridisch</w:t>
      </w:r>
    </w:p>
    <w:p w:rsidRPr="004F6597" w:rsidR="00827EB0" w:rsidP="00827EB0" w:rsidRDefault="00827EB0" w14:paraId="657088EC" w14:textId="77777777">
      <w:pPr>
        <w:spacing w:line="360" w:lineRule="auto"/>
        <w:rPr>
          <w:rFonts w:ascii="Calibri" w:hAnsi="Calibri" w:cs="Calibri"/>
          <w:b/>
          <w:szCs w:val="22"/>
          <w:highlight w:val="yellow"/>
        </w:rPr>
      </w:pPr>
    </w:p>
    <w:p w:rsidRPr="004F6597" w:rsidR="00827EB0" w:rsidP="00F35AB5" w:rsidRDefault="00827EB0" w14:paraId="2941C2A4" w14:textId="77777777">
      <w:pPr>
        <w:numPr>
          <w:ilvl w:val="0"/>
          <w:numId w:val="11"/>
        </w:numPr>
        <w:spacing w:line="360" w:lineRule="auto"/>
        <w:rPr>
          <w:rFonts w:ascii="Calibri" w:hAnsi="Calibri" w:cs="Calibri"/>
          <w:i/>
          <w:iCs/>
          <w:szCs w:val="22"/>
        </w:rPr>
      </w:pPr>
      <w:r w:rsidRPr="004F6597">
        <w:rPr>
          <w:rFonts w:ascii="Calibri" w:hAnsi="Calibri" w:cs="Calibri"/>
          <w:i/>
          <w:iCs/>
          <w:szCs w:val="22"/>
        </w:rPr>
        <w:t xml:space="preserve">Consequenties voor nationale en decentrale regelgeving en/of sanctionering beleid (inclusief  toepassing van de lex </w:t>
      </w:r>
      <w:proofErr w:type="spellStart"/>
      <w:r w:rsidRPr="004F6597">
        <w:rPr>
          <w:rFonts w:ascii="Calibri" w:hAnsi="Calibri" w:cs="Calibri"/>
          <w:i/>
          <w:iCs/>
          <w:szCs w:val="22"/>
        </w:rPr>
        <w:t>silencio</w:t>
      </w:r>
      <w:proofErr w:type="spellEnd"/>
      <w:r w:rsidRPr="004F6597">
        <w:rPr>
          <w:rFonts w:ascii="Calibri" w:hAnsi="Calibri" w:cs="Calibri"/>
          <w:i/>
          <w:iCs/>
          <w:szCs w:val="22"/>
        </w:rPr>
        <w:t xml:space="preserve"> positivo) </w:t>
      </w:r>
    </w:p>
    <w:p w:rsidRPr="004F6597" w:rsidR="00B249BC" w:rsidP="00F35AB5" w:rsidRDefault="00886797" w14:paraId="1DC0EF31" w14:textId="1ACC7F34">
      <w:pPr>
        <w:spacing w:line="360" w:lineRule="auto"/>
        <w:rPr>
          <w:rFonts w:ascii="Calibri" w:hAnsi="Calibri" w:cs="Calibri"/>
          <w:szCs w:val="22"/>
        </w:rPr>
      </w:pPr>
      <w:r w:rsidRPr="004F6597">
        <w:rPr>
          <w:rFonts w:ascii="Calibri" w:hAnsi="Calibri" w:cs="Calibri"/>
          <w:szCs w:val="22"/>
        </w:rPr>
        <w:lastRenderedPageBreak/>
        <w:t xml:space="preserve">Het is nog onduidelijk of dit voorstel op grond van een eerste voorlopige inschatting mogelijke implicaties zal hebben voor uitvoering en/of handhaving omdat de Commissie geen </w:t>
      </w:r>
      <w:r w:rsidRPr="004F6597">
        <w:rPr>
          <w:rFonts w:ascii="Calibri" w:hAnsi="Calibri" w:cs="Calibri"/>
          <w:i/>
          <w:iCs/>
          <w:szCs w:val="22"/>
        </w:rPr>
        <w:t>impact assessment</w:t>
      </w:r>
      <w:r w:rsidRPr="004F6597">
        <w:rPr>
          <w:rFonts w:ascii="Calibri" w:hAnsi="Calibri" w:cs="Calibri"/>
          <w:szCs w:val="22"/>
        </w:rPr>
        <w:t xml:space="preserve"> heeft uitgevoerd. Er kunnen mogelijke gevolgen zijn voor de nationale regelgeving vanwege de veiligheidsverklaringen</w:t>
      </w:r>
      <w:r w:rsidRPr="004F6597" w:rsidR="004426F6">
        <w:rPr>
          <w:rFonts w:ascii="Calibri" w:hAnsi="Calibri" w:cs="Calibri"/>
          <w:szCs w:val="22"/>
        </w:rPr>
        <w:t>.</w:t>
      </w:r>
      <w:r w:rsidRPr="004F6597">
        <w:rPr>
          <w:rFonts w:ascii="Calibri" w:hAnsi="Calibri" w:cs="Calibri"/>
          <w:szCs w:val="22"/>
        </w:rPr>
        <w:t xml:space="preserve"> Het kabinet vraagt de Commissie om hierin verduidelijking te geven.</w:t>
      </w:r>
      <w:r w:rsidRPr="004F6597" w:rsidR="004426F6">
        <w:rPr>
          <w:rFonts w:ascii="Calibri" w:hAnsi="Calibri" w:cs="Calibri"/>
          <w:szCs w:val="22"/>
        </w:rPr>
        <w:t xml:space="preserve"> </w:t>
      </w:r>
      <w:r w:rsidRPr="004F6597" w:rsidR="00B249BC">
        <w:rPr>
          <w:rFonts w:ascii="Calibri" w:hAnsi="Calibri" w:cs="Calibri"/>
          <w:szCs w:val="22"/>
        </w:rPr>
        <w:t xml:space="preserve">Het voorstel bevat geen </w:t>
      </w:r>
      <w:r w:rsidRPr="004F6597" w:rsidR="00B249BC">
        <w:rPr>
          <w:rFonts w:ascii="Calibri" w:hAnsi="Calibri" w:cs="Calibri"/>
          <w:i/>
          <w:iCs/>
          <w:szCs w:val="22"/>
        </w:rPr>
        <w:t xml:space="preserve">lex </w:t>
      </w:r>
      <w:proofErr w:type="spellStart"/>
      <w:r w:rsidRPr="004F6597" w:rsidR="00B249BC">
        <w:rPr>
          <w:rFonts w:ascii="Calibri" w:hAnsi="Calibri" w:cs="Calibri"/>
          <w:i/>
          <w:iCs/>
          <w:szCs w:val="22"/>
        </w:rPr>
        <w:t>silencio</w:t>
      </w:r>
      <w:proofErr w:type="spellEnd"/>
      <w:r w:rsidRPr="004F6597" w:rsidR="00B249BC">
        <w:rPr>
          <w:rFonts w:ascii="Calibri" w:hAnsi="Calibri" w:cs="Calibri"/>
          <w:i/>
          <w:iCs/>
          <w:szCs w:val="22"/>
        </w:rPr>
        <w:t xml:space="preserve"> positivo</w:t>
      </w:r>
      <w:r w:rsidRPr="004F6597" w:rsidR="00B249BC">
        <w:rPr>
          <w:rFonts w:ascii="Calibri" w:hAnsi="Calibri" w:cs="Calibri"/>
          <w:szCs w:val="22"/>
        </w:rPr>
        <w:t xml:space="preserve"> en sluit aan bij de besluitvormingsprocessen zoals reeds voorzien in de reeds geldende fondsverordeningen en andere EU-instrumenten. Het voorstel bevat geen bepalingen voor handhaving of sanctionering.</w:t>
      </w:r>
    </w:p>
    <w:p w:rsidRPr="004F6597" w:rsidR="00827EB0" w:rsidP="00827EB0" w:rsidRDefault="00827EB0" w14:paraId="1C4B55F3" w14:textId="77777777">
      <w:pPr>
        <w:spacing w:line="360" w:lineRule="auto"/>
        <w:rPr>
          <w:rFonts w:ascii="Calibri" w:hAnsi="Calibri" w:cs="Calibri"/>
          <w:bCs/>
          <w:i/>
          <w:iCs/>
          <w:szCs w:val="22"/>
          <w:highlight w:val="yellow"/>
        </w:rPr>
      </w:pPr>
    </w:p>
    <w:p w:rsidRPr="004F6597" w:rsidR="00827EB0" w:rsidP="00F35AB5" w:rsidRDefault="00827EB0" w14:paraId="112CFE02" w14:textId="77777777">
      <w:pPr>
        <w:numPr>
          <w:ilvl w:val="0"/>
          <w:numId w:val="11"/>
        </w:numPr>
        <w:tabs>
          <w:tab w:val="left" w:pos="-426"/>
        </w:tabs>
        <w:suppressAutoHyphens/>
        <w:spacing w:line="360" w:lineRule="auto"/>
        <w:rPr>
          <w:rFonts w:ascii="Calibri" w:hAnsi="Calibri" w:cs="Calibri"/>
          <w:i/>
          <w:iCs/>
          <w:szCs w:val="22"/>
        </w:rPr>
      </w:pPr>
      <w:r w:rsidRPr="004F6597">
        <w:rPr>
          <w:rFonts w:ascii="Calibri" w:hAnsi="Calibri" w:cs="Calibri"/>
          <w:i/>
          <w:iCs/>
          <w:szCs w:val="22"/>
        </w:rPr>
        <w:t>Gedelegeerde en/of uitvoeringshandelingen, incl. NL-beoordeling daarvan</w:t>
      </w:r>
    </w:p>
    <w:p w:rsidRPr="004F6597" w:rsidR="00B249BC" w:rsidP="00F35AB5" w:rsidRDefault="00020252" w14:paraId="3C0AF1D4" w14:textId="709DB30F">
      <w:pPr>
        <w:tabs>
          <w:tab w:val="left" w:pos="-426"/>
        </w:tabs>
        <w:suppressAutoHyphens/>
        <w:spacing w:line="360" w:lineRule="auto"/>
        <w:rPr>
          <w:rFonts w:ascii="Calibri" w:hAnsi="Calibri" w:cs="Calibri"/>
          <w:szCs w:val="22"/>
          <w:highlight w:val="yellow"/>
        </w:rPr>
      </w:pPr>
      <w:r w:rsidRPr="004F6597">
        <w:rPr>
          <w:rFonts w:ascii="Calibri" w:hAnsi="Calibri" w:cs="Calibri"/>
          <w:szCs w:val="22"/>
        </w:rPr>
        <w:t>N.v.t.</w:t>
      </w:r>
    </w:p>
    <w:p w:rsidRPr="004F6597" w:rsidR="00827EB0" w:rsidP="00A270A4" w:rsidRDefault="00827EB0" w14:paraId="5604C048" w14:textId="22C8820D">
      <w:pPr>
        <w:spacing w:line="360" w:lineRule="auto"/>
        <w:rPr>
          <w:rFonts w:ascii="Calibri" w:hAnsi="Calibri" w:cs="Calibri"/>
          <w:bCs/>
          <w:i/>
          <w:iCs/>
          <w:szCs w:val="22"/>
          <w:highlight w:val="yellow"/>
        </w:rPr>
      </w:pPr>
    </w:p>
    <w:p w:rsidRPr="004F6597" w:rsidR="00827EB0" w:rsidP="00F35AB5" w:rsidRDefault="00827EB0" w14:paraId="0F515CA8" w14:textId="77777777">
      <w:pPr>
        <w:numPr>
          <w:ilvl w:val="0"/>
          <w:numId w:val="11"/>
        </w:numPr>
        <w:spacing w:line="360" w:lineRule="auto"/>
        <w:rPr>
          <w:rFonts w:ascii="Calibri" w:hAnsi="Calibri" w:cs="Calibri"/>
          <w:i/>
          <w:iCs/>
          <w:szCs w:val="22"/>
        </w:rPr>
      </w:pPr>
      <w:r w:rsidRPr="004F6597">
        <w:rPr>
          <w:rFonts w:ascii="Calibri" w:hAnsi="Calibri" w:cs="Calibri"/>
          <w:i/>
          <w:iCs/>
          <w:szCs w:val="22"/>
        </w:rPr>
        <w:t>Voorgestelde implementatietermijn (bij richtlijnen), dan wel voorgestelde datum inwerkingtreding (bij verordeningen en besluiten) met commentaar t.a.v. haalbaarheid</w:t>
      </w:r>
    </w:p>
    <w:p w:rsidRPr="004F6597" w:rsidR="00685D8F" w:rsidP="00C90670" w:rsidRDefault="00685D8F" w14:paraId="4AF27086" w14:textId="531B27D1">
      <w:pPr>
        <w:spacing w:line="360" w:lineRule="auto"/>
        <w:rPr>
          <w:rFonts w:ascii="Calibri" w:hAnsi="Calibri" w:cs="Calibri"/>
          <w:szCs w:val="22"/>
        </w:rPr>
      </w:pPr>
      <w:r w:rsidRPr="004F6597">
        <w:rPr>
          <w:rFonts w:ascii="Calibri" w:hAnsi="Calibri" w:cs="Calibri"/>
          <w:szCs w:val="22"/>
        </w:rPr>
        <w:t xml:space="preserve">Volgens het voorstel treedt de verordening in werking </w:t>
      </w:r>
      <w:r w:rsidRPr="004F6597" w:rsidR="00D42FFD">
        <w:rPr>
          <w:rFonts w:ascii="Calibri" w:hAnsi="Calibri" w:cs="Calibri"/>
          <w:szCs w:val="22"/>
        </w:rPr>
        <w:t xml:space="preserve">op de dag na </w:t>
      </w:r>
      <w:r w:rsidRPr="004F6597">
        <w:rPr>
          <w:rFonts w:ascii="Calibri" w:hAnsi="Calibri" w:cs="Calibri"/>
          <w:szCs w:val="22"/>
        </w:rPr>
        <w:t>de bekendmaking ervan in het Publicatieblad van de Europese Unie</w:t>
      </w:r>
      <w:r w:rsidRPr="004F6597" w:rsidR="00D42FFD">
        <w:rPr>
          <w:rFonts w:ascii="Calibri" w:hAnsi="Calibri" w:cs="Calibri"/>
          <w:szCs w:val="22"/>
        </w:rPr>
        <w:t xml:space="preserve">. </w:t>
      </w:r>
      <w:r w:rsidRPr="004F6597">
        <w:rPr>
          <w:rFonts w:ascii="Calibri" w:hAnsi="Calibri" w:cs="Calibri"/>
          <w:szCs w:val="22"/>
        </w:rPr>
        <w:t>Het kabinet acht de voorgestelde datum van inwerkingtreding haalbaar.</w:t>
      </w:r>
    </w:p>
    <w:p w:rsidRPr="004F6597" w:rsidR="00685D8F" w:rsidP="00685D8F" w:rsidRDefault="00685D8F" w14:paraId="1EBBF188" w14:textId="77777777">
      <w:pPr>
        <w:spacing w:line="360" w:lineRule="auto"/>
        <w:rPr>
          <w:rFonts w:ascii="Calibri" w:hAnsi="Calibri" w:cs="Calibri"/>
          <w:b/>
          <w:i/>
          <w:iCs/>
          <w:szCs w:val="22"/>
          <w:highlight w:val="yellow"/>
        </w:rPr>
      </w:pPr>
    </w:p>
    <w:p w:rsidRPr="004F6597" w:rsidR="00827EB0" w:rsidP="00F35AB5" w:rsidRDefault="00827EB0" w14:paraId="3EE6A31D" w14:textId="77777777">
      <w:pPr>
        <w:numPr>
          <w:ilvl w:val="0"/>
          <w:numId w:val="11"/>
        </w:numPr>
        <w:spacing w:line="360" w:lineRule="auto"/>
        <w:rPr>
          <w:rFonts w:ascii="Calibri" w:hAnsi="Calibri" w:cs="Calibri"/>
          <w:i/>
          <w:iCs/>
          <w:szCs w:val="22"/>
        </w:rPr>
      </w:pPr>
      <w:r w:rsidRPr="004F6597">
        <w:rPr>
          <w:rFonts w:ascii="Calibri" w:hAnsi="Calibri" w:cs="Calibri"/>
          <w:i/>
          <w:iCs/>
          <w:szCs w:val="22"/>
        </w:rPr>
        <w:t>Wenselijkheid evaluatie-/horizonbepaling</w:t>
      </w:r>
    </w:p>
    <w:p w:rsidRPr="004F6597" w:rsidR="00C32AA5" w:rsidP="006B5951" w:rsidRDefault="00C32AA5" w14:paraId="614A250B" w14:textId="308E2FF5">
      <w:pPr>
        <w:spacing w:line="360" w:lineRule="auto"/>
        <w:rPr>
          <w:rFonts w:ascii="Calibri" w:hAnsi="Calibri" w:cs="Calibri"/>
          <w:szCs w:val="22"/>
        </w:rPr>
      </w:pPr>
      <w:r w:rsidRPr="004F6597">
        <w:rPr>
          <w:rFonts w:ascii="Calibri" w:hAnsi="Calibri" w:cs="Calibri"/>
          <w:szCs w:val="22"/>
        </w:rPr>
        <w:t>De beoogde wijzigingen in de verordening zullen worden gemonitord en geëvalueerd in overeenstemming met de regels en procedures die zijn vastgelegd in de relevante programma</w:t>
      </w:r>
      <w:r w:rsidRPr="004F6597" w:rsidR="006B5951">
        <w:rPr>
          <w:rFonts w:ascii="Calibri" w:hAnsi="Calibri" w:cs="Calibri"/>
          <w:szCs w:val="22"/>
        </w:rPr>
        <w:t>’</w:t>
      </w:r>
      <w:r w:rsidRPr="004F6597">
        <w:rPr>
          <w:rFonts w:ascii="Calibri" w:hAnsi="Calibri" w:cs="Calibri"/>
          <w:szCs w:val="22"/>
        </w:rPr>
        <w:t>s</w:t>
      </w:r>
      <w:r w:rsidRPr="004F6597" w:rsidR="006B5951">
        <w:rPr>
          <w:rFonts w:ascii="Calibri" w:hAnsi="Calibri" w:cs="Calibri"/>
          <w:szCs w:val="22"/>
        </w:rPr>
        <w:t xml:space="preserve"> en verordeningen</w:t>
      </w:r>
      <w:r w:rsidRPr="004F6597">
        <w:rPr>
          <w:rFonts w:ascii="Calibri" w:hAnsi="Calibri" w:cs="Calibri"/>
          <w:szCs w:val="22"/>
        </w:rPr>
        <w:t>, namelijk Horizon Europ</w:t>
      </w:r>
      <w:r w:rsidRPr="004F6597" w:rsidR="000A6394">
        <w:rPr>
          <w:rFonts w:ascii="Calibri" w:hAnsi="Calibri" w:cs="Calibri"/>
          <w:szCs w:val="22"/>
        </w:rPr>
        <w:t>e</w:t>
      </w:r>
      <w:r w:rsidRPr="004F6597">
        <w:rPr>
          <w:rFonts w:ascii="Calibri" w:hAnsi="Calibri" w:cs="Calibri"/>
          <w:szCs w:val="22"/>
        </w:rPr>
        <w:t>, CEF, DEP, EDF, ASAP en STEP. De frequentie en voorwaarden voor monitoring en rapportage zullen worden gespecificeerd in de respectieve programmaregelgeving en -overeenkomsten.</w:t>
      </w:r>
    </w:p>
    <w:p w:rsidRPr="004F6597" w:rsidR="00C32AA5" w:rsidP="00C32AA5" w:rsidRDefault="00C32AA5" w14:paraId="3F7CCB10" w14:textId="77777777">
      <w:pPr>
        <w:spacing w:line="360" w:lineRule="auto"/>
        <w:rPr>
          <w:rFonts w:ascii="Calibri" w:hAnsi="Calibri" w:cs="Calibri"/>
          <w:bCs/>
          <w:szCs w:val="22"/>
        </w:rPr>
      </w:pPr>
    </w:p>
    <w:p w:rsidRPr="004F6597" w:rsidR="00C32AA5" w:rsidP="00F35AB5" w:rsidRDefault="00C32AA5" w14:paraId="747C06C9" w14:textId="77777777">
      <w:pPr>
        <w:spacing w:line="360" w:lineRule="auto"/>
        <w:rPr>
          <w:rFonts w:ascii="Calibri" w:hAnsi="Calibri" w:cs="Calibri"/>
          <w:szCs w:val="22"/>
        </w:rPr>
      </w:pPr>
      <w:r w:rsidRPr="004F6597">
        <w:rPr>
          <w:rFonts w:ascii="Calibri" w:hAnsi="Calibri" w:cs="Calibri"/>
          <w:szCs w:val="22"/>
        </w:rPr>
        <w:t>Voor bepalingen met betrekking tot het cohesiebeleid zullen daarnaast periodieke evaluaties en rapportages worden uitgevoerd in overeenstemming met de relevante verplichtingen van het cohesiebeleid, inclusief de vereisten voor ex-ante-evaluaties, tussentijdse evaluaties en ex-post-evaluaties, evenals de rapportagevereisten die zijn vastgelegd in de toepasselijke regelgeving en financieringsovereenkomsten.</w:t>
      </w:r>
    </w:p>
    <w:p w:rsidRPr="004F6597" w:rsidR="00C32AA5" w:rsidP="00C32AA5" w:rsidRDefault="00C32AA5" w14:paraId="20C1F6EA" w14:textId="77777777">
      <w:pPr>
        <w:spacing w:line="360" w:lineRule="auto"/>
        <w:rPr>
          <w:rFonts w:ascii="Calibri" w:hAnsi="Calibri" w:cs="Calibri"/>
          <w:bCs/>
          <w:szCs w:val="22"/>
        </w:rPr>
      </w:pPr>
    </w:p>
    <w:p w:rsidRPr="004F6597" w:rsidR="00EC34C4" w:rsidP="00F35AB5" w:rsidRDefault="00C32AA5" w14:paraId="1BAFA321" w14:textId="551D4D85">
      <w:pPr>
        <w:spacing w:line="360" w:lineRule="auto"/>
        <w:rPr>
          <w:rFonts w:ascii="Calibri" w:hAnsi="Calibri" w:cs="Calibri"/>
          <w:szCs w:val="22"/>
        </w:rPr>
      </w:pPr>
      <w:r w:rsidRPr="004F6597">
        <w:rPr>
          <w:rFonts w:ascii="Calibri" w:hAnsi="Calibri" w:cs="Calibri"/>
          <w:szCs w:val="22"/>
        </w:rPr>
        <w:t>In het algemeen zullen de monitoring en rapportage regelmatig plaatsvinden, met een specifieke frequentie en voorwaarden die worden bepaald door de relevante programma-autoriteiten en in overeenstemming met de toepasselijke regels en voorschriften.</w:t>
      </w:r>
    </w:p>
    <w:p w:rsidRPr="004F6597" w:rsidR="009C003E" w:rsidP="00F35AB5" w:rsidRDefault="009C003E" w14:paraId="3DD1D189" w14:textId="77777777">
      <w:pPr>
        <w:spacing w:line="360" w:lineRule="auto"/>
        <w:rPr>
          <w:rFonts w:ascii="Calibri" w:hAnsi="Calibri" w:cs="Calibri"/>
          <w:szCs w:val="22"/>
        </w:rPr>
      </w:pPr>
    </w:p>
    <w:p w:rsidRPr="004F6597" w:rsidR="00C32AA5" w:rsidP="00C32AA5" w:rsidRDefault="00C32AA5" w14:paraId="1AF4B164" w14:textId="77777777">
      <w:pPr>
        <w:spacing w:line="360" w:lineRule="auto"/>
        <w:rPr>
          <w:rFonts w:ascii="Calibri" w:hAnsi="Calibri" w:cs="Calibri"/>
          <w:bCs/>
          <w:i/>
          <w:iCs/>
          <w:szCs w:val="22"/>
          <w:highlight w:val="yellow"/>
        </w:rPr>
      </w:pPr>
    </w:p>
    <w:p w:rsidRPr="004F6597" w:rsidR="00827EB0" w:rsidP="00F35AB5" w:rsidRDefault="00827EB0" w14:paraId="5E86DE0D" w14:textId="77777777">
      <w:pPr>
        <w:numPr>
          <w:ilvl w:val="0"/>
          <w:numId w:val="11"/>
        </w:numPr>
        <w:spacing w:line="360" w:lineRule="auto"/>
        <w:rPr>
          <w:rFonts w:ascii="Calibri" w:hAnsi="Calibri" w:cs="Calibri"/>
          <w:i/>
          <w:iCs/>
          <w:szCs w:val="22"/>
        </w:rPr>
      </w:pPr>
      <w:r w:rsidRPr="004F6597">
        <w:rPr>
          <w:rFonts w:ascii="Calibri" w:hAnsi="Calibri" w:cs="Calibri"/>
          <w:i/>
          <w:iCs/>
          <w:szCs w:val="22"/>
        </w:rPr>
        <w:t>Constitutionele toets</w:t>
      </w:r>
    </w:p>
    <w:p w:rsidRPr="004F6597" w:rsidR="00827EB0" w:rsidP="00827EB0" w:rsidRDefault="00A270A4" w14:paraId="489B3D89" w14:textId="68E03583">
      <w:pPr>
        <w:tabs>
          <w:tab w:val="left" w:pos="-284"/>
          <w:tab w:val="left" w:pos="340"/>
          <w:tab w:val="left" w:pos="426"/>
          <w:tab w:val="left" w:pos="680"/>
          <w:tab w:val="left" w:pos="1021"/>
          <w:tab w:val="left" w:pos="1361"/>
        </w:tabs>
        <w:spacing w:line="360" w:lineRule="auto"/>
        <w:rPr>
          <w:rFonts w:ascii="Calibri" w:hAnsi="Calibri" w:cs="Calibri"/>
          <w:szCs w:val="22"/>
        </w:rPr>
      </w:pPr>
      <w:r w:rsidRPr="004F6597">
        <w:rPr>
          <w:rFonts w:ascii="Calibri" w:hAnsi="Calibri" w:cs="Calibri"/>
          <w:szCs w:val="22"/>
        </w:rPr>
        <w:t>Niet van toepassing</w:t>
      </w:r>
    </w:p>
    <w:p w:rsidRPr="004F6597" w:rsidR="00827EB0" w:rsidP="00827EB0" w:rsidRDefault="00827EB0" w14:paraId="06949999" w14:textId="77777777">
      <w:pPr>
        <w:tabs>
          <w:tab w:val="left" w:pos="-284"/>
          <w:tab w:val="left" w:pos="340"/>
          <w:tab w:val="left" w:pos="426"/>
          <w:tab w:val="left" w:pos="680"/>
          <w:tab w:val="left" w:pos="1021"/>
          <w:tab w:val="left" w:pos="1361"/>
        </w:tabs>
        <w:spacing w:line="360" w:lineRule="auto"/>
        <w:rPr>
          <w:rFonts w:ascii="Calibri" w:hAnsi="Calibri" w:cs="Calibri"/>
          <w:szCs w:val="22"/>
          <w:highlight w:val="yellow"/>
          <w:u w:val="single"/>
        </w:rPr>
      </w:pPr>
    </w:p>
    <w:p w:rsidRPr="004F6597" w:rsidR="00827EB0" w:rsidP="00F35AB5" w:rsidRDefault="00827EB0" w14:paraId="0DD53A7B" w14:textId="77777777">
      <w:pPr>
        <w:numPr>
          <w:ilvl w:val="0"/>
          <w:numId w:val="39"/>
        </w:numPr>
        <w:spacing w:line="360" w:lineRule="auto"/>
        <w:rPr>
          <w:rFonts w:ascii="Calibri" w:hAnsi="Calibri" w:cs="Calibri"/>
          <w:b/>
          <w:bCs/>
          <w:szCs w:val="22"/>
        </w:rPr>
      </w:pPr>
      <w:r w:rsidRPr="004F6597">
        <w:rPr>
          <w:rFonts w:ascii="Calibri" w:hAnsi="Calibri" w:cs="Calibri"/>
          <w:b/>
          <w:bCs/>
          <w:szCs w:val="22"/>
        </w:rPr>
        <w:t>Implicaties voor uitvoering en/of handhaving</w:t>
      </w:r>
    </w:p>
    <w:p w:rsidRPr="004F6597" w:rsidR="00827EB0" w:rsidP="00F35AB5" w:rsidRDefault="00C32AA5" w14:paraId="064564F8" w14:textId="225E51DD">
      <w:pPr>
        <w:suppressAutoHyphens/>
        <w:spacing w:line="360" w:lineRule="auto"/>
        <w:rPr>
          <w:rFonts w:ascii="Calibri" w:hAnsi="Calibri" w:cs="Calibri"/>
          <w:szCs w:val="22"/>
        </w:rPr>
      </w:pPr>
      <w:r w:rsidRPr="004F6597">
        <w:rPr>
          <w:rFonts w:ascii="Calibri" w:hAnsi="Calibri" w:cs="Calibri"/>
          <w:szCs w:val="22"/>
        </w:rPr>
        <w:t xml:space="preserve">Het is nog onduidelijk of dit </w:t>
      </w:r>
      <w:r w:rsidRPr="004F6597" w:rsidR="00020252">
        <w:rPr>
          <w:rFonts w:ascii="Calibri" w:hAnsi="Calibri" w:cs="Calibri"/>
          <w:szCs w:val="22"/>
        </w:rPr>
        <w:t>v</w:t>
      </w:r>
      <w:r w:rsidRPr="004F6597">
        <w:rPr>
          <w:rFonts w:ascii="Calibri" w:hAnsi="Calibri" w:cs="Calibri"/>
          <w:szCs w:val="22"/>
        </w:rPr>
        <w:t>oorstel mogelijke implicaties zal hebben voor uitvoering en/of handhaving</w:t>
      </w:r>
      <w:r w:rsidRPr="004F6597" w:rsidR="00886797">
        <w:rPr>
          <w:rFonts w:ascii="Calibri" w:hAnsi="Calibri" w:cs="Calibri"/>
          <w:szCs w:val="22"/>
        </w:rPr>
        <w:t xml:space="preserve"> omdat de Commissie geen </w:t>
      </w:r>
      <w:r w:rsidRPr="004F6597" w:rsidR="00886797">
        <w:rPr>
          <w:rFonts w:ascii="Calibri" w:hAnsi="Calibri" w:cs="Calibri"/>
          <w:i/>
          <w:iCs/>
          <w:szCs w:val="22"/>
        </w:rPr>
        <w:t>impact assessment</w:t>
      </w:r>
      <w:r w:rsidRPr="004F6597" w:rsidR="00886797">
        <w:rPr>
          <w:rFonts w:ascii="Calibri" w:hAnsi="Calibri" w:cs="Calibri"/>
          <w:szCs w:val="22"/>
        </w:rPr>
        <w:t xml:space="preserve"> heeft uitgevoerd. Er kunnen mogelijke gevolgen zijn voor de uitvoering van de veiligheidsverklaringen. </w:t>
      </w:r>
      <w:r w:rsidRPr="004F6597">
        <w:rPr>
          <w:rFonts w:ascii="Calibri" w:hAnsi="Calibri" w:cs="Calibri"/>
          <w:szCs w:val="22"/>
        </w:rPr>
        <w:t>Het kabinet zet erop in om aanvullende administratieve lasten zoveel mogelijk te voorkomen.</w:t>
      </w:r>
    </w:p>
    <w:p w:rsidRPr="004F6597" w:rsidR="00C32AA5" w:rsidP="00C32AA5" w:rsidRDefault="00C32AA5" w14:paraId="635E5C49" w14:textId="77777777">
      <w:pPr>
        <w:suppressAutoHyphens/>
        <w:spacing w:line="360" w:lineRule="auto"/>
        <w:rPr>
          <w:rFonts w:ascii="Calibri" w:hAnsi="Calibri" w:cs="Calibri"/>
          <w:b/>
          <w:szCs w:val="22"/>
          <w:highlight w:val="yellow"/>
        </w:rPr>
      </w:pPr>
    </w:p>
    <w:p w:rsidRPr="004F6597" w:rsidR="00827EB0" w:rsidP="00F35AB5" w:rsidRDefault="00827EB0" w14:paraId="2F3F1F23" w14:textId="77777777">
      <w:pPr>
        <w:numPr>
          <w:ilvl w:val="0"/>
          <w:numId w:val="39"/>
        </w:numPr>
        <w:spacing w:line="360" w:lineRule="auto"/>
        <w:rPr>
          <w:rFonts w:ascii="Calibri" w:hAnsi="Calibri" w:cs="Calibri"/>
          <w:b/>
          <w:bCs/>
          <w:szCs w:val="22"/>
        </w:rPr>
      </w:pPr>
      <w:r w:rsidRPr="004F6597">
        <w:rPr>
          <w:rFonts w:ascii="Calibri" w:hAnsi="Calibri" w:cs="Calibri"/>
          <w:b/>
          <w:bCs/>
          <w:szCs w:val="22"/>
        </w:rPr>
        <w:t>Implicaties voor ontwikkelingslanden</w:t>
      </w:r>
    </w:p>
    <w:p w:rsidRPr="004F6597" w:rsidR="00827EB0" w:rsidP="00A270A4" w:rsidRDefault="00A270A4" w14:paraId="115B1A99" w14:textId="12B0CB8E">
      <w:pPr>
        <w:spacing w:line="360" w:lineRule="auto"/>
        <w:rPr>
          <w:rFonts w:ascii="Calibri" w:hAnsi="Calibri" w:cs="Calibri"/>
          <w:szCs w:val="22"/>
        </w:rPr>
      </w:pPr>
      <w:r w:rsidRPr="004F6597">
        <w:rPr>
          <w:rFonts w:ascii="Calibri" w:hAnsi="Calibri" w:cs="Calibri"/>
          <w:szCs w:val="22"/>
        </w:rPr>
        <w:t>Geen</w:t>
      </w:r>
      <w:r w:rsidRPr="004F6597" w:rsidR="00020252">
        <w:rPr>
          <w:rFonts w:ascii="Calibri" w:hAnsi="Calibri" w:cs="Calibri"/>
          <w:szCs w:val="22"/>
        </w:rPr>
        <w:t xml:space="preserve"> anders dan onder geopolitieke implicaties.</w:t>
      </w:r>
    </w:p>
    <w:bookmarkEnd w:id="0"/>
    <w:bookmarkEnd w:id="1"/>
    <w:p w:rsidRPr="004F6597" w:rsidR="00F55C38" w:rsidP="0365B89C" w:rsidRDefault="00F55C38" w14:paraId="5C118300" w14:textId="7F5BBB08">
      <w:pPr>
        <w:rPr>
          <w:rFonts w:ascii="Calibri" w:hAnsi="Calibri" w:cs="Calibri"/>
          <w:szCs w:val="22"/>
        </w:rPr>
      </w:pPr>
    </w:p>
    <w:sectPr w:rsidRPr="004F6597" w:rsidR="00F55C38" w:rsidSect="00402AE0">
      <w:footerReference w:type="even"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C08A" w14:textId="77777777" w:rsidR="001F7F04" w:rsidRDefault="001F7F04" w:rsidP="00827EB0">
      <w:pPr>
        <w:spacing w:line="240" w:lineRule="auto"/>
      </w:pPr>
      <w:r>
        <w:separator/>
      </w:r>
    </w:p>
  </w:endnote>
  <w:endnote w:type="continuationSeparator" w:id="0">
    <w:p w14:paraId="3FC84B94" w14:textId="77777777" w:rsidR="001F7F04" w:rsidRDefault="001F7F04" w:rsidP="00827EB0">
      <w:pPr>
        <w:spacing w:line="240" w:lineRule="auto"/>
      </w:pPr>
      <w:r>
        <w:continuationSeparator/>
      </w:r>
    </w:p>
  </w:endnote>
  <w:endnote w:type="continuationNotice" w:id="1">
    <w:p w14:paraId="13EB0A14" w14:textId="77777777" w:rsidR="001F7F04" w:rsidRDefault="001F7F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0C09" w14:textId="0B072EC2" w:rsidR="00B66613" w:rsidRDefault="00827EB0">
    <w:pPr>
      <w:pStyle w:val="Voettekst"/>
      <w:framePr w:wrap="around" w:vAnchor="text" w:hAnchor="margin" w:xAlign="right" w:y="1"/>
      <w:rPr>
        <w:rStyle w:val="Paginanummer"/>
        <w:rFonts w:eastAsiaTheme="majorEastAsia"/>
      </w:rPr>
    </w:pPr>
    <w:r>
      <w:rPr>
        <w:rFonts w:eastAsiaTheme="majorEastAsia"/>
        <w:noProof/>
      </w:rPr>
      <mc:AlternateContent>
        <mc:Choice Requires="wps">
          <w:drawing>
            <wp:anchor distT="0" distB="0" distL="0" distR="0" simplePos="0" relativeHeight="251658241" behindDoc="0" locked="0" layoutInCell="1" allowOverlap="1" wp14:anchorId="2D99883E" wp14:editId="2E146FD9">
              <wp:simplePos x="635" y="635"/>
              <wp:positionH relativeFrom="page">
                <wp:align>left</wp:align>
              </wp:positionH>
              <wp:positionV relativeFrom="page">
                <wp:align>bottom</wp:align>
              </wp:positionV>
              <wp:extent cx="986155" cy="368300"/>
              <wp:effectExtent l="0" t="0" r="4445" b="0"/>
              <wp:wrapNone/>
              <wp:docPr id="184360014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A02A8B1" w14:textId="330E854A"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99883E"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A02A8B1" w14:textId="330E854A"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v:textbox>
              <w10:wrap anchorx="page" anchory="page"/>
            </v:shape>
          </w:pict>
        </mc:Fallback>
      </mc:AlternateContent>
    </w:r>
    <w:r w:rsidR="00B66613">
      <w:rPr>
        <w:rStyle w:val="Paginanummer"/>
        <w:rFonts w:eastAsiaTheme="majorEastAsia"/>
      </w:rPr>
      <w:fldChar w:fldCharType="begin"/>
    </w:r>
    <w:r w:rsidR="00B66613">
      <w:rPr>
        <w:rStyle w:val="Paginanummer"/>
        <w:rFonts w:eastAsiaTheme="majorEastAsia"/>
      </w:rPr>
      <w:instrText xml:space="preserve">PAGE  </w:instrText>
    </w:r>
    <w:r w:rsidR="00B66613">
      <w:rPr>
        <w:rStyle w:val="Paginanummer"/>
        <w:rFonts w:eastAsiaTheme="majorEastAsia"/>
      </w:rPr>
      <w:fldChar w:fldCharType="separate"/>
    </w:r>
    <w:r w:rsidR="00B66613">
      <w:rPr>
        <w:rStyle w:val="Paginanummer"/>
        <w:rFonts w:eastAsiaTheme="majorEastAsia"/>
        <w:noProof/>
      </w:rPr>
      <w:t>2</w:t>
    </w:r>
    <w:r w:rsidR="00B66613">
      <w:rPr>
        <w:rStyle w:val="Paginanummer"/>
        <w:rFonts w:eastAsiaTheme="majorEastAsia"/>
      </w:rPr>
      <w:fldChar w:fldCharType="end"/>
    </w:r>
  </w:p>
  <w:p w14:paraId="7386BA90" w14:textId="77777777" w:rsidR="00B66613" w:rsidRDefault="00B6661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592A" w14:textId="2E948174" w:rsidR="00B66613" w:rsidRDefault="00827EB0">
    <w:pPr>
      <w:pStyle w:val="Voettekst"/>
    </w:pPr>
    <w:r>
      <w:rPr>
        <w:noProof/>
      </w:rPr>
      <mc:AlternateContent>
        <mc:Choice Requires="wps">
          <w:drawing>
            <wp:anchor distT="0" distB="0" distL="0" distR="0" simplePos="0" relativeHeight="251658240" behindDoc="0" locked="0" layoutInCell="1" allowOverlap="1" wp14:anchorId="123700A2" wp14:editId="0E1135AF">
              <wp:simplePos x="635" y="635"/>
              <wp:positionH relativeFrom="page">
                <wp:align>left</wp:align>
              </wp:positionH>
              <wp:positionV relativeFrom="page">
                <wp:align>bottom</wp:align>
              </wp:positionV>
              <wp:extent cx="986155" cy="368300"/>
              <wp:effectExtent l="0" t="0" r="4445" b="0"/>
              <wp:wrapNone/>
              <wp:docPr id="4090429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7C3FE9A" w14:textId="650B45B1"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3700A2" id="_x0000_t202" coordsize="21600,21600" o:spt="202" path="m,l,21600r21600,l21600,xe">
              <v:stroke joinstyle="miter"/>
              <v:path gradientshapeok="t" o:connecttype="rect"/>
            </v:shapetype>
            <v:shape id="Tekstvak 1" o:spid="_x0000_s1027"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67C3FE9A" w14:textId="650B45B1"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6615" w14:textId="77777777" w:rsidR="001F7F04" w:rsidRDefault="001F7F04" w:rsidP="00827EB0">
      <w:pPr>
        <w:spacing w:line="240" w:lineRule="auto"/>
      </w:pPr>
      <w:r>
        <w:separator/>
      </w:r>
    </w:p>
  </w:footnote>
  <w:footnote w:type="continuationSeparator" w:id="0">
    <w:p w14:paraId="6EDBB4D2" w14:textId="77777777" w:rsidR="001F7F04" w:rsidRDefault="001F7F04" w:rsidP="00827EB0">
      <w:pPr>
        <w:spacing w:line="240" w:lineRule="auto"/>
      </w:pPr>
      <w:r>
        <w:continuationSeparator/>
      </w:r>
    </w:p>
  </w:footnote>
  <w:footnote w:type="continuationNotice" w:id="1">
    <w:p w14:paraId="1C877607" w14:textId="77777777" w:rsidR="001F7F04" w:rsidRDefault="001F7F04">
      <w:pPr>
        <w:spacing w:line="240" w:lineRule="auto"/>
      </w:pPr>
    </w:p>
  </w:footnote>
  <w:footnote w:id="2">
    <w:p w14:paraId="4AE950CD" w14:textId="7B950BA4" w:rsidR="00035FD0" w:rsidRPr="004F6597" w:rsidRDefault="00035FD0" w:rsidP="00035FD0">
      <w:pPr>
        <w:pStyle w:val="Voetnoottekst"/>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w:t>
      </w:r>
      <w:hyperlink r:id="rId1" w:history="1">
        <w:r w:rsidR="00F20695" w:rsidRPr="004F6597">
          <w:rPr>
            <w:rStyle w:val="Hyperlink"/>
            <w:rFonts w:ascii="Calibri" w:hAnsi="Calibri" w:cs="Calibri"/>
            <w:sz w:val="20"/>
          </w:rPr>
          <w:t>Kamerstuk</w:t>
        </w:r>
      </w:hyperlink>
      <w:r w:rsidR="00F20695" w:rsidRPr="004F6597">
        <w:rPr>
          <w:rFonts w:ascii="Calibri" w:hAnsi="Calibri" w:cs="Calibri"/>
          <w:sz w:val="20"/>
        </w:rPr>
        <w:t xml:space="preserve"> 22 112, nr. 4027</w:t>
      </w:r>
    </w:p>
  </w:footnote>
  <w:footnote w:id="3">
    <w:p w14:paraId="00228FC4" w14:textId="77777777" w:rsidR="00C23CFE" w:rsidRPr="004F6597" w:rsidRDefault="00C23CFE" w:rsidP="00C23CFE">
      <w:pPr>
        <w:pStyle w:val="Voetnoottekst"/>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Het STEP-zegel is het soevereiniteitszegel zoals gedefinieerd in Verordening (EU) 2024/795</w:t>
      </w:r>
    </w:p>
  </w:footnote>
  <w:footnote w:id="4">
    <w:p w14:paraId="11F01607" w14:textId="77777777" w:rsidR="00EF7D2D" w:rsidRPr="004F6597" w:rsidRDefault="00EF7D2D" w:rsidP="00EF7D2D">
      <w:pPr>
        <w:pStyle w:val="Voetnoottekst"/>
        <w:ind w:left="0" w:firstLine="0"/>
        <w:jc w:val="both"/>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BNC-fiche van 9 mei over wijziging van de verordeningen betreffende het Europees Fonds voor Regionale Ontwikkeling (EFRO)/Cohesiefonds (CF), het Fonds voor een Rechtvaardige Transitie (JTF) en het Europees Sociaal Fonds+ (ESF+)</w:t>
      </w:r>
    </w:p>
  </w:footnote>
  <w:footnote w:id="5">
    <w:p w14:paraId="16338BD8" w14:textId="09A8BF24" w:rsidR="00C90670" w:rsidRPr="004F6597" w:rsidRDefault="00EF7D2D" w:rsidP="00EF7D2D">
      <w:pPr>
        <w:pStyle w:val="Voetnoottekst"/>
        <w:ind w:left="0" w:firstLine="0"/>
        <w:rPr>
          <w:rFonts w:ascii="Calibri" w:hAnsi="Calibri" w:cs="Calibri"/>
          <w:sz w:val="20"/>
          <w:lang w:val="en-US"/>
        </w:rPr>
      </w:pPr>
      <w:r w:rsidRPr="004F6597">
        <w:rPr>
          <w:rStyle w:val="Voetnootmarkering"/>
          <w:rFonts w:ascii="Calibri" w:hAnsi="Calibri" w:cs="Calibri"/>
          <w:sz w:val="20"/>
        </w:rPr>
        <w:footnoteRef/>
      </w:r>
      <w:r w:rsidRPr="004F6597">
        <w:rPr>
          <w:rFonts w:ascii="Calibri" w:hAnsi="Calibri" w:cs="Calibri"/>
          <w:sz w:val="20"/>
          <w:lang w:val="en-US"/>
        </w:rPr>
        <w:t xml:space="preserve"> Proposal for a Regulation Of The European Parliament And Of The Council amending Regulations (EU) 2021/1058 and (EU) 2021/1056 as regards specific measures to address strategic challenges in the context of the mid-term review, </w:t>
      </w:r>
      <w:hyperlink r:id="rId2" w:history="1">
        <w:r w:rsidR="00C90670" w:rsidRPr="004F6597">
          <w:rPr>
            <w:rStyle w:val="Hyperlink"/>
            <w:rFonts w:ascii="Calibri" w:hAnsi="Calibri" w:cs="Calibri"/>
            <w:sz w:val="20"/>
            <w:lang w:val="en-US"/>
          </w:rPr>
          <w:t>https://ec.europa.eu/regional_policy/sources/communication/mid-term-review-2025/regulation-proposal-mid-term-review-2025_en.pdf</w:t>
        </w:r>
      </w:hyperlink>
    </w:p>
  </w:footnote>
  <w:footnote w:id="6">
    <w:p w14:paraId="133F3F64" w14:textId="77777777" w:rsidR="00E750A9" w:rsidRPr="004F6597" w:rsidRDefault="00E750A9" w:rsidP="00C90670">
      <w:pPr>
        <w:pStyle w:val="Voetnoottekst"/>
        <w:ind w:left="0" w:firstLine="0"/>
        <w:rPr>
          <w:rFonts w:ascii="Calibri" w:hAnsi="Calibri" w:cs="Calibri"/>
          <w:sz w:val="20"/>
          <w:lang w:val="pt-PT"/>
        </w:rPr>
      </w:pPr>
      <w:r w:rsidRPr="004F6597">
        <w:rPr>
          <w:rStyle w:val="Voetnootmarkering"/>
          <w:rFonts w:ascii="Calibri" w:eastAsiaTheme="majorEastAsia" w:hAnsi="Calibri" w:cs="Calibri"/>
          <w:sz w:val="20"/>
        </w:rPr>
        <w:footnoteRef/>
      </w:r>
      <w:r w:rsidRPr="004F6597">
        <w:rPr>
          <w:rFonts w:ascii="Calibri" w:hAnsi="Calibri" w:cs="Calibri"/>
          <w:sz w:val="20"/>
          <w:lang w:val="pt-PT"/>
        </w:rPr>
        <w:t xml:space="preserve"> </w:t>
      </w:r>
      <w:r w:rsidRPr="004F6597">
        <w:rPr>
          <w:rFonts w:ascii="Calibri" w:hAnsi="Calibri" w:cs="Calibri"/>
          <w:sz w:val="20"/>
          <w:lang w:val="pt-PT"/>
        </w:rPr>
        <w:t xml:space="preserve">COM(2024)27 </w:t>
      </w:r>
      <w:hyperlink r:id="rId3" w:history="1">
        <w:r w:rsidRPr="004F6597">
          <w:rPr>
            <w:rStyle w:val="Hyperlink"/>
            <w:rFonts w:ascii="Calibri" w:eastAsiaTheme="majorEastAsia" w:hAnsi="Calibri" w:cs="Calibri"/>
            <w:sz w:val="20"/>
            <w:lang w:val="pt-PT"/>
          </w:rPr>
          <w:t>https://eur-lex.europa.eu/legal-content/EN/TXT/?uri=celex:52024DC0027</w:t>
        </w:r>
      </w:hyperlink>
      <w:r w:rsidRPr="004F6597">
        <w:rPr>
          <w:rFonts w:ascii="Calibri" w:hAnsi="Calibri" w:cs="Calibri"/>
          <w:sz w:val="20"/>
          <w:lang w:val="pt-PT"/>
        </w:rPr>
        <w:t xml:space="preserve"> </w:t>
      </w:r>
    </w:p>
  </w:footnote>
  <w:footnote w:id="7">
    <w:p w14:paraId="7C6F9BDE" w14:textId="77777777" w:rsidR="00E750A9" w:rsidRPr="004F6597" w:rsidRDefault="00E750A9" w:rsidP="00C90670">
      <w:pPr>
        <w:pStyle w:val="Voetnoottekst"/>
        <w:ind w:left="0" w:firstLine="0"/>
        <w:rPr>
          <w:rFonts w:ascii="Calibri" w:hAnsi="Calibri" w:cs="Calibri"/>
          <w:sz w:val="20"/>
          <w:lang w:val="pt-PT"/>
        </w:rPr>
      </w:pPr>
      <w:r w:rsidRPr="004F6597">
        <w:rPr>
          <w:rStyle w:val="Voetnootmarkering"/>
          <w:rFonts w:ascii="Calibri" w:eastAsiaTheme="majorEastAsia" w:hAnsi="Calibri" w:cs="Calibri"/>
          <w:sz w:val="20"/>
        </w:rPr>
        <w:footnoteRef/>
      </w:r>
      <w:r w:rsidRPr="004F6597">
        <w:rPr>
          <w:rFonts w:ascii="Calibri" w:hAnsi="Calibri" w:cs="Calibri"/>
          <w:sz w:val="20"/>
          <w:lang w:val="pt-PT"/>
        </w:rPr>
        <w:t xml:space="preserve"> </w:t>
      </w:r>
      <w:hyperlink r:id="rId4" w:history="1">
        <w:r w:rsidRPr="004F6597">
          <w:rPr>
            <w:rStyle w:val="Hyperlink"/>
            <w:rFonts w:ascii="Calibri" w:eastAsiaTheme="majorEastAsia" w:hAnsi="Calibri" w:cs="Calibri"/>
            <w:sz w:val="20"/>
            <w:lang w:val="pt-PT"/>
          </w:rPr>
          <w:t>https://open.overheid.nl/documenten/4e0f75ae-dc2d-40cc-8bd8-1485c859ebe3/file</w:t>
        </w:r>
      </w:hyperlink>
      <w:r w:rsidRPr="004F6597">
        <w:rPr>
          <w:rFonts w:ascii="Calibri" w:hAnsi="Calibri" w:cs="Calibri"/>
          <w:sz w:val="20"/>
          <w:lang w:val="pt-PT"/>
        </w:rPr>
        <w:t xml:space="preserve"> </w:t>
      </w:r>
    </w:p>
  </w:footnote>
  <w:footnote w:id="8">
    <w:p w14:paraId="37235338" w14:textId="7BAF78B3" w:rsidR="00C80FE8" w:rsidRPr="004F6597" w:rsidRDefault="00C80FE8" w:rsidP="00C90670">
      <w:pPr>
        <w:pStyle w:val="Voetnoottekst"/>
        <w:ind w:left="0" w:firstLine="0"/>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w:t>
      </w:r>
      <w:hyperlink r:id="rId5" w:history="1">
        <w:r w:rsidRPr="004F6597">
          <w:rPr>
            <w:rStyle w:val="Hyperlink"/>
            <w:rFonts w:ascii="Calibri" w:hAnsi="Calibri" w:cs="Calibri"/>
            <w:sz w:val="20"/>
          </w:rPr>
          <w:t>Kamerstuk 22112, nr. 3919</w:t>
        </w:r>
      </w:hyperlink>
    </w:p>
  </w:footnote>
  <w:footnote w:id="9">
    <w:p w14:paraId="613C61CF" w14:textId="426FA0A9" w:rsidR="00C80FE8" w:rsidRPr="004F6597" w:rsidRDefault="00C80FE8" w:rsidP="00C90670">
      <w:pPr>
        <w:pStyle w:val="Voetnoottekst"/>
        <w:ind w:left="0" w:firstLine="0"/>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w:t>
      </w:r>
      <w:hyperlink r:id="rId6" w:history="1">
        <w:r w:rsidR="00F20695" w:rsidRPr="004F6597">
          <w:rPr>
            <w:rStyle w:val="Hyperlink"/>
            <w:rFonts w:ascii="Calibri" w:hAnsi="Calibri" w:cs="Calibri"/>
            <w:sz w:val="20"/>
          </w:rPr>
          <w:t>Kamerstuk</w:t>
        </w:r>
      </w:hyperlink>
      <w:r w:rsidR="00F20695" w:rsidRPr="004F6597">
        <w:rPr>
          <w:rFonts w:ascii="Calibri" w:hAnsi="Calibri" w:cs="Calibri"/>
          <w:sz w:val="20"/>
        </w:rPr>
        <w:t xml:space="preserve"> 22 112, nr. 4027</w:t>
      </w:r>
    </w:p>
  </w:footnote>
  <w:footnote w:id="10">
    <w:p w14:paraId="64813390" w14:textId="7ECEAA36" w:rsidR="00C80FE8" w:rsidRPr="004F6597" w:rsidRDefault="00C80FE8" w:rsidP="00C90670">
      <w:pPr>
        <w:pStyle w:val="Voetnoottekst"/>
        <w:ind w:left="0" w:firstLine="0"/>
        <w:rPr>
          <w:rFonts w:ascii="Calibri" w:hAnsi="Calibri" w:cs="Calibri"/>
          <w:sz w:val="20"/>
          <w:lang w:val="pt-PT"/>
        </w:rPr>
      </w:pPr>
      <w:r w:rsidRPr="004F6597">
        <w:rPr>
          <w:rStyle w:val="Voetnootmarkering"/>
          <w:rFonts w:ascii="Calibri" w:hAnsi="Calibri" w:cs="Calibri"/>
          <w:sz w:val="20"/>
        </w:rPr>
        <w:footnoteRef/>
      </w:r>
      <w:r w:rsidRPr="004F6597">
        <w:rPr>
          <w:rFonts w:ascii="Calibri" w:hAnsi="Calibri" w:cs="Calibri"/>
          <w:sz w:val="20"/>
          <w:lang w:val="pt-PT"/>
        </w:rPr>
        <w:t xml:space="preserve"> </w:t>
      </w:r>
      <w:hyperlink r:id="rId7" w:history="1">
        <w:r w:rsidR="00F20695" w:rsidRPr="004F6597">
          <w:rPr>
            <w:rStyle w:val="Hyperlink"/>
            <w:rFonts w:ascii="Calibri" w:hAnsi="Calibri" w:cs="Calibri"/>
            <w:sz w:val="20"/>
            <w:lang w:val="pt-PT"/>
          </w:rPr>
          <w:t>Kamerstuk</w:t>
        </w:r>
      </w:hyperlink>
      <w:r w:rsidR="00F20695" w:rsidRPr="004F6597">
        <w:rPr>
          <w:rStyle w:val="Hyperlink"/>
          <w:rFonts w:ascii="Calibri" w:hAnsi="Calibri" w:cs="Calibri"/>
          <w:sz w:val="20"/>
          <w:lang w:val="pt-PT"/>
        </w:rPr>
        <w:t xml:space="preserve"> 36529, nr. 1</w:t>
      </w:r>
      <w:r w:rsidRPr="004F6597">
        <w:rPr>
          <w:rFonts w:ascii="Calibri" w:hAnsi="Calibri" w:cs="Calibri"/>
          <w:sz w:val="20"/>
          <w:lang w:val="pt-PT"/>
        </w:rPr>
        <w:t xml:space="preserve"> , </w:t>
      </w:r>
      <w:hyperlink r:id="rId8" w:history="1">
        <w:r w:rsidRPr="004F6597">
          <w:rPr>
            <w:rStyle w:val="Hyperlink"/>
            <w:rFonts w:ascii="Calibri" w:hAnsi="Calibri" w:cs="Calibri"/>
            <w:sz w:val="20"/>
            <w:lang w:val="pt-PT"/>
          </w:rPr>
          <w:t>open.overheid.nl/documenten/4f593e0c-a66d-40b8-a933-b36673176b53/file</w:t>
        </w:r>
      </w:hyperlink>
    </w:p>
  </w:footnote>
  <w:footnote w:id="11">
    <w:p w14:paraId="6B58413F" w14:textId="3439933E" w:rsidR="004F516D" w:rsidRPr="004F6597" w:rsidRDefault="004F516D" w:rsidP="00C90670">
      <w:pPr>
        <w:pStyle w:val="Voetnoottekst"/>
        <w:ind w:left="0" w:firstLine="0"/>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w:t>
      </w:r>
      <w:hyperlink r:id="rId9" w:history="1">
        <w:r w:rsidR="00F20695" w:rsidRPr="004F6597">
          <w:rPr>
            <w:rStyle w:val="Hyperlink"/>
            <w:rFonts w:ascii="Calibri" w:hAnsi="Calibri" w:cs="Calibri"/>
            <w:sz w:val="20"/>
          </w:rPr>
          <w:t xml:space="preserve">Kamerstuk </w:t>
        </w:r>
        <w:r w:rsidR="00C23CFE" w:rsidRPr="004F6597">
          <w:rPr>
            <w:rStyle w:val="Hyperlink"/>
            <w:rFonts w:ascii="Calibri" w:hAnsi="Calibri" w:cs="Calibri"/>
            <w:sz w:val="20"/>
          </w:rPr>
          <w:t>22112</w:t>
        </w:r>
        <w:r w:rsidR="00F20695" w:rsidRPr="004F6597">
          <w:rPr>
            <w:rStyle w:val="Hyperlink"/>
            <w:rFonts w:ascii="Calibri" w:hAnsi="Calibri" w:cs="Calibri"/>
            <w:sz w:val="20"/>
          </w:rPr>
          <w:t xml:space="preserve">, nr. </w:t>
        </w:r>
        <w:r w:rsidR="00C23CFE" w:rsidRPr="004F6597">
          <w:rPr>
            <w:rStyle w:val="Hyperlink"/>
            <w:rFonts w:ascii="Calibri" w:hAnsi="Calibri" w:cs="Calibri"/>
            <w:sz w:val="20"/>
          </w:rPr>
          <w:t>3759</w:t>
        </w:r>
      </w:hyperlink>
    </w:p>
  </w:footnote>
  <w:footnote w:id="12">
    <w:p w14:paraId="65A8D0FF" w14:textId="3150BF74" w:rsidR="00C80FE8" w:rsidRPr="004F6597" w:rsidRDefault="00C80FE8" w:rsidP="00C90670">
      <w:pPr>
        <w:pStyle w:val="Voetnoottekst"/>
        <w:ind w:left="0" w:firstLine="0"/>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w:t>
      </w:r>
      <w:hyperlink r:id="rId10" w:history="1">
        <w:r w:rsidRPr="004F6597">
          <w:rPr>
            <w:rStyle w:val="Hyperlink"/>
            <w:rFonts w:ascii="Calibri" w:hAnsi="Calibri" w:cs="Calibri"/>
            <w:sz w:val="20"/>
          </w:rPr>
          <w:t>https://www.defensie.nl/downloads/beleidsnota-s/2025/04/04/defensie-strategie-voor-industrie-en-innovatie-2025-2029</w:t>
        </w:r>
      </w:hyperlink>
      <w:r w:rsidRPr="004F6597">
        <w:rPr>
          <w:rFonts w:ascii="Calibri" w:hAnsi="Calibri" w:cs="Calibri"/>
          <w:sz w:val="20"/>
        </w:rPr>
        <w:t xml:space="preserve"> </w:t>
      </w:r>
    </w:p>
  </w:footnote>
  <w:footnote w:id="13">
    <w:p w14:paraId="57EAAAD9" w14:textId="3CF28E31" w:rsidR="003F4981" w:rsidRPr="004F6597" w:rsidRDefault="003F4981" w:rsidP="00C90670">
      <w:pPr>
        <w:pStyle w:val="Voetnoottekst"/>
        <w:ind w:left="0" w:firstLine="0"/>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w:t>
      </w:r>
      <w:hyperlink r:id="rId11" w:history="1">
        <w:r w:rsidRPr="004F6597">
          <w:rPr>
            <w:rStyle w:val="Hyperlink"/>
            <w:rFonts w:ascii="Calibri" w:hAnsi="Calibri" w:cs="Calibri"/>
            <w:sz w:val="20"/>
          </w:rPr>
          <w:t xml:space="preserve">Kamerstuk 22112, nr. 3919 </w:t>
        </w:r>
      </w:hyperlink>
    </w:p>
  </w:footnote>
  <w:footnote w:id="14">
    <w:p w14:paraId="70556288" w14:textId="77777777" w:rsidR="003F4981" w:rsidRPr="004F6597" w:rsidRDefault="003F4981" w:rsidP="00C90670">
      <w:pPr>
        <w:pStyle w:val="Voetnoottekst"/>
        <w:ind w:left="0" w:firstLine="0"/>
        <w:rPr>
          <w:rFonts w:ascii="Calibri" w:hAnsi="Calibri" w:cs="Calibri"/>
          <w:sz w:val="20"/>
        </w:rPr>
      </w:pPr>
      <w:r w:rsidRPr="004F6597">
        <w:rPr>
          <w:rStyle w:val="Voetnootmarkering"/>
          <w:rFonts w:ascii="Calibri" w:eastAsiaTheme="majorEastAsia" w:hAnsi="Calibri" w:cs="Calibri"/>
          <w:sz w:val="20"/>
        </w:rPr>
        <w:footnoteRef/>
      </w:r>
      <w:r w:rsidRPr="004F6597">
        <w:rPr>
          <w:rFonts w:ascii="Calibri" w:hAnsi="Calibri" w:cs="Calibri"/>
          <w:sz w:val="20"/>
        </w:rPr>
        <w:t xml:space="preserve"> Kamerstuk 21 501-08, nr. 988</w:t>
      </w:r>
    </w:p>
  </w:footnote>
  <w:footnote w:id="15">
    <w:p w14:paraId="16B1F578" w14:textId="07B9D91A" w:rsidR="003F4981" w:rsidRPr="004F6597" w:rsidRDefault="003F4981" w:rsidP="00C90670">
      <w:pPr>
        <w:pStyle w:val="Voetnoottekst"/>
        <w:ind w:left="0" w:firstLine="0"/>
        <w:rPr>
          <w:rFonts w:ascii="Calibri" w:hAnsi="Calibri" w:cs="Calibri"/>
          <w:sz w:val="20"/>
        </w:rPr>
      </w:pPr>
      <w:r w:rsidRPr="004F6597">
        <w:rPr>
          <w:rStyle w:val="Voetnootmarkering"/>
          <w:rFonts w:ascii="Calibri" w:hAnsi="Calibri" w:cs="Calibri"/>
          <w:sz w:val="20"/>
        </w:rPr>
        <w:footnoteRef/>
      </w:r>
      <w:r w:rsidRPr="004F6597">
        <w:rPr>
          <w:rFonts w:ascii="Calibri" w:hAnsi="Calibri" w:cs="Calibri"/>
          <w:sz w:val="20"/>
        </w:rPr>
        <w:t xml:space="preserve"> </w:t>
      </w:r>
      <w:hyperlink r:id="rId12" w:history="1">
        <w:r w:rsidR="00F20695" w:rsidRPr="004F6597">
          <w:rPr>
            <w:rStyle w:val="Hyperlink"/>
            <w:rFonts w:ascii="Calibri" w:hAnsi="Calibri" w:cs="Calibri"/>
            <w:sz w:val="20"/>
          </w:rPr>
          <w:t>Kamerstuk</w:t>
        </w:r>
      </w:hyperlink>
      <w:r w:rsidR="00F20695" w:rsidRPr="004F6597">
        <w:rPr>
          <w:rFonts w:ascii="Calibri" w:hAnsi="Calibri" w:cs="Calibri"/>
          <w:sz w:val="20"/>
        </w:rPr>
        <w:t xml:space="preserve"> 22 112, nr. 4053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CF"/>
    <w:multiLevelType w:val="hybridMultilevel"/>
    <w:tmpl w:val="36EC6A8A"/>
    <w:lvl w:ilvl="0" w:tplc="94B20A02">
      <w:start w:val="1"/>
      <w:numFmt w:val="bullet"/>
      <w:lvlText w:val=""/>
      <w:lvlJc w:val="left"/>
      <w:pPr>
        <w:ind w:left="720" w:hanging="360"/>
      </w:pPr>
      <w:rPr>
        <w:rFonts w:ascii="Symbol" w:hAnsi="Symbol" w:hint="default"/>
      </w:rPr>
    </w:lvl>
    <w:lvl w:ilvl="1" w:tplc="4C0AAAE4">
      <w:start w:val="1"/>
      <w:numFmt w:val="bullet"/>
      <w:lvlText w:val="o"/>
      <w:lvlJc w:val="left"/>
      <w:pPr>
        <w:ind w:left="1440" w:hanging="360"/>
      </w:pPr>
      <w:rPr>
        <w:rFonts w:ascii="Courier New" w:hAnsi="Courier New" w:hint="default"/>
      </w:rPr>
    </w:lvl>
    <w:lvl w:ilvl="2" w:tplc="7FE28118">
      <w:start w:val="1"/>
      <w:numFmt w:val="bullet"/>
      <w:lvlText w:val=""/>
      <w:lvlJc w:val="left"/>
      <w:pPr>
        <w:ind w:left="2160" w:hanging="360"/>
      </w:pPr>
      <w:rPr>
        <w:rFonts w:ascii="Wingdings" w:hAnsi="Wingdings" w:hint="default"/>
      </w:rPr>
    </w:lvl>
    <w:lvl w:ilvl="3" w:tplc="069A936E">
      <w:start w:val="1"/>
      <w:numFmt w:val="bullet"/>
      <w:lvlText w:val=""/>
      <w:lvlJc w:val="left"/>
      <w:pPr>
        <w:ind w:left="2880" w:hanging="360"/>
      </w:pPr>
      <w:rPr>
        <w:rFonts w:ascii="Symbol" w:hAnsi="Symbol" w:hint="default"/>
      </w:rPr>
    </w:lvl>
    <w:lvl w:ilvl="4" w:tplc="56EAB3BC">
      <w:start w:val="1"/>
      <w:numFmt w:val="bullet"/>
      <w:lvlText w:val="o"/>
      <w:lvlJc w:val="left"/>
      <w:pPr>
        <w:ind w:left="3600" w:hanging="360"/>
      </w:pPr>
      <w:rPr>
        <w:rFonts w:ascii="Courier New" w:hAnsi="Courier New" w:hint="default"/>
      </w:rPr>
    </w:lvl>
    <w:lvl w:ilvl="5" w:tplc="E222DDF6">
      <w:start w:val="1"/>
      <w:numFmt w:val="bullet"/>
      <w:lvlText w:val=""/>
      <w:lvlJc w:val="left"/>
      <w:pPr>
        <w:ind w:left="4320" w:hanging="360"/>
      </w:pPr>
      <w:rPr>
        <w:rFonts w:ascii="Wingdings" w:hAnsi="Wingdings" w:hint="default"/>
      </w:rPr>
    </w:lvl>
    <w:lvl w:ilvl="6" w:tplc="A468CD2A">
      <w:start w:val="1"/>
      <w:numFmt w:val="bullet"/>
      <w:lvlText w:val=""/>
      <w:lvlJc w:val="left"/>
      <w:pPr>
        <w:ind w:left="5040" w:hanging="360"/>
      </w:pPr>
      <w:rPr>
        <w:rFonts w:ascii="Symbol" w:hAnsi="Symbol" w:hint="default"/>
      </w:rPr>
    </w:lvl>
    <w:lvl w:ilvl="7" w:tplc="55A4EAE0">
      <w:start w:val="1"/>
      <w:numFmt w:val="bullet"/>
      <w:lvlText w:val="o"/>
      <w:lvlJc w:val="left"/>
      <w:pPr>
        <w:ind w:left="5760" w:hanging="360"/>
      </w:pPr>
      <w:rPr>
        <w:rFonts w:ascii="Courier New" w:hAnsi="Courier New" w:hint="default"/>
      </w:rPr>
    </w:lvl>
    <w:lvl w:ilvl="8" w:tplc="50D46FF4">
      <w:start w:val="1"/>
      <w:numFmt w:val="bullet"/>
      <w:lvlText w:val=""/>
      <w:lvlJc w:val="left"/>
      <w:pPr>
        <w:ind w:left="6480" w:hanging="360"/>
      </w:pPr>
      <w:rPr>
        <w:rFonts w:ascii="Wingdings" w:hAnsi="Wingdings" w:hint="default"/>
      </w:r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B16CCE"/>
    <w:multiLevelType w:val="hybridMultilevel"/>
    <w:tmpl w:val="C1149E18"/>
    <w:lvl w:ilvl="0" w:tplc="8C6213D2">
      <w:start w:val="1"/>
      <w:numFmt w:val="bullet"/>
      <w:lvlText w:val=""/>
      <w:lvlJc w:val="left"/>
      <w:pPr>
        <w:ind w:left="720" w:hanging="360"/>
      </w:pPr>
      <w:rPr>
        <w:rFonts w:ascii="Symbol" w:hAnsi="Symbol" w:hint="default"/>
      </w:rPr>
    </w:lvl>
    <w:lvl w:ilvl="1" w:tplc="DD1E62B0">
      <w:start w:val="1"/>
      <w:numFmt w:val="bullet"/>
      <w:lvlText w:val="o"/>
      <w:lvlJc w:val="left"/>
      <w:pPr>
        <w:ind w:left="1440" w:hanging="360"/>
      </w:pPr>
      <w:rPr>
        <w:rFonts w:ascii="Courier New" w:hAnsi="Courier New" w:hint="default"/>
      </w:rPr>
    </w:lvl>
    <w:lvl w:ilvl="2" w:tplc="7200C694">
      <w:start w:val="1"/>
      <w:numFmt w:val="bullet"/>
      <w:lvlText w:val=""/>
      <w:lvlJc w:val="left"/>
      <w:pPr>
        <w:ind w:left="2160" w:hanging="360"/>
      </w:pPr>
      <w:rPr>
        <w:rFonts w:ascii="Wingdings" w:hAnsi="Wingdings" w:hint="default"/>
      </w:rPr>
    </w:lvl>
    <w:lvl w:ilvl="3" w:tplc="D1E26752">
      <w:start w:val="1"/>
      <w:numFmt w:val="bullet"/>
      <w:lvlText w:val=""/>
      <w:lvlJc w:val="left"/>
      <w:pPr>
        <w:ind w:left="2880" w:hanging="360"/>
      </w:pPr>
      <w:rPr>
        <w:rFonts w:ascii="Symbol" w:hAnsi="Symbol" w:hint="default"/>
      </w:rPr>
    </w:lvl>
    <w:lvl w:ilvl="4" w:tplc="0A12A1C8">
      <w:start w:val="1"/>
      <w:numFmt w:val="bullet"/>
      <w:lvlText w:val="o"/>
      <w:lvlJc w:val="left"/>
      <w:pPr>
        <w:ind w:left="3600" w:hanging="360"/>
      </w:pPr>
      <w:rPr>
        <w:rFonts w:ascii="Courier New" w:hAnsi="Courier New" w:hint="default"/>
      </w:rPr>
    </w:lvl>
    <w:lvl w:ilvl="5" w:tplc="DD3AB4A4">
      <w:start w:val="1"/>
      <w:numFmt w:val="bullet"/>
      <w:lvlText w:val=""/>
      <w:lvlJc w:val="left"/>
      <w:pPr>
        <w:ind w:left="4320" w:hanging="360"/>
      </w:pPr>
      <w:rPr>
        <w:rFonts w:ascii="Wingdings" w:hAnsi="Wingdings" w:hint="default"/>
      </w:rPr>
    </w:lvl>
    <w:lvl w:ilvl="6" w:tplc="9796BBD4">
      <w:start w:val="1"/>
      <w:numFmt w:val="bullet"/>
      <w:lvlText w:val=""/>
      <w:lvlJc w:val="left"/>
      <w:pPr>
        <w:ind w:left="5040" w:hanging="360"/>
      </w:pPr>
      <w:rPr>
        <w:rFonts w:ascii="Symbol" w:hAnsi="Symbol" w:hint="default"/>
      </w:rPr>
    </w:lvl>
    <w:lvl w:ilvl="7" w:tplc="5838DC8A">
      <w:start w:val="1"/>
      <w:numFmt w:val="bullet"/>
      <w:lvlText w:val="o"/>
      <w:lvlJc w:val="left"/>
      <w:pPr>
        <w:ind w:left="5760" w:hanging="360"/>
      </w:pPr>
      <w:rPr>
        <w:rFonts w:ascii="Courier New" w:hAnsi="Courier New" w:hint="default"/>
      </w:rPr>
    </w:lvl>
    <w:lvl w:ilvl="8" w:tplc="5606B1A0">
      <w:start w:val="1"/>
      <w:numFmt w:val="bullet"/>
      <w:lvlText w:val=""/>
      <w:lvlJc w:val="left"/>
      <w:pPr>
        <w:ind w:left="6480" w:hanging="360"/>
      </w:pPr>
      <w:rPr>
        <w:rFonts w:ascii="Wingdings" w:hAnsi="Wingdings" w:hint="default"/>
      </w:rPr>
    </w:lvl>
  </w:abstractNum>
  <w:abstractNum w:abstractNumId="10"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63061"/>
    <w:multiLevelType w:val="hybridMultilevel"/>
    <w:tmpl w:val="6590E44E"/>
    <w:lvl w:ilvl="0" w:tplc="415CF206">
      <w:start w:val="1"/>
      <w:numFmt w:val="bullet"/>
      <w:lvlText w:val=""/>
      <w:lvlJc w:val="left"/>
      <w:pPr>
        <w:ind w:left="720" w:hanging="360"/>
      </w:pPr>
      <w:rPr>
        <w:rFonts w:ascii="Symbol" w:hAnsi="Symbol" w:hint="default"/>
      </w:rPr>
    </w:lvl>
    <w:lvl w:ilvl="1" w:tplc="5C9C4622">
      <w:start w:val="1"/>
      <w:numFmt w:val="bullet"/>
      <w:lvlText w:val="o"/>
      <w:lvlJc w:val="left"/>
      <w:pPr>
        <w:ind w:left="1440" w:hanging="360"/>
      </w:pPr>
      <w:rPr>
        <w:rFonts w:ascii="Courier New" w:hAnsi="Courier New" w:hint="default"/>
      </w:rPr>
    </w:lvl>
    <w:lvl w:ilvl="2" w:tplc="073E2A38">
      <w:start w:val="1"/>
      <w:numFmt w:val="bullet"/>
      <w:lvlText w:val=""/>
      <w:lvlJc w:val="left"/>
      <w:pPr>
        <w:ind w:left="2160" w:hanging="360"/>
      </w:pPr>
      <w:rPr>
        <w:rFonts w:ascii="Wingdings" w:hAnsi="Wingdings" w:hint="default"/>
      </w:rPr>
    </w:lvl>
    <w:lvl w:ilvl="3" w:tplc="0A34BCC0">
      <w:start w:val="1"/>
      <w:numFmt w:val="bullet"/>
      <w:lvlText w:val=""/>
      <w:lvlJc w:val="left"/>
      <w:pPr>
        <w:ind w:left="2880" w:hanging="360"/>
      </w:pPr>
      <w:rPr>
        <w:rFonts w:ascii="Symbol" w:hAnsi="Symbol" w:hint="default"/>
      </w:rPr>
    </w:lvl>
    <w:lvl w:ilvl="4" w:tplc="A808D800">
      <w:start w:val="1"/>
      <w:numFmt w:val="bullet"/>
      <w:lvlText w:val="o"/>
      <w:lvlJc w:val="left"/>
      <w:pPr>
        <w:ind w:left="3600" w:hanging="360"/>
      </w:pPr>
      <w:rPr>
        <w:rFonts w:ascii="Courier New" w:hAnsi="Courier New" w:hint="default"/>
      </w:rPr>
    </w:lvl>
    <w:lvl w:ilvl="5" w:tplc="2FF2E4E6">
      <w:start w:val="1"/>
      <w:numFmt w:val="bullet"/>
      <w:lvlText w:val=""/>
      <w:lvlJc w:val="left"/>
      <w:pPr>
        <w:ind w:left="4320" w:hanging="360"/>
      </w:pPr>
      <w:rPr>
        <w:rFonts w:ascii="Wingdings" w:hAnsi="Wingdings" w:hint="default"/>
      </w:rPr>
    </w:lvl>
    <w:lvl w:ilvl="6" w:tplc="F252D1FE">
      <w:start w:val="1"/>
      <w:numFmt w:val="bullet"/>
      <w:lvlText w:val=""/>
      <w:lvlJc w:val="left"/>
      <w:pPr>
        <w:ind w:left="5040" w:hanging="360"/>
      </w:pPr>
      <w:rPr>
        <w:rFonts w:ascii="Symbol" w:hAnsi="Symbol" w:hint="default"/>
      </w:rPr>
    </w:lvl>
    <w:lvl w:ilvl="7" w:tplc="987E98D0">
      <w:start w:val="1"/>
      <w:numFmt w:val="bullet"/>
      <w:lvlText w:val="o"/>
      <w:lvlJc w:val="left"/>
      <w:pPr>
        <w:ind w:left="5760" w:hanging="360"/>
      </w:pPr>
      <w:rPr>
        <w:rFonts w:ascii="Courier New" w:hAnsi="Courier New" w:hint="default"/>
      </w:rPr>
    </w:lvl>
    <w:lvl w:ilvl="8" w:tplc="0630DAE8">
      <w:start w:val="1"/>
      <w:numFmt w:val="bullet"/>
      <w:lvlText w:val=""/>
      <w:lvlJc w:val="left"/>
      <w:pPr>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7B0B52"/>
    <w:multiLevelType w:val="hybridMultilevel"/>
    <w:tmpl w:val="2C1E0598"/>
    <w:lvl w:ilvl="0" w:tplc="17A4630C">
      <w:numFmt w:val="bullet"/>
      <w:lvlText w:val=""/>
      <w:lvlJc w:val="left"/>
      <w:pPr>
        <w:ind w:left="720" w:hanging="360"/>
      </w:pPr>
      <w:rPr>
        <w:rFonts w:ascii="Wingdings" w:eastAsiaTheme="majorEastAsia"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9070A1"/>
    <w:multiLevelType w:val="hybridMultilevel"/>
    <w:tmpl w:val="C7BAC0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7307205">
    <w:abstractNumId w:val="9"/>
  </w:num>
  <w:num w:numId="2" w16cid:durableId="500394224">
    <w:abstractNumId w:val="13"/>
  </w:num>
  <w:num w:numId="3" w16cid:durableId="740324201">
    <w:abstractNumId w:val="0"/>
  </w:num>
  <w:num w:numId="4" w16cid:durableId="977952789">
    <w:abstractNumId w:val="12"/>
  </w:num>
  <w:num w:numId="5" w16cid:durableId="881209115">
    <w:abstractNumId w:val="30"/>
  </w:num>
  <w:num w:numId="6" w16cid:durableId="1610888238">
    <w:abstractNumId w:val="21"/>
  </w:num>
  <w:num w:numId="7" w16cid:durableId="412436820">
    <w:abstractNumId w:val="26"/>
  </w:num>
  <w:num w:numId="8" w16cid:durableId="1908228028">
    <w:abstractNumId w:val="19"/>
  </w:num>
  <w:num w:numId="9" w16cid:durableId="1518274903">
    <w:abstractNumId w:val="17"/>
  </w:num>
  <w:num w:numId="10" w16cid:durableId="2028827165">
    <w:abstractNumId w:val="27"/>
  </w:num>
  <w:num w:numId="11" w16cid:durableId="416371204">
    <w:abstractNumId w:val="20"/>
  </w:num>
  <w:num w:numId="12" w16cid:durableId="824204857">
    <w:abstractNumId w:val="5"/>
  </w:num>
  <w:num w:numId="13" w16cid:durableId="1998917828">
    <w:abstractNumId w:val="3"/>
  </w:num>
  <w:num w:numId="14" w16cid:durableId="1892492650">
    <w:abstractNumId w:val="25"/>
  </w:num>
  <w:num w:numId="15" w16cid:durableId="7485458">
    <w:abstractNumId w:val="11"/>
  </w:num>
  <w:num w:numId="16" w16cid:durableId="109933078">
    <w:abstractNumId w:val="28"/>
  </w:num>
  <w:num w:numId="17" w16cid:durableId="1106342552">
    <w:abstractNumId w:val="16"/>
  </w:num>
  <w:num w:numId="18" w16cid:durableId="1328049075">
    <w:abstractNumId w:val="1"/>
  </w:num>
  <w:num w:numId="19" w16cid:durableId="1444155966">
    <w:abstractNumId w:val="37"/>
  </w:num>
  <w:num w:numId="20" w16cid:durableId="2020345489">
    <w:abstractNumId w:val="32"/>
  </w:num>
  <w:num w:numId="21" w16cid:durableId="526409870">
    <w:abstractNumId w:val="23"/>
  </w:num>
  <w:num w:numId="22" w16cid:durableId="2011061099">
    <w:abstractNumId w:val="14"/>
  </w:num>
  <w:num w:numId="23" w16cid:durableId="48070014">
    <w:abstractNumId w:val="38"/>
  </w:num>
  <w:num w:numId="24" w16cid:durableId="1415782126">
    <w:abstractNumId w:val="29"/>
  </w:num>
  <w:num w:numId="25" w16cid:durableId="698775979">
    <w:abstractNumId w:val="33"/>
  </w:num>
  <w:num w:numId="26" w16cid:durableId="1765299194">
    <w:abstractNumId w:val="24"/>
  </w:num>
  <w:num w:numId="27" w16cid:durableId="1430277865">
    <w:abstractNumId w:val="8"/>
  </w:num>
  <w:num w:numId="28" w16cid:durableId="2058700848">
    <w:abstractNumId w:val="18"/>
  </w:num>
  <w:num w:numId="29" w16cid:durableId="1800604805">
    <w:abstractNumId w:val="2"/>
  </w:num>
  <w:num w:numId="30" w16cid:durableId="563298645">
    <w:abstractNumId w:val="10"/>
  </w:num>
  <w:num w:numId="31" w16cid:durableId="1904557229">
    <w:abstractNumId w:val="31"/>
  </w:num>
  <w:num w:numId="32" w16cid:durableId="1813787215">
    <w:abstractNumId w:val="22"/>
  </w:num>
  <w:num w:numId="33" w16cid:durableId="688143660">
    <w:abstractNumId w:val="34"/>
  </w:num>
  <w:num w:numId="34" w16cid:durableId="99690769">
    <w:abstractNumId w:val="15"/>
  </w:num>
  <w:num w:numId="35" w16cid:durableId="2009475732">
    <w:abstractNumId w:val="4"/>
  </w:num>
  <w:num w:numId="36" w16cid:durableId="501774859">
    <w:abstractNumId w:val="7"/>
  </w:num>
  <w:num w:numId="37" w16cid:durableId="2005863017">
    <w:abstractNumId w:val="6"/>
  </w:num>
  <w:num w:numId="38" w16cid:durableId="1751122960">
    <w:abstractNumId w:val="35"/>
  </w:num>
  <w:num w:numId="39" w16cid:durableId="3054778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B0"/>
    <w:rsid w:val="0000148E"/>
    <w:rsid w:val="0001380F"/>
    <w:rsid w:val="0001656E"/>
    <w:rsid w:val="00020252"/>
    <w:rsid w:val="00025559"/>
    <w:rsid w:val="000270A1"/>
    <w:rsid w:val="00035FD0"/>
    <w:rsid w:val="0004455D"/>
    <w:rsid w:val="00084CDC"/>
    <w:rsid w:val="000951FC"/>
    <w:rsid w:val="000A6394"/>
    <w:rsid w:val="000D0E07"/>
    <w:rsid w:val="000D79DC"/>
    <w:rsid w:val="00100074"/>
    <w:rsid w:val="00117A80"/>
    <w:rsid w:val="001310EF"/>
    <w:rsid w:val="001343C8"/>
    <w:rsid w:val="00136856"/>
    <w:rsid w:val="00142099"/>
    <w:rsid w:val="001566DE"/>
    <w:rsid w:val="001757EB"/>
    <w:rsid w:val="00186686"/>
    <w:rsid w:val="00192126"/>
    <w:rsid w:val="001A7A67"/>
    <w:rsid w:val="001D5110"/>
    <w:rsid w:val="001E1024"/>
    <w:rsid w:val="001E1E92"/>
    <w:rsid w:val="001F6039"/>
    <w:rsid w:val="001F7F04"/>
    <w:rsid w:val="0021207A"/>
    <w:rsid w:val="00230766"/>
    <w:rsid w:val="002346CC"/>
    <w:rsid w:val="002617C5"/>
    <w:rsid w:val="0026531E"/>
    <w:rsid w:val="002675C7"/>
    <w:rsid w:val="00281F65"/>
    <w:rsid w:val="00284331"/>
    <w:rsid w:val="002A12A8"/>
    <w:rsid w:val="002A2394"/>
    <w:rsid w:val="002E4181"/>
    <w:rsid w:val="002F7284"/>
    <w:rsid w:val="00300474"/>
    <w:rsid w:val="00301B9E"/>
    <w:rsid w:val="00327F26"/>
    <w:rsid w:val="00332978"/>
    <w:rsid w:val="00386B00"/>
    <w:rsid w:val="00393FE0"/>
    <w:rsid w:val="003B5D0B"/>
    <w:rsid w:val="003C1BC7"/>
    <w:rsid w:val="003C4932"/>
    <w:rsid w:val="003C71EB"/>
    <w:rsid w:val="003E2DFD"/>
    <w:rsid w:val="003F4981"/>
    <w:rsid w:val="0040264E"/>
    <w:rsid w:val="00402AE0"/>
    <w:rsid w:val="004213FB"/>
    <w:rsid w:val="004310B3"/>
    <w:rsid w:val="00432B4F"/>
    <w:rsid w:val="004426F6"/>
    <w:rsid w:val="0046530D"/>
    <w:rsid w:val="004663C3"/>
    <w:rsid w:val="00475D32"/>
    <w:rsid w:val="00495002"/>
    <w:rsid w:val="004A2396"/>
    <w:rsid w:val="004B79E9"/>
    <w:rsid w:val="004C3E01"/>
    <w:rsid w:val="004C47E7"/>
    <w:rsid w:val="004C6C6C"/>
    <w:rsid w:val="004E099D"/>
    <w:rsid w:val="004E0B64"/>
    <w:rsid w:val="004F516D"/>
    <w:rsid w:val="004F6597"/>
    <w:rsid w:val="00516CAF"/>
    <w:rsid w:val="00532DD3"/>
    <w:rsid w:val="00545800"/>
    <w:rsid w:val="0056018B"/>
    <w:rsid w:val="00564145"/>
    <w:rsid w:val="005A1FDD"/>
    <w:rsid w:val="005A4107"/>
    <w:rsid w:val="005D383B"/>
    <w:rsid w:val="005E733A"/>
    <w:rsid w:val="005F31EB"/>
    <w:rsid w:val="006106F6"/>
    <w:rsid w:val="00611817"/>
    <w:rsid w:val="00613647"/>
    <w:rsid w:val="0063334F"/>
    <w:rsid w:val="006334F0"/>
    <w:rsid w:val="006418FA"/>
    <w:rsid w:val="00653C5D"/>
    <w:rsid w:val="00661101"/>
    <w:rsid w:val="00661BD2"/>
    <w:rsid w:val="006662A3"/>
    <w:rsid w:val="00673FC1"/>
    <w:rsid w:val="00680E69"/>
    <w:rsid w:val="00685D18"/>
    <w:rsid w:val="00685D8F"/>
    <w:rsid w:val="006956D9"/>
    <w:rsid w:val="006A22F5"/>
    <w:rsid w:val="006B5951"/>
    <w:rsid w:val="006C0B14"/>
    <w:rsid w:val="006D1875"/>
    <w:rsid w:val="00703369"/>
    <w:rsid w:val="00703F11"/>
    <w:rsid w:val="007047CC"/>
    <w:rsid w:val="007055A6"/>
    <w:rsid w:val="007541A7"/>
    <w:rsid w:val="00757070"/>
    <w:rsid w:val="00757EA5"/>
    <w:rsid w:val="0076012A"/>
    <w:rsid w:val="00766C57"/>
    <w:rsid w:val="00771693"/>
    <w:rsid w:val="00794840"/>
    <w:rsid w:val="00795B17"/>
    <w:rsid w:val="007A05EA"/>
    <w:rsid w:val="007B1D1B"/>
    <w:rsid w:val="007E3B1E"/>
    <w:rsid w:val="008005CB"/>
    <w:rsid w:val="00827EB0"/>
    <w:rsid w:val="00842883"/>
    <w:rsid w:val="00844FED"/>
    <w:rsid w:val="00875291"/>
    <w:rsid w:val="008763BC"/>
    <w:rsid w:val="008821C6"/>
    <w:rsid w:val="00884389"/>
    <w:rsid w:val="00886797"/>
    <w:rsid w:val="008A060C"/>
    <w:rsid w:val="008A715E"/>
    <w:rsid w:val="008B486D"/>
    <w:rsid w:val="008C2FE1"/>
    <w:rsid w:val="008D3246"/>
    <w:rsid w:val="009163D9"/>
    <w:rsid w:val="00932F92"/>
    <w:rsid w:val="00945C7E"/>
    <w:rsid w:val="00955F9E"/>
    <w:rsid w:val="00970424"/>
    <w:rsid w:val="00972A77"/>
    <w:rsid w:val="00976FC9"/>
    <w:rsid w:val="009A2D32"/>
    <w:rsid w:val="009A4655"/>
    <w:rsid w:val="009B2189"/>
    <w:rsid w:val="009C003E"/>
    <w:rsid w:val="009C74E8"/>
    <w:rsid w:val="009D0C10"/>
    <w:rsid w:val="009D6FF3"/>
    <w:rsid w:val="009E5E58"/>
    <w:rsid w:val="009F4876"/>
    <w:rsid w:val="00A157D1"/>
    <w:rsid w:val="00A210BB"/>
    <w:rsid w:val="00A270A4"/>
    <w:rsid w:val="00A30B42"/>
    <w:rsid w:val="00A40467"/>
    <w:rsid w:val="00A62D82"/>
    <w:rsid w:val="00A77D61"/>
    <w:rsid w:val="00A85366"/>
    <w:rsid w:val="00A940B5"/>
    <w:rsid w:val="00A95F68"/>
    <w:rsid w:val="00AC24F4"/>
    <w:rsid w:val="00AE75E3"/>
    <w:rsid w:val="00AF69B0"/>
    <w:rsid w:val="00AF7423"/>
    <w:rsid w:val="00B11D23"/>
    <w:rsid w:val="00B249BC"/>
    <w:rsid w:val="00B46CF1"/>
    <w:rsid w:val="00B60201"/>
    <w:rsid w:val="00B66613"/>
    <w:rsid w:val="00B75EC0"/>
    <w:rsid w:val="00B76422"/>
    <w:rsid w:val="00BC6AB5"/>
    <w:rsid w:val="00BC7013"/>
    <w:rsid w:val="00C23CFE"/>
    <w:rsid w:val="00C31AEF"/>
    <w:rsid w:val="00C32AA5"/>
    <w:rsid w:val="00C51666"/>
    <w:rsid w:val="00C55E03"/>
    <w:rsid w:val="00C57E92"/>
    <w:rsid w:val="00C64845"/>
    <w:rsid w:val="00C66E07"/>
    <w:rsid w:val="00C80FE8"/>
    <w:rsid w:val="00C837F2"/>
    <w:rsid w:val="00C9025C"/>
    <w:rsid w:val="00C90670"/>
    <w:rsid w:val="00CA0DFD"/>
    <w:rsid w:val="00CB13EC"/>
    <w:rsid w:val="00CB6411"/>
    <w:rsid w:val="00CB6E64"/>
    <w:rsid w:val="00CC5945"/>
    <w:rsid w:val="00CC659A"/>
    <w:rsid w:val="00CE0A17"/>
    <w:rsid w:val="00CF2DA8"/>
    <w:rsid w:val="00D01D37"/>
    <w:rsid w:val="00D30F36"/>
    <w:rsid w:val="00D42FFD"/>
    <w:rsid w:val="00D63BE6"/>
    <w:rsid w:val="00D74B3E"/>
    <w:rsid w:val="00D879C7"/>
    <w:rsid w:val="00DA1D56"/>
    <w:rsid w:val="00DB0434"/>
    <w:rsid w:val="00DC02AF"/>
    <w:rsid w:val="00DC582D"/>
    <w:rsid w:val="00DC59AC"/>
    <w:rsid w:val="00DF720F"/>
    <w:rsid w:val="00DF7220"/>
    <w:rsid w:val="00E119AE"/>
    <w:rsid w:val="00E144FB"/>
    <w:rsid w:val="00E23588"/>
    <w:rsid w:val="00E30A2D"/>
    <w:rsid w:val="00E44386"/>
    <w:rsid w:val="00E504AD"/>
    <w:rsid w:val="00E54994"/>
    <w:rsid w:val="00E57381"/>
    <w:rsid w:val="00E750A9"/>
    <w:rsid w:val="00E7690B"/>
    <w:rsid w:val="00E93519"/>
    <w:rsid w:val="00EB2967"/>
    <w:rsid w:val="00EC34C4"/>
    <w:rsid w:val="00ED6C41"/>
    <w:rsid w:val="00ED7628"/>
    <w:rsid w:val="00EE10C1"/>
    <w:rsid w:val="00EF7D2D"/>
    <w:rsid w:val="00F20302"/>
    <w:rsid w:val="00F20695"/>
    <w:rsid w:val="00F21536"/>
    <w:rsid w:val="00F30E79"/>
    <w:rsid w:val="00F31417"/>
    <w:rsid w:val="00F31552"/>
    <w:rsid w:val="00F35AB5"/>
    <w:rsid w:val="00F41083"/>
    <w:rsid w:val="00F42F9E"/>
    <w:rsid w:val="00F540D8"/>
    <w:rsid w:val="00F55C38"/>
    <w:rsid w:val="00F663C4"/>
    <w:rsid w:val="00F73149"/>
    <w:rsid w:val="00F83A3A"/>
    <w:rsid w:val="00F90CCB"/>
    <w:rsid w:val="00F96E4F"/>
    <w:rsid w:val="00FC3CB6"/>
    <w:rsid w:val="00FF016D"/>
    <w:rsid w:val="00FF6F42"/>
    <w:rsid w:val="00FF7D2B"/>
    <w:rsid w:val="0304006C"/>
    <w:rsid w:val="0365B89C"/>
    <w:rsid w:val="05B31511"/>
    <w:rsid w:val="06903F5D"/>
    <w:rsid w:val="0896C247"/>
    <w:rsid w:val="09A879DF"/>
    <w:rsid w:val="0A90B1F4"/>
    <w:rsid w:val="0B49C76B"/>
    <w:rsid w:val="163DFF6A"/>
    <w:rsid w:val="1778B18A"/>
    <w:rsid w:val="1AA560D2"/>
    <w:rsid w:val="1E531C1D"/>
    <w:rsid w:val="1FFF97AA"/>
    <w:rsid w:val="28864E3E"/>
    <w:rsid w:val="2DCBFD7E"/>
    <w:rsid w:val="319C9AEE"/>
    <w:rsid w:val="3A9DA1D6"/>
    <w:rsid w:val="3B36F48C"/>
    <w:rsid w:val="3EA8421C"/>
    <w:rsid w:val="42D20789"/>
    <w:rsid w:val="47AA41B9"/>
    <w:rsid w:val="4B60DF8F"/>
    <w:rsid w:val="4C6396F6"/>
    <w:rsid w:val="4D477FD8"/>
    <w:rsid w:val="4FAD3442"/>
    <w:rsid w:val="50880272"/>
    <w:rsid w:val="526BB9A6"/>
    <w:rsid w:val="57656AB0"/>
    <w:rsid w:val="5CA2E66E"/>
    <w:rsid w:val="5FF6E9E9"/>
    <w:rsid w:val="67DAB732"/>
    <w:rsid w:val="6978210B"/>
    <w:rsid w:val="6C08274B"/>
    <w:rsid w:val="6E3990BE"/>
    <w:rsid w:val="6FB76FB5"/>
    <w:rsid w:val="77A1D509"/>
    <w:rsid w:val="7834A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C1B0"/>
  <w15:chartTrackingRefBased/>
  <w15:docId w15:val="{0EC90E51-DB8C-457E-AEFA-AC12109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7EB0"/>
    <w:pPr>
      <w:spacing w:after="0" w:line="280" w:lineRule="atLeast"/>
    </w:pPr>
    <w:rPr>
      <w:rFonts w:ascii="Times New Roman" w:eastAsia="Times New Roman" w:hAnsi="Times New Roman" w:cs="Times New Roman"/>
      <w:szCs w:val="20"/>
      <w:lang w:eastAsia="zh-CN"/>
    </w:rPr>
  </w:style>
  <w:style w:type="paragraph" w:styleId="Kop1">
    <w:name w:val="heading 1"/>
    <w:basedOn w:val="Standaard"/>
    <w:next w:val="Standaard"/>
    <w:link w:val="Kop1Char"/>
    <w:qFormat/>
    <w:rsid w:val="0082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E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E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E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EB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EB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EB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EB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E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E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E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E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E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E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E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E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EB0"/>
    <w:rPr>
      <w:rFonts w:eastAsiaTheme="majorEastAsia" w:cstheme="majorBidi"/>
      <w:color w:val="272727" w:themeColor="text1" w:themeTint="D8"/>
    </w:rPr>
  </w:style>
  <w:style w:type="paragraph" w:styleId="Titel">
    <w:name w:val="Title"/>
    <w:basedOn w:val="Standaard"/>
    <w:next w:val="Standaard"/>
    <w:link w:val="TitelChar"/>
    <w:uiPriority w:val="10"/>
    <w:qFormat/>
    <w:rsid w:val="0082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E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E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E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E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EB0"/>
    <w:rPr>
      <w:i/>
      <w:iCs/>
      <w:color w:val="404040" w:themeColor="text1" w:themeTint="BF"/>
    </w:rPr>
  </w:style>
  <w:style w:type="paragraph" w:styleId="Lijstalinea">
    <w:name w:val="List Paragraph"/>
    <w:basedOn w:val="Standaard"/>
    <w:uiPriority w:val="34"/>
    <w:qFormat/>
    <w:rsid w:val="00827EB0"/>
    <w:pPr>
      <w:ind w:left="720"/>
      <w:contextualSpacing/>
    </w:pPr>
  </w:style>
  <w:style w:type="character" w:styleId="Intensievebenadrukking">
    <w:name w:val="Intense Emphasis"/>
    <w:basedOn w:val="Standaardalinea-lettertype"/>
    <w:uiPriority w:val="21"/>
    <w:qFormat/>
    <w:rsid w:val="00827EB0"/>
    <w:rPr>
      <w:i/>
      <w:iCs/>
      <w:color w:val="0F4761" w:themeColor="accent1" w:themeShade="BF"/>
    </w:rPr>
  </w:style>
  <w:style w:type="paragraph" w:styleId="Duidelijkcitaat">
    <w:name w:val="Intense Quote"/>
    <w:basedOn w:val="Standaard"/>
    <w:next w:val="Standaard"/>
    <w:link w:val="DuidelijkcitaatChar"/>
    <w:uiPriority w:val="30"/>
    <w:qFormat/>
    <w:rsid w:val="0082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EB0"/>
    <w:rPr>
      <w:i/>
      <w:iCs/>
      <w:color w:val="0F4761" w:themeColor="accent1" w:themeShade="BF"/>
    </w:rPr>
  </w:style>
  <w:style w:type="character" w:styleId="Intensieveverwijzing">
    <w:name w:val="Intense Reference"/>
    <w:basedOn w:val="Standaardalinea-lettertype"/>
    <w:uiPriority w:val="32"/>
    <w:qFormat/>
    <w:rsid w:val="00827EB0"/>
    <w:rPr>
      <w:b/>
      <w:bCs/>
      <w:smallCaps/>
      <w:color w:val="0F4761" w:themeColor="accent1" w:themeShade="BF"/>
      <w:spacing w:val="5"/>
    </w:rPr>
  </w:style>
  <w:style w:type="paragraph" w:customStyle="1" w:styleId="Spreekpunten">
    <w:name w:val="Spreekpunten"/>
    <w:basedOn w:val="Standaard"/>
    <w:rsid w:val="00827EB0"/>
    <w:pPr>
      <w:numPr>
        <w:numId w:val="4"/>
      </w:numPr>
      <w:spacing w:line="360" w:lineRule="auto"/>
    </w:pPr>
    <w:rPr>
      <w:bCs/>
      <w:sz w:val="28"/>
      <w:lang w:val="en-GB" w:eastAsia="nl-NL"/>
    </w:rPr>
  </w:style>
  <w:style w:type="paragraph" w:styleId="Koptekst">
    <w:name w:val="header"/>
    <w:basedOn w:val="Standaard"/>
    <w:link w:val="KoptekstChar"/>
    <w:uiPriority w:val="99"/>
    <w:rsid w:val="00827EB0"/>
    <w:pPr>
      <w:tabs>
        <w:tab w:val="center" w:pos="4536"/>
        <w:tab w:val="right" w:pos="9072"/>
      </w:tabs>
    </w:pPr>
  </w:style>
  <w:style w:type="character" w:customStyle="1" w:styleId="KoptekstChar">
    <w:name w:val="Koptekst Char"/>
    <w:basedOn w:val="Standaardalinea-lettertype"/>
    <w:link w:val="Koptekst"/>
    <w:uiPriority w:val="99"/>
    <w:rsid w:val="00827EB0"/>
    <w:rPr>
      <w:rFonts w:ascii="Times New Roman" w:eastAsia="Times New Roman" w:hAnsi="Times New Roman" w:cs="Times New Roman"/>
      <w:szCs w:val="20"/>
      <w:lang w:eastAsia="zh-CN"/>
    </w:rPr>
  </w:style>
  <w:style w:type="paragraph" w:styleId="Voetnoottekst">
    <w:name w:val="footnote text"/>
    <w:basedOn w:val="Standaard"/>
    <w:link w:val="VoetnoottekstChar"/>
    <w:rsid w:val="00827EB0"/>
    <w:pPr>
      <w:spacing w:line="240" w:lineRule="atLeast"/>
      <w:ind w:left="1298" w:hanging="1298"/>
    </w:pPr>
    <w:rPr>
      <w:sz w:val="16"/>
    </w:rPr>
  </w:style>
  <w:style w:type="character" w:customStyle="1" w:styleId="VoetnoottekstChar">
    <w:name w:val="Voetnoottekst Char"/>
    <w:basedOn w:val="Standaardalinea-lettertype"/>
    <w:link w:val="Voetnoottekst"/>
    <w:rsid w:val="00827EB0"/>
    <w:rPr>
      <w:rFonts w:ascii="Times New Roman" w:eastAsia="Times New Roman" w:hAnsi="Times New Roman" w:cs="Times New Roman"/>
      <w:sz w:val="16"/>
      <w:szCs w:val="20"/>
      <w:lang w:eastAsia="zh-CN"/>
    </w:rPr>
  </w:style>
  <w:style w:type="character" w:styleId="Voetnootmarkering">
    <w:name w:val="footnote reference"/>
    <w:semiHidden/>
    <w:rsid w:val="00827EB0"/>
    <w:rPr>
      <w:vertAlign w:val="superscript"/>
    </w:rPr>
  </w:style>
  <w:style w:type="paragraph" w:styleId="Plattetekst">
    <w:name w:val="Body Text"/>
    <w:basedOn w:val="Standaard"/>
    <w:link w:val="PlattetekstChar"/>
    <w:rsid w:val="00827EB0"/>
    <w:pPr>
      <w:spacing w:line="280" w:lineRule="exact"/>
      <w:jc w:val="both"/>
    </w:pPr>
    <w:rPr>
      <w:snapToGrid w:val="0"/>
      <w:lang w:val="en-US" w:eastAsia="en-US"/>
    </w:rPr>
  </w:style>
  <w:style w:type="character" w:customStyle="1" w:styleId="PlattetekstChar">
    <w:name w:val="Platte tekst Char"/>
    <w:basedOn w:val="Standaardalinea-lettertype"/>
    <w:link w:val="Plattetekst"/>
    <w:rsid w:val="00827EB0"/>
    <w:rPr>
      <w:rFonts w:ascii="Times New Roman" w:eastAsia="Times New Roman" w:hAnsi="Times New Roman" w:cs="Times New Roman"/>
      <w:snapToGrid w:val="0"/>
      <w:szCs w:val="20"/>
      <w:lang w:val="en-US"/>
    </w:rPr>
  </w:style>
  <w:style w:type="character" w:styleId="Hyperlink">
    <w:name w:val="Hyperlink"/>
    <w:rsid w:val="00827EB0"/>
    <w:rPr>
      <w:color w:val="0000FF"/>
      <w:u w:val="single"/>
    </w:rPr>
  </w:style>
  <w:style w:type="paragraph" w:styleId="Voettekst">
    <w:name w:val="footer"/>
    <w:basedOn w:val="Standaard"/>
    <w:link w:val="VoettekstChar"/>
    <w:rsid w:val="00827EB0"/>
    <w:pPr>
      <w:tabs>
        <w:tab w:val="center" w:pos="4536"/>
        <w:tab w:val="right" w:pos="9072"/>
      </w:tabs>
    </w:pPr>
  </w:style>
  <w:style w:type="character" w:customStyle="1" w:styleId="VoettekstChar">
    <w:name w:val="Voettekst Char"/>
    <w:basedOn w:val="Standaardalinea-lettertype"/>
    <w:link w:val="Voettekst"/>
    <w:rsid w:val="00827EB0"/>
    <w:rPr>
      <w:rFonts w:ascii="Times New Roman" w:eastAsia="Times New Roman" w:hAnsi="Times New Roman" w:cs="Times New Roman"/>
      <w:szCs w:val="20"/>
      <w:lang w:eastAsia="zh-CN"/>
    </w:rPr>
  </w:style>
  <w:style w:type="character" w:styleId="Paginanummer">
    <w:name w:val="page number"/>
    <w:basedOn w:val="Standaardalinea-lettertype"/>
    <w:rsid w:val="00827EB0"/>
  </w:style>
  <w:style w:type="character" w:styleId="Onopgelostemelding">
    <w:name w:val="Unresolved Mention"/>
    <w:basedOn w:val="Standaardalinea-lettertype"/>
    <w:uiPriority w:val="99"/>
    <w:semiHidden/>
    <w:unhideWhenUsed/>
    <w:rsid w:val="00BC7013"/>
    <w:rPr>
      <w:color w:val="605E5C"/>
      <w:shd w:val="clear" w:color="auto" w:fill="E1DFDD"/>
    </w:rPr>
  </w:style>
  <w:style w:type="character" w:styleId="Verwijzingopmerking">
    <w:name w:val="annotation reference"/>
    <w:basedOn w:val="Standaardalinea-lettertype"/>
    <w:uiPriority w:val="99"/>
    <w:semiHidden/>
    <w:unhideWhenUsed/>
    <w:rsid w:val="00BC7013"/>
    <w:rPr>
      <w:sz w:val="16"/>
      <w:szCs w:val="16"/>
    </w:rPr>
  </w:style>
  <w:style w:type="paragraph" w:styleId="Tekstopmerking">
    <w:name w:val="annotation text"/>
    <w:basedOn w:val="Standaard"/>
    <w:link w:val="TekstopmerkingChar"/>
    <w:unhideWhenUsed/>
    <w:rsid w:val="00BC7013"/>
    <w:pPr>
      <w:spacing w:line="240" w:lineRule="auto"/>
    </w:pPr>
    <w:rPr>
      <w:sz w:val="20"/>
    </w:rPr>
  </w:style>
  <w:style w:type="character" w:customStyle="1" w:styleId="TekstopmerkingChar">
    <w:name w:val="Tekst opmerking Char"/>
    <w:basedOn w:val="Standaardalinea-lettertype"/>
    <w:link w:val="Tekstopmerking"/>
    <w:rsid w:val="00BC7013"/>
    <w:rPr>
      <w:rFonts w:ascii="Times New Roman" w:eastAsia="Times New Roman" w:hAnsi="Times New Roman" w:cs="Times New Roman"/>
      <w:sz w:val="20"/>
      <w:szCs w:val="20"/>
      <w:lang w:eastAsia="zh-CN"/>
    </w:rPr>
  </w:style>
  <w:style w:type="paragraph" w:styleId="Onderwerpvanopmerking">
    <w:name w:val="annotation subject"/>
    <w:basedOn w:val="Tekstopmerking"/>
    <w:next w:val="Tekstopmerking"/>
    <w:link w:val="OnderwerpvanopmerkingChar"/>
    <w:uiPriority w:val="99"/>
    <w:semiHidden/>
    <w:unhideWhenUsed/>
    <w:rsid w:val="00BC7013"/>
    <w:rPr>
      <w:b/>
      <w:bCs/>
    </w:rPr>
  </w:style>
  <w:style w:type="character" w:customStyle="1" w:styleId="OnderwerpvanopmerkingChar">
    <w:name w:val="Onderwerp van opmerking Char"/>
    <w:basedOn w:val="TekstopmerkingChar"/>
    <w:link w:val="Onderwerpvanopmerking"/>
    <w:uiPriority w:val="99"/>
    <w:semiHidden/>
    <w:rsid w:val="00BC7013"/>
    <w:rPr>
      <w:rFonts w:ascii="Times New Roman" w:eastAsia="Times New Roman" w:hAnsi="Times New Roman" w:cs="Times New Roman"/>
      <w:b/>
      <w:bCs/>
      <w:sz w:val="20"/>
      <w:szCs w:val="20"/>
      <w:lang w:eastAsia="zh-CN"/>
    </w:rPr>
  </w:style>
  <w:style w:type="paragraph" w:styleId="Revisie">
    <w:name w:val="Revision"/>
    <w:hidden/>
    <w:uiPriority w:val="99"/>
    <w:semiHidden/>
    <w:rsid w:val="009D0C10"/>
    <w:pPr>
      <w:spacing w:after="0" w:line="240" w:lineRule="auto"/>
    </w:pPr>
    <w:rPr>
      <w:rFonts w:ascii="Times New Roman" w:eastAsia="Times New Roman" w:hAnsi="Times New Roman" w:cs="Times New Roman"/>
      <w:szCs w:val="20"/>
      <w:lang w:eastAsia="zh-CN"/>
    </w:rPr>
  </w:style>
  <w:style w:type="character" w:styleId="GevolgdeHyperlink">
    <w:name w:val="FollowedHyperlink"/>
    <w:basedOn w:val="Standaardalinea-lettertype"/>
    <w:uiPriority w:val="99"/>
    <w:semiHidden/>
    <w:unhideWhenUsed/>
    <w:rsid w:val="00685D18"/>
    <w:rPr>
      <w:color w:val="96607D" w:themeColor="followedHyperlink"/>
      <w:u w:val="single"/>
    </w:rPr>
  </w:style>
  <w:style w:type="paragraph" w:styleId="Geenafstand">
    <w:name w:val="No Spacing"/>
    <w:uiPriority w:val="1"/>
    <w:qFormat/>
    <w:rsid w:val="004F6597"/>
    <w:pPr>
      <w:spacing w:after="0" w:line="240" w:lineRule="auto"/>
    </w:pPr>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8624">
      <w:bodyDiv w:val="1"/>
      <w:marLeft w:val="0"/>
      <w:marRight w:val="0"/>
      <w:marTop w:val="0"/>
      <w:marBottom w:val="0"/>
      <w:divBdr>
        <w:top w:val="none" w:sz="0" w:space="0" w:color="auto"/>
        <w:left w:val="none" w:sz="0" w:space="0" w:color="auto"/>
        <w:bottom w:val="none" w:sz="0" w:space="0" w:color="auto"/>
        <w:right w:val="none" w:sz="0" w:space="0" w:color="auto"/>
      </w:divBdr>
    </w:div>
    <w:div w:id="472598997">
      <w:bodyDiv w:val="1"/>
      <w:marLeft w:val="0"/>
      <w:marRight w:val="0"/>
      <w:marTop w:val="0"/>
      <w:marBottom w:val="0"/>
      <w:divBdr>
        <w:top w:val="none" w:sz="0" w:space="0" w:color="auto"/>
        <w:left w:val="none" w:sz="0" w:space="0" w:color="auto"/>
        <w:bottom w:val="none" w:sz="0" w:space="0" w:color="auto"/>
        <w:right w:val="none" w:sz="0" w:space="0" w:color="auto"/>
      </w:divBdr>
    </w:div>
    <w:div w:id="496194511">
      <w:bodyDiv w:val="1"/>
      <w:marLeft w:val="0"/>
      <w:marRight w:val="0"/>
      <w:marTop w:val="0"/>
      <w:marBottom w:val="0"/>
      <w:divBdr>
        <w:top w:val="none" w:sz="0" w:space="0" w:color="auto"/>
        <w:left w:val="none" w:sz="0" w:space="0" w:color="auto"/>
        <w:bottom w:val="none" w:sz="0" w:space="0" w:color="auto"/>
        <w:right w:val="none" w:sz="0" w:space="0" w:color="auto"/>
      </w:divBdr>
    </w:div>
    <w:div w:id="530072810">
      <w:bodyDiv w:val="1"/>
      <w:marLeft w:val="0"/>
      <w:marRight w:val="0"/>
      <w:marTop w:val="0"/>
      <w:marBottom w:val="0"/>
      <w:divBdr>
        <w:top w:val="none" w:sz="0" w:space="0" w:color="auto"/>
        <w:left w:val="none" w:sz="0" w:space="0" w:color="auto"/>
        <w:bottom w:val="none" w:sz="0" w:space="0" w:color="auto"/>
        <w:right w:val="none" w:sz="0" w:space="0" w:color="auto"/>
      </w:divBdr>
    </w:div>
    <w:div w:id="576551983">
      <w:bodyDiv w:val="1"/>
      <w:marLeft w:val="0"/>
      <w:marRight w:val="0"/>
      <w:marTop w:val="0"/>
      <w:marBottom w:val="0"/>
      <w:divBdr>
        <w:top w:val="none" w:sz="0" w:space="0" w:color="auto"/>
        <w:left w:val="none" w:sz="0" w:space="0" w:color="auto"/>
        <w:bottom w:val="none" w:sz="0" w:space="0" w:color="auto"/>
        <w:right w:val="none" w:sz="0" w:space="0" w:color="auto"/>
      </w:divBdr>
    </w:div>
    <w:div w:id="655961759">
      <w:bodyDiv w:val="1"/>
      <w:marLeft w:val="0"/>
      <w:marRight w:val="0"/>
      <w:marTop w:val="0"/>
      <w:marBottom w:val="0"/>
      <w:divBdr>
        <w:top w:val="none" w:sz="0" w:space="0" w:color="auto"/>
        <w:left w:val="none" w:sz="0" w:space="0" w:color="auto"/>
        <w:bottom w:val="none" w:sz="0" w:space="0" w:color="auto"/>
        <w:right w:val="none" w:sz="0" w:space="0" w:color="auto"/>
      </w:divBdr>
    </w:div>
    <w:div w:id="870461406">
      <w:bodyDiv w:val="1"/>
      <w:marLeft w:val="0"/>
      <w:marRight w:val="0"/>
      <w:marTop w:val="0"/>
      <w:marBottom w:val="0"/>
      <w:divBdr>
        <w:top w:val="none" w:sz="0" w:space="0" w:color="auto"/>
        <w:left w:val="none" w:sz="0" w:space="0" w:color="auto"/>
        <w:bottom w:val="none" w:sz="0" w:space="0" w:color="auto"/>
        <w:right w:val="none" w:sz="0" w:space="0" w:color="auto"/>
      </w:divBdr>
    </w:div>
    <w:div w:id="949896790">
      <w:bodyDiv w:val="1"/>
      <w:marLeft w:val="0"/>
      <w:marRight w:val="0"/>
      <w:marTop w:val="0"/>
      <w:marBottom w:val="0"/>
      <w:divBdr>
        <w:top w:val="none" w:sz="0" w:space="0" w:color="auto"/>
        <w:left w:val="none" w:sz="0" w:space="0" w:color="auto"/>
        <w:bottom w:val="none" w:sz="0" w:space="0" w:color="auto"/>
        <w:right w:val="none" w:sz="0" w:space="0" w:color="auto"/>
      </w:divBdr>
    </w:div>
    <w:div w:id="1035079197">
      <w:bodyDiv w:val="1"/>
      <w:marLeft w:val="0"/>
      <w:marRight w:val="0"/>
      <w:marTop w:val="0"/>
      <w:marBottom w:val="0"/>
      <w:divBdr>
        <w:top w:val="none" w:sz="0" w:space="0" w:color="auto"/>
        <w:left w:val="none" w:sz="0" w:space="0" w:color="auto"/>
        <w:bottom w:val="none" w:sz="0" w:space="0" w:color="auto"/>
        <w:right w:val="none" w:sz="0" w:space="0" w:color="auto"/>
      </w:divBdr>
    </w:div>
    <w:div w:id="1162158693">
      <w:bodyDiv w:val="1"/>
      <w:marLeft w:val="0"/>
      <w:marRight w:val="0"/>
      <w:marTop w:val="0"/>
      <w:marBottom w:val="0"/>
      <w:divBdr>
        <w:top w:val="none" w:sz="0" w:space="0" w:color="auto"/>
        <w:left w:val="none" w:sz="0" w:space="0" w:color="auto"/>
        <w:bottom w:val="none" w:sz="0" w:space="0" w:color="auto"/>
        <w:right w:val="none" w:sz="0" w:space="0" w:color="auto"/>
      </w:divBdr>
    </w:div>
    <w:div w:id="1232622786">
      <w:bodyDiv w:val="1"/>
      <w:marLeft w:val="0"/>
      <w:marRight w:val="0"/>
      <w:marTop w:val="0"/>
      <w:marBottom w:val="0"/>
      <w:divBdr>
        <w:top w:val="none" w:sz="0" w:space="0" w:color="auto"/>
        <w:left w:val="none" w:sz="0" w:space="0" w:color="auto"/>
        <w:bottom w:val="none" w:sz="0" w:space="0" w:color="auto"/>
        <w:right w:val="none" w:sz="0" w:space="0" w:color="auto"/>
      </w:divBdr>
    </w:div>
    <w:div w:id="1296641946">
      <w:bodyDiv w:val="1"/>
      <w:marLeft w:val="0"/>
      <w:marRight w:val="0"/>
      <w:marTop w:val="0"/>
      <w:marBottom w:val="0"/>
      <w:divBdr>
        <w:top w:val="none" w:sz="0" w:space="0" w:color="auto"/>
        <w:left w:val="none" w:sz="0" w:space="0" w:color="auto"/>
        <w:bottom w:val="none" w:sz="0" w:space="0" w:color="auto"/>
        <w:right w:val="none" w:sz="0" w:space="0" w:color="auto"/>
      </w:divBdr>
    </w:div>
    <w:div w:id="1474520833">
      <w:bodyDiv w:val="1"/>
      <w:marLeft w:val="0"/>
      <w:marRight w:val="0"/>
      <w:marTop w:val="0"/>
      <w:marBottom w:val="0"/>
      <w:divBdr>
        <w:top w:val="none" w:sz="0" w:space="0" w:color="auto"/>
        <w:left w:val="none" w:sz="0" w:space="0" w:color="auto"/>
        <w:bottom w:val="none" w:sz="0" w:space="0" w:color="auto"/>
        <w:right w:val="none" w:sz="0" w:space="0" w:color="auto"/>
      </w:divBdr>
    </w:div>
    <w:div w:id="1528904497">
      <w:bodyDiv w:val="1"/>
      <w:marLeft w:val="0"/>
      <w:marRight w:val="0"/>
      <w:marTop w:val="0"/>
      <w:marBottom w:val="0"/>
      <w:divBdr>
        <w:top w:val="none" w:sz="0" w:space="0" w:color="auto"/>
        <w:left w:val="none" w:sz="0" w:space="0" w:color="auto"/>
        <w:bottom w:val="none" w:sz="0" w:space="0" w:color="auto"/>
        <w:right w:val="none" w:sz="0" w:space="0" w:color="auto"/>
      </w:divBdr>
    </w:div>
    <w:div w:id="1560704835">
      <w:bodyDiv w:val="1"/>
      <w:marLeft w:val="0"/>
      <w:marRight w:val="0"/>
      <w:marTop w:val="0"/>
      <w:marBottom w:val="0"/>
      <w:divBdr>
        <w:top w:val="none" w:sz="0" w:space="0" w:color="auto"/>
        <w:left w:val="none" w:sz="0" w:space="0" w:color="auto"/>
        <w:bottom w:val="none" w:sz="0" w:space="0" w:color="auto"/>
        <w:right w:val="none" w:sz="0" w:space="0" w:color="auto"/>
      </w:divBdr>
    </w:div>
    <w:div w:id="1820026655">
      <w:bodyDiv w:val="1"/>
      <w:marLeft w:val="0"/>
      <w:marRight w:val="0"/>
      <w:marTop w:val="0"/>
      <w:marBottom w:val="0"/>
      <w:divBdr>
        <w:top w:val="none" w:sz="0" w:space="0" w:color="auto"/>
        <w:left w:val="none" w:sz="0" w:space="0" w:color="auto"/>
        <w:bottom w:val="none" w:sz="0" w:space="0" w:color="auto"/>
        <w:right w:val="none" w:sz="0" w:space="0" w:color="auto"/>
      </w:divBdr>
    </w:div>
    <w:div w:id="2035694235">
      <w:bodyDiv w:val="1"/>
      <w:marLeft w:val="0"/>
      <w:marRight w:val="0"/>
      <w:marTop w:val="0"/>
      <w:marBottom w:val="0"/>
      <w:divBdr>
        <w:top w:val="none" w:sz="0" w:space="0" w:color="auto"/>
        <w:left w:val="none" w:sz="0" w:space="0" w:color="auto"/>
        <w:bottom w:val="none" w:sz="0" w:space="0" w:color="auto"/>
        <w:right w:val="none" w:sz="0" w:space="0" w:color="auto"/>
      </w:divBdr>
    </w:div>
    <w:div w:id="2058165915">
      <w:bodyDiv w:val="1"/>
      <w:marLeft w:val="0"/>
      <w:marRight w:val="0"/>
      <w:marTop w:val="0"/>
      <w:marBottom w:val="0"/>
      <w:divBdr>
        <w:top w:val="none" w:sz="0" w:space="0" w:color="auto"/>
        <w:left w:val="none" w:sz="0" w:space="0" w:color="auto"/>
        <w:bottom w:val="none" w:sz="0" w:space="0" w:color="auto"/>
        <w:right w:val="none" w:sz="0" w:space="0" w:color="auto"/>
      </w:divBdr>
    </w:div>
    <w:div w:id="21082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NL/TXT/?uri=CELEX%3A52025PC0188&amp;qid=1745824801064"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4f593e0c-a66d-40b8-a933-b36673176b53/file" TargetMode="External"/><Relationship Id="rId3" Type="http://schemas.openxmlformats.org/officeDocument/2006/relationships/hyperlink" Target="https://eur-lex.europa.eu/legal-content/EN/TXT/?uri=celex:52024DC0027" TargetMode="External"/><Relationship Id="rId7" Type="http://schemas.openxmlformats.org/officeDocument/2006/relationships/hyperlink" Target="https://www.defensie.nl/onderwerpen/defensienota" TargetMode="External"/><Relationship Id="rId12" Type="http://schemas.openxmlformats.org/officeDocument/2006/relationships/hyperlink" Target="https://www.tweedekamer.nl/kamerstukken/brieven_regering/detail?id=2025Z08936&amp;did=2025D20502" TargetMode="External"/><Relationship Id="rId2" Type="http://schemas.openxmlformats.org/officeDocument/2006/relationships/hyperlink" Target="https://ec.europa.eu/regional_policy/sources/communication/mid-term-review-2025/regulation-proposal-mid-term-review-2025_en.pdf" TargetMode="External"/><Relationship Id="rId1" Type="http://schemas.openxmlformats.org/officeDocument/2006/relationships/hyperlink" Target="https://open.overheid.nl/documenten/e78999cb-59ac-47a0-b55f-c5a982ca1518/file" TargetMode="External"/><Relationship Id="rId6" Type="http://schemas.openxmlformats.org/officeDocument/2006/relationships/hyperlink" Target="https://open.overheid.nl/documenten/e78999cb-59ac-47a0-b55f-c5a982ca1518/file" TargetMode="External"/><Relationship Id="rId11" Type="http://schemas.openxmlformats.org/officeDocument/2006/relationships/hyperlink" Target="https://zoek.officielebekendmakingen.nl/kst-22112-3919.html" TargetMode="External"/><Relationship Id="rId5" Type="http://schemas.openxmlformats.org/officeDocument/2006/relationships/hyperlink" Target="https://zoek.officielebekendmakingen.nl/kst-22112-3919.html" TargetMode="External"/><Relationship Id="rId10" Type="http://schemas.openxmlformats.org/officeDocument/2006/relationships/hyperlink" Target="https://www.defensie.nl/downloads/beleidsnota-s/2025/04/04/defensie-strategie-voor-industrie-en-innovatie-2025-2029" TargetMode="External"/><Relationship Id="rId4" Type="http://schemas.openxmlformats.org/officeDocument/2006/relationships/hyperlink" Target="https://open.overheid.nl/documenten/4e0f75ae-dc2d-40cc-8bd8-1485c859ebe3/file" TargetMode="External"/><Relationship Id="rId9" Type="http://schemas.openxmlformats.org/officeDocument/2006/relationships/hyperlink" Target="https://zoek.officielebekendmakingen.nl/kst-22112-375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5067</ap:Words>
  <ap:Characters>27873</ap:Characters>
  <ap:DocSecurity>0</ap:DocSecurity>
  <ap:Lines>232</ap:Lines>
  <ap:Paragraphs>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2025-05-19T13:27:00.0000000Z</lastPrinted>
  <dcterms:created xsi:type="dcterms:W3CDTF">2025-06-03T14:40:00.0000000Z</dcterms:created>
  <dcterms:modified xsi:type="dcterms:W3CDTF">2025-06-03T14:42:00.0000000Z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18618021,6de31b0f,476675ed</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0x0101009C7CE436063D44E9BE7DC0259EF7C32F006EB9F9836A634AE58B6169785FD3936F003FD5B2F9E986EC4490E3A24B9BD4DE1C</vt:lpwstr>
  </property>
  <property fmtid="{D5CDD505-2E9C-101B-9397-08002B2CF9AE}" pid="6" name="MSIP_Label_6800fede-0e59-47ad-af95-4e63bbdb932d_Enabled">
    <vt:lpwstr>true</vt:lpwstr>
  </property>
  <property fmtid="{D5CDD505-2E9C-101B-9397-08002B2CF9AE}" pid="7" name="MSIP_Label_6800fede-0e59-47ad-af95-4e63bbdb932d_SetDate">
    <vt:lpwstr>2025-05-19T14:23:17Z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34cf1e71-7977-45de-a38c-ba56268407fe</vt:lpwstr>
  </property>
  <property fmtid="{D5CDD505-2E9C-101B-9397-08002B2CF9AE}" pid="12" name="MSIP_Label_6800fede-0e59-47ad-af95-4e63bbdb932d_ContentBits">
    <vt:lpwstr>0</vt:lpwstr>
  </property>
  <property fmtid="{D5CDD505-2E9C-101B-9397-08002B2CF9AE}" pid="13" name="_dlc_DocIdItemGuid">
    <vt:lpwstr>e7c3ce8c-4fa2-49e8-a6c4-b0f35078d67f</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ies>
</file>