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7D6C" w:rsidP="00727D6C" w:rsidRDefault="00727D6C" w14:paraId="3344F699" w14:textId="7C851091">
      <w:pPr>
        <w:rPr>
          <w:b/>
        </w:rPr>
      </w:pPr>
      <w:r>
        <w:rPr>
          <w:b/>
        </w:rPr>
        <w:t xml:space="preserve">Lijst van vragen </w:t>
      </w:r>
    </w:p>
    <w:p w:rsidR="00727D6C" w:rsidP="00727D6C" w:rsidRDefault="00727D6C" w14:paraId="79741E41" w14:textId="3ECE1741">
      <w:r>
        <w:t xml:space="preserve">De vaste commissie voor Volksgezondheid, Welzijn en Sport heeft een aantal vragen voorgelegd aan de Algemene Rekenkamer (AR) over de </w:t>
      </w:r>
      <w:r>
        <w:rPr>
          <w:b/>
        </w:rPr>
        <w:t>Aanbieding van het rapport Resultaten verantwoordingsonderzoek 2024 bij het Ministerie van Volksgezondheid, Welzijn en Sport</w:t>
      </w:r>
      <w:r>
        <w:t xml:space="preserve"> (</w:t>
      </w:r>
      <w:r>
        <w:t xml:space="preserve">Kamerstuk </w:t>
      </w:r>
      <w:r>
        <w:rPr>
          <w:b/>
        </w:rPr>
        <w:t>36</w:t>
      </w:r>
      <w:r>
        <w:rPr>
          <w:b/>
        </w:rPr>
        <w:t xml:space="preserve"> </w:t>
      </w:r>
      <w:r>
        <w:rPr>
          <w:b/>
        </w:rPr>
        <w:t>740</w:t>
      </w:r>
      <w:r>
        <w:rPr>
          <w:b/>
        </w:rPr>
        <w:t xml:space="preserve"> </w:t>
      </w:r>
      <w:r>
        <w:rPr>
          <w:b/>
        </w:rPr>
        <w:t>XVI</w:t>
      </w:r>
      <w:r>
        <w:t xml:space="preserve">, nr. </w:t>
      </w:r>
      <w:r>
        <w:rPr>
          <w:b/>
        </w:rPr>
        <w:t>2</w:t>
      </w:r>
      <w:r>
        <w:t>).</w:t>
      </w:r>
    </w:p>
    <w:p w:rsidR="00727D6C" w:rsidP="00727D6C" w:rsidRDefault="00727D6C" w14:paraId="76B9A22A" w14:textId="1BFBFC21">
      <w:pPr>
        <w:spacing w:after="0"/>
      </w:pPr>
      <w:r>
        <w:t>De v</w:t>
      </w:r>
      <w:r>
        <w:t xml:space="preserve">oorzitter van de commissie, </w:t>
      </w:r>
    </w:p>
    <w:p w:rsidR="00727D6C" w:rsidP="00727D6C" w:rsidRDefault="00727D6C" w14:paraId="4A8F1D84" w14:textId="1899497C">
      <w:pPr>
        <w:spacing w:after="0"/>
      </w:pPr>
      <w:proofErr w:type="spellStart"/>
      <w:r>
        <w:t>Mohandis</w:t>
      </w:r>
      <w:proofErr w:type="spellEnd"/>
    </w:p>
    <w:p w:rsidR="00727D6C" w:rsidP="00727D6C" w:rsidRDefault="00727D6C" w14:paraId="6F6C3F52" w14:textId="77777777">
      <w:pPr>
        <w:spacing w:after="0"/>
      </w:pPr>
      <w:r>
        <w:tab/>
      </w:r>
      <w:r>
        <w:tab/>
      </w:r>
    </w:p>
    <w:p w:rsidR="00727D6C" w:rsidP="00727D6C" w:rsidRDefault="00727D6C" w14:paraId="26C61BFC" w14:textId="10C2ED6F">
      <w:pPr>
        <w:spacing w:after="0"/>
      </w:pPr>
      <w:r>
        <w:t>Adjunct-griffier van de commissie,</w:t>
      </w:r>
    </w:p>
    <w:p w:rsidR="00727D6C" w:rsidP="00727D6C" w:rsidRDefault="00727D6C" w14:paraId="192C5B4E" w14:textId="3778DD7C">
      <w:pPr>
        <w:spacing w:after="0"/>
      </w:pPr>
      <w:r>
        <w:t>Meijerink</w:t>
      </w:r>
    </w:p>
    <w:p w:rsidR="00727D6C" w:rsidP="00727D6C" w:rsidRDefault="00727D6C" w14:paraId="55B7811F"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727D6C" w:rsidTr="00727D6C" w14:paraId="52919C0F" w14:textId="77777777">
        <w:trPr>
          <w:cantSplit/>
        </w:trPr>
        <w:tc>
          <w:tcPr>
            <w:tcW w:w="567" w:type="dxa"/>
          </w:tcPr>
          <w:p w:rsidR="00727D6C" w:rsidP="003236CC" w:rsidRDefault="00727D6C" w14:paraId="7BE16E88" w14:textId="77777777">
            <w:proofErr w:type="spellStart"/>
            <w:r>
              <w:t>Nr</w:t>
            </w:r>
            <w:proofErr w:type="spellEnd"/>
          </w:p>
        </w:tc>
        <w:tc>
          <w:tcPr>
            <w:tcW w:w="6521" w:type="dxa"/>
          </w:tcPr>
          <w:p w:rsidR="00727D6C" w:rsidP="003236CC" w:rsidRDefault="00727D6C" w14:paraId="125A434E" w14:textId="77777777">
            <w:r>
              <w:t>Vraag</w:t>
            </w:r>
          </w:p>
        </w:tc>
      </w:tr>
      <w:tr w:rsidR="00727D6C" w:rsidTr="00727D6C" w14:paraId="2E1F1528" w14:textId="77777777">
        <w:tc>
          <w:tcPr>
            <w:tcW w:w="567" w:type="dxa"/>
          </w:tcPr>
          <w:p w:rsidR="00727D6C" w:rsidP="003236CC" w:rsidRDefault="00727D6C" w14:paraId="371CCCC8" w14:textId="77777777">
            <w:r>
              <w:t>1</w:t>
            </w:r>
          </w:p>
        </w:tc>
        <w:tc>
          <w:tcPr>
            <w:tcW w:w="6521" w:type="dxa"/>
          </w:tcPr>
          <w:p w:rsidR="00727D6C" w:rsidP="003236CC" w:rsidRDefault="00727D6C" w14:paraId="66E8EC9F" w14:textId="77777777">
            <w:r>
              <w:t>Wat adviseert u concreet om de AZWA (Aanvullend Zorg- en Welzijnsakkoord) overzichtelijker te maken dan de IZA, zodat het ook voor Kamerleden makkelijker wordt om dit akkoord te controleren?</w:t>
            </w:r>
          </w:p>
        </w:tc>
      </w:tr>
      <w:tr w:rsidR="00727D6C" w:rsidTr="00727D6C" w14:paraId="3CF9B884" w14:textId="77777777">
        <w:tc>
          <w:tcPr>
            <w:tcW w:w="567" w:type="dxa"/>
          </w:tcPr>
          <w:p w:rsidR="00727D6C" w:rsidP="003236CC" w:rsidRDefault="00727D6C" w14:paraId="797B7BEA" w14:textId="77777777">
            <w:r>
              <w:t>2</w:t>
            </w:r>
          </w:p>
        </w:tc>
        <w:tc>
          <w:tcPr>
            <w:tcW w:w="6521" w:type="dxa"/>
          </w:tcPr>
          <w:p w:rsidR="00727D6C" w:rsidP="003236CC" w:rsidRDefault="00727D6C" w14:paraId="114DBECA" w14:textId="77777777">
            <w:r>
              <w:t>Kunt u een overzicht maken in de vorm van een tabel van de onderbesteding van VWS?</w:t>
            </w:r>
          </w:p>
        </w:tc>
      </w:tr>
      <w:tr w:rsidR="00727D6C" w:rsidTr="00727D6C" w14:paraId="2A5FE175" w14:textId="77777777">
        <w:tc>
          <w:tcPr>
            <w:tcW w:w="567" w:type="dxa"/>
          </w:tcPr>
          <w:p w:rsidR="00727D6C" w:rsidP="003236CC" w:rsidRDefault="00727D6C" w14:paraId="53286B8E" w14:textId="77777777">
            <w:r>
              <w:t>3</w:t>
            </w:r>
          </w:p>
        </w:tc>
        <w:tc>
          <w:tcPr>
            <w:tcW w:w="6521" w:type="dxa"/>
          </w:tcPr>
          <w:p w:rsidR="00727D6C" w:rsidP="003236CC" w:rsidRDefault="00727D6C" w14:paraId="50B30AFD" w14:textId="77777777">
            <w:r>
              <w:t>Ziet u problemen bij het ministerie van VWS van de afgelopen jaren die ook dit jaar nog steeds niet verholpen zijn?</w:t>
            </w:r>
          </w:p>
        </w:tc>
      </w:tr>
      <w:tr w:rsidR="00727D6C" w:rsidTr="00727D6C" w14:paraId="38954E42" w14:textId="77777777">
        <w:tc>
          <w:tcPr>
            <w:tcW w:w="567" w:type="dxa"/>
          </w:tcPr>
          <w:p w:rsidR="00727D6C" w:rsidP="003236CC" w:rsidRDefault="00727D6C" w14:paraId="3B591381" w14:textId="77777777">
            <w:r>
              <w:t>4</w:t>
            </w:r>
          </w:p>
        </w:tc>
        <w:tc>
          <w:tcPr>
            <w:tcW w:w="6521" w:type="dxa"/>
          </w:tcPr>
          <w:p w:rsidR="00727D6C" w:rsidP="003236CC" w:rsidRDefault="00727D6C" w14:paraId="634E1912" w14:textId="77777777">
            <w:r>
              <w:t>Kunt u uiteenzetten hoe de €25 miljoen wordt besteed voor de grotere buffervoorraden? Dit ook in samenhang met de conclusie dat 'niet vast te stellen is of de voorraadverplichting werkt'.</w:t>
            </w:r>
          </w:p>
        </w:tc>
      </w:tr>
      <w:tr w:rsidR="00727D6C" w:rsidTr="00727D6C" w14:paraId="292AB2F1" w14:textId="77777777">
        <w:tc>
          <w:tcPr>
            <w:tcW w:w="567" w:type="dxa"/>
          </w:tcPr>
          <w:p w:rsidR="00727D6C" w:rsidP="003236CC" w:rsidRDefault="00727D6C" w14:paraId="52E7FF6F" w14:textId="77777777">
            <w:r>
              <w:t>5</w:t>
            </w:r>
          </w:p>
        </w:tc>
        <w:tc>
          <w:tcPr>
            <w:tcW w:w="6521" w:type="dxa"/>
          </w:tcPr>
          <w:p w:rsidR="00727D6C" w:rsidP="003236CC" w:rsidRDefault="00727D6C" w14:paraId="293F2DC7" w14:textId="77777777">
            <w:r>
              <w:t>Als Financiële Economische Zaken (FEZ) wordt gezien als eigenaar van het financieel beheer, maar FEZ het middenmanagement niet aanspreekt op het gevoerde financiële beheer, valt hieruit dan te concluderen dat er eigenlijk geen controle is op de verantwoording waar de publieke gelden precies aan uitgegeven worden?</w:t>
            </w:r>
          </w:p>
        </w:tc>
      </w:tr>
      <w:tr w:rsidR="00727D6C" w:rsidTr="00727D6C" w14:paraId="1528BD43" w14:textId="77777777">
        <w:tc>
          <w:tcPr>
            <w:tcW w:w="567" w:type="dxa"/>
          </w:tcPr>
          <w:p w:rsidR="00727D6C" w:rsidP="003236CC" w:rsidRDefault="00727D6C" w14:paraId="661F9DA4" w14:textId="77777777">
            <w:r>
              <w:t>6</w:t>
            </w:r>
          </w:p>
        </w:tc>
        <w:tc>
          <w:tcPr>
            <w:tcW w:w="6521" w:type="dxa"/>
          </w:tcPr>
          <w:p w:rsidR="00727D6C" w:rsidP="003236CC" w:rsidRDefault="00727D6C" w14:paraId="65EF9177" w14:textId="77777777">
            <w:r>
              <w:t>Waarom kijkt FEZ pas aan het einde van het proces mee naar potentiële risico’s?</w:t>
            </w:r>
          </w:p>
        </w:tc>
      </w:tr>
      <w:tr w:rsidR="00727D6C" w:rsidTr="00727D6C" w14:paraId="0D32F0F2" w14:textId="77777777">
        <w:tc>
          <w:tcPr>
            <w:tcW w:w="567" w:type="dxa"/>
          </w:tcPr>
          <w:p w:rsidR="00727D6C" w:rsidP="003236CC" w:rsidRDefault="00727D6C" w14:paraId="56F1834A" w14:textId="77777777">
            <w:r>
              <w:t>7</w:t>
            </w:r>
          </w:p>
        </w:tc>
        <w:tc>
          <w:tcPr>
            <w:tcW w:w="6521" w:type="dxa"/>
          </w:tcPr>
          <w:p w:rsidR="00727D6C" w:rsidP="003236CC" w:rsidRDefault="00727D6C" w14:paraId="0A468075" w14:textId="77777777">
            <w:r>
              <w:t xml:space="preserve">Bij wie ligt het eigenaarschap voor de interne processen, de inrichting van de organisatie en het onderkennen van de </w:t>
            </w:r>
            <w:proofErr w:type="spellStart"/>
            <w:r>
              <w:t>key-controls</w:t>
            </w:r>
            <w:proofErr w:type="spellEnd"/>
            <w:r>
              <w:t xml:space="preserve"> in de processen die ten grondslag liggen aan het financieel beheer van het ministerie van VWS?</w:t>
            </w:r>
          </w:p>
        </w:tc>
      </w:tr>
      <w:tr w:rsidR="00727D6C" w:rsidTr="00727D6C" w14:paraId="182DFD57" w14:textId="77777777">
        <w:tc>
          <w:tcPr>
            <w:tcW w:w="567" w:type="dxa"/>
          </w:tcPr>
          <w:p w:rsidR="00727D6C" w:rsidP="003236CC" w:rsidRDefault="00727D6C" w14:paraId="76521D7F" w14:textId="77777777">
            <w:r>
              <w:t>8</w:t>
            </w:r>
          </w:p>
        </w:tc>
        <w:tc>
          <w:tcPr>
            <w:tcW w:w="6521" w:type="dxa"/>
          </w:tcPr>
          <w:p w:rsidR="00727D6C" w:rsidP="003236CC" w:rsidRDefault="00727D6C" w14:paraId="47428A12" w14:textId="77777777">
            <w:r>
              <w:t>Bent u ervan overtuigd dat u een voldoende scherp oordeel kunt vellen over de zorg, als u uw onderzoek beperkt tot het deel dat vanuit de Rijksbegroting wordt gefinancierd?</w:t>
            </w:r>
          </w:p>
        </w:tc>
      </w:tr>
      <w:tr w:rsidR="00727D6C" w:rsidTr="00727D6C" w14:paraId="1F17C5C5" w14:textId="77777777">
        <w:tc>
          <w:tcPr>
            <w:tcW w:w="567" w:type="dxa"/>
          </w:tcPr>
          <w:p w:rsidR="00727D6C" w:rsidP="003236CC" w:rsidRDefault="00727D6C" w14:paraId="375CBB5D" w14:textId="77777777">
            <w:r>
              <w:t>9</w:t>
            </w:r>
          </w:p>
        </w:tc>
        <w:tc>
          <w:tcPr>
            <w:tcW w:w="6521" w:type="dxa"/>
          </w:tcPr>
          <w:p w:rsidR="00727D6C" w:rsidP="003236CC" w:rsidRDefault="00727D6C" w14:paraId="7B8CA092" w14:textId="77777777">
            <w:r>
              <w:t>Wat zou de regering volgens u kunnen doen om de grip van de Tweede Kamerleden op de resultaten van het IZA makkelijker te maken?</w:t>
            </w:r>
          </w:p>
        </w:tc>
      </w:tr>
      <w:tr w:rsidR="00727D6C" w:rsidTr="00727D6C" w14:paraId="0FE1967F" w14:textId="77777777">
        <w:tc>
          <w:tcPr>
            <w:tcW w:w="567" w:type="dxa"/>
          </w:tcPr>
          <w:p w:rsidR="00727D6C" w:rsidP="003236CC" w:rsidRDefault="00727D6C" w14:paraId="6E0ACC5D" w14:textId="77777777">
            <w:r>
              <w:lastRenderedPageBreak/>
              <w:t>10</w:t>
            </w:r>
          </w:p>
        </w:tc>
        <w:tc>
          <w:tcPr>
            <w:tcW w:w="6521" w:type="dxa"/>
          </w:tcPr>
          <w:p w:rsidR="00727D6C" w:rsidP="003236CC" w:rsidRDefault="00727D6C" w14:paraId="2F4EF5A9" w14:textId="77777777">
            <w:r>
              <w:t>Wat zou de minister volgens u kunnen doen om de controle op de verplichte voorraden te verbeteren?</w:t>
            </w:r>
          </w:p>
        </w:tc>
      </w:tr>
      <w:tr w:rsidR="00727D6C" w:rsidTr="00727D6C" w14:paraId="61A0FCAB" w14:textId="77777777">
        <w:tc>
          <w:tcPr>
            <w:tcW w:w="567" w:type="dxa"/>
          </w:tcPr>
          <w:p w:rsidR="00727D6C" w:rsidP="003236CC" w:rsidRDefault="00727D6C" w14:paraId="5C5747C6" w14:textId="77777777">
            <w:r>
              <w:t>11</w:t>
            </w:r>
          </w:p>
        </w:tc>
        <w:tc>
          <w:tcPr>
            <w:tcW w:w="6521" w:type="dxa"/>
          </w:tcPr>
          <w:p w:rsidR="00727D6C" w:rsidP="003236CC" w:rsidRDefault="00727D6C" w14:paraId="1B695544" w14:textId="77777777">
            <w:r>
              <w:t>Wat is de reden dat u zich maar op één maatregel richt bij het stuk over kortdurende leveringsproblemen?</w:t>
            </w:r>
          </w:p>
        </w:tc>
      </w:tr>
      <w:tr w:rsidR="00727D6C" w:rsidTr="00727D6C" w14:paraId="0DCD9736" w14:textId="77777777">
        <w:tc>
          <w:tcPr>
            <w:tcW w:w="567" w:type="dxa"/>
          </w:tcPr>
          <w:p w:rsidR="00727D6C" w:rsidP="003236CC" w:rsidRDefault="00727D6C" w14:paraId="780A15C4" w14:textId="77777777">
            <w:r>
              <w:t>12</w:t>
            </w:r>
          </w:p>
        </w:tc>
        <w:tc>
          <w:tcPr>
            <w:tcW w:w="6521" w:type="dxa"/>
          </w:tcPr>
          <w:p w:rsidR="00727D6C" w:rsidP="003236CC" w:rsidRDefault="00727D6C" w14:paraId="35F204C1" w14:textId="77777777">
            <w:r>
              <w:t>Wat is de reden dat u de maatregel tot voorraadverplichting wilt intensiveren als de conclusie is dat niet kan worden vastgesteld of dit werkt?</w:t>
            </w:r>
          </w:p>
        </w:tc>
      </w:tr>
      <w:tr w:rsidR="00727D6C" w:rsidTr="00727D6C" w14:paraId="4E862453" w14:textId="77777777">
        <w:tc>
          <w:tcPr>
            <w:tcW w:w="567" w:type="dxa"/>
          </w:tcPr>
          <w:p w:rsidR="00727D6C" w:rsidP="003236CC" w:rsidRDefault="00727D6C" w14:paraId="232EB53B" w14:textId="77777777">
            <w:r>
              <w:t>13</w:t>
            </w:r>
          </w:p>
        </w:tc>
        <w:tc>
          <w:tcPr>
            <w:tcW w:w="6521" w:type="dxa"/>
          </w:tcPr>
          <w:p w:rsidR="00727D6C" w:rsidP="003236CC" w:rsidRDefault="00727D6C" w14:paraId="51EB5E44" w14:textId="77777777">
            <w:r>
              <w:t>Was er geen nulmeting voor de voorraden van medicijnen voordat de medicijnenbuffermaatregel inging?</w:t>
            </w:r>
          </w:p>
        </w:tc>
      </w:tr>
      <w:tr w:rsidR="00727D6C" w:rsidTr="00727D6C" w14:paraId="74AFC6E8" w14:textId="77777777">
        <w:tc>
          <w:tcPr>
            <w:tcW w:w="567" w:type="dxa"/>
          </w:tcPr>
          <w:p w:rsidR="00727D6C" w:rsidP="003236CC" w:rsidRDefault="00727D6C" w14:paraId="0B2C5FCB" w14:textId="77777777">
            <w:r>
              <w:t>14</w:t>
            </w:r>
          </w:p>
        </w:tc>
        <w:tc>
          <w:tcPr>
            <w:tcW w:w="6521" w:type="dxa"/>
          </w:tcPr>
          <w:p w:rsidR="00727D6C" w:rsidP="003236CC" w:rsidRDefault="00727D6C" w14:paraId="4063A7D7" w14:textId="77777777">
            <w:r>
              <w:t>Wat kan de minister volgens u doen om de knelpunten bij het toezicht door de IGJ weg te nemen?</w:t>
            </w:r>
          </w:p>
        </w:tc>
      </w:tr>
      <w:tr w:rsidR="00727D6C" w:rsidTr="00727D6C" w14:paraId="6C00DA0B" w14:textId="77777777">
        <w:tc>
          <w:tcPr>
            <w:tcW w:w="567" w:type="dxa"/>
          </w:tcPr>
          <w:p w:rsidR="00727D6C" w:rsidP="003236CC" w:rsidRDefault="00727D6C" w14:paraId="166E99C3" w14:textId="77777777">
            <w:r>
              <w:t>15</w:t>
            </w:r>
          </w:p>
        </w:tc>
        <w:tc>
          <w:tcPr>
            <w:tcW w:w="6521" w:type="dxa"/>
          </w:tcPr>
          <w:p w:rsidR="00727D6C" w:rsidP="003236CC" w:rsidRDefault="00727D6C" w14:paraId="2C0D7B79" w14:textId="77777777">
            <w:r>
              <w:t>Heeft u inzichtelijk hoeveel extra fte de IGJ nodig heeft om de naleving van de voorraadverplichting te controleren? Is het ook inzichtelijk welke kosten hiermee gemoeid zijn?</w:t>
            </w:r>
          </w:p>
        </w:tc>
      </w:tr>
      <w:tr w:rsidR="00727D6C" w:rsidTr="00727D6C" w14:paraId="00AC69C9" w14:textId="77777777">
        <w:tc>
          <w:tcPr>
            <w:tcW w:w="567" w:type="dxa"/>
          </w:tcPr>
          <w:p w:rsidR="00727D6C" w:rsidP="003236CC" w:rsidRDefault="00727D6C" w14:paraId="77B9C64A" w14:textId="77777777">
            <w:r>
              <w:t>16</w:t>
            </w:r>
          </w:p>
        </w:tc>
        <w:tc>
          <w:tcPr>
            <w:tcW w:w="6521" w:type="dxa"/>
          </w:tcPr>
          <w:p w:rsidR="00727D6C" w:rsidP="003236CC" w:rsidRDefault="00727D6C" w14:paraId="2CF8ED1C" w14:textId="77777777">
            <w:r>
              <w:t>Wat is de reden dat u in het oordeel over de beleidsresultaten verwijst naar cijfers van Farmanco als eerder in het rapport wordt gezegd dat er twijfel is over de betrouwbaarheid van deze cijfers?</w:t>
            </w:r>
          </w:p>
        </w:tc>
      </w:tr>
      <w:tr w:rsidR="00727D6C" w:rsidTr="00727D6C" w14:paraId="7B85767C" w14:textId="77777777">
        <w:tc>
          <w:tcPr>
            <w:tcW w:w="567" w:type="dxa"/>
          </w:tcPr>
          <w:p w:rsidR="00727D6C" w:rsidP="003236CC" w:rsidRDefault="00727D6C" w14:paraId="716307AD" w14:textId="77777777">
            <w:r>
              <w:t>17</w:t>
            </w:r>
          </w:p>
        </w:tc>
        <w:tc>
          <w:tcPr>
            <w:tcW w:w="6521" w:type="dxa"/>
          </w:tcPr>
          <w:p w:rsidR="00727D6C" w:rsidP="003236CC" w:rsidRDefault="00727D6C" w14:paraId="7F2A78DF" w14:textId="77777777">
            <w:r>
              <w:t>In hoeverre is aanbeveling 1 nog nodig als aanbeveling 2 en 3 goed worden opgevolgd en uitgevoerd?</w:t>
            </w:r>
          </w:p>
        </w:tc>
      </w:tr>
      <w:tr w:rsidR="00727D6C" w:rsidTr="00727D6C" w14:paraId="4185993F" w14:textId="77777777">
        <w:tc>
          <w:tcPr>
            <w:tcW w:w="567" w:type="dxa"/>
          </w:tcPr>
          <w:p w:rsidR="00727D6C" w:rsidP="003236CC" w:rsidRDefault="00727D6C" w14:paraId="4A1F640A" w14:textId="77777777">
            <w:r>
              <w:t>18</w:t>
            </w:r>
          </w:p>
        </w:tc>
        <w:tc>
          <w:tcPr>
            <w:tcW w:w="6521" w:type="dxa"/>
          </w:tcPr>
          <w:p w:rsidR="00727D6C" w:rsidP="003236CC" w:rsidRDefault="00727D6C" w14:paraId="314DAA2D" w14:textId="77777777">
            <w:r>
              <w:t>Kunt u aangeven wat de verwachte regeldruk is bij de drie aanbevelingen met betrekking tot de voorraadverplichting/medicijntekorten?</w:t>
            </w:r>
          </w:p>
        </w:tc>
      </w:tr>
      <w:tr w:rsidR="00727D6C" w:rsidTr="00727D6C" w14:paraId="132E0033" w14:textId="77777777">
        <w:tc>
          <w:tcPr>
            <w:tcW w:w="567" w:type="dxa"/>
          </w:tcPr>
          <w:p w:rsidR="00727D6C" w:rsidP="003236CC" w:rsidRDefault="00727D6C" w14:paraId="3D54EA24" w14:textId="77777777">
            <w:r>
              <w:t>19</w:t>
            </w:r>
          </w:p>
        </w:tc>
        <w:tc>
          <w:tcPr>
            <w:tcW w:w="6521" w:type="dxa"/>
          </w:tcPr>
          <w:p w:rsidR="00727D6C" w:rsidP="003236CC" w:rsidRDefault="00727D6C" w14:paraId="7DA74243" w14:textId="77777777">
            <w:r>
              <w:t>Op welk punt loopt het naar uw inschatting vast bij het realiseren van voldoende ouderenwoningen?</w:t>
            </w:r>
          </w:p>
        </w:tc>
      </w:tr>
      <w:tr w:rsidR="00727D6C" w:rsidTr="00727D6C" w14:paraId="4F8D121D" w14:textId="77777777">
        <w:tc>
          <w:tcPr>
            <w:tcW w:w="567" w:type="dxa"/>
          </w:tcPr>
          <w:p w:rsidR="00727D6C" w:rsidP="003236CC" w:rsidRDefault="00727D6C" w14:paraId="66CA56E1" w14:textId="77777777">
            <w:r>
              <w:t>20</w:t>
            </w:r>
          </w:p>
        </w:tc>
        <w:tc>
          <w:tcPr>
            <w:tcW w:w="6521" w:type="dxa"/>
          </w:tcPr>
          <w:p w:rsidR="00727D6C" w:rsidP="003236CC" w:rsidRDefault="00727D6C" w14:paraId="7B73D1F9" w14:textId="77777777">
            <w:r>
              <w:t>Welke stappen zou het kabinet volgens u kunnen of moeten zetten om wel voldoende ouderenwoningen te kunnen realiseren?</w:t>
            </w:r>
          </w:p>
        </w:tc>
      </w:tr>
      <w:tr w:rsidR="00727D6C" w:rsidTr="00727D6C" w14:paraId="137E268A" w14:textId="77777777">
        <w:tc>
          <w:tcPr>
            <w:tcW w:w="567" w:type="dxa"/>
          </w:tcPr>
          <w:p w:rsidR="00727D6C" w:rsidP="003236CC" w:rsidRDefault="00727D6C" w14:paraId="71FCCE6E" w14:textId="77777777">
            <w:r>
              <w:t>21</w:t>
            </w:r>
          </w:p>
        </w:tc>
        <w:tc>
          <w:tcPr>
            <w:tcW w:w="6521" w:type="dxa"/>
          </w:tcPr>
          <w:p w:rsidR="00727D6C" w:rsidP="003236CC" w:rsidRDefault="00727D6C" w14:paraId="0A884162" w14:textId="77777777">
            <w:r>
              <w:t>Zou u nader kunnen toelichten op basis waarvan de conclusie wordt getrokken dat het niet aannemelijk is dat de doelen met betrekking tot ouderenhuisvesting gehaald zullen worden?</w:t>
            </w:r>
          </w:p>
        </w:tc>
      </w:tr>
      <w:tr w:rsidR="00727D6C" w:rsidTr="00727D6C" w14:paraId="3A68C72A" w14:textId="77777777">
        <w:tc>
          <w:tcPr>
            <w:tcW w:w="567" w:type="dxa"/>
          </w:tcPr>
          <w:p w:rsidR="00727D6C" w:rsidP="003236CC" w:rsidRDefault="00727D6C" w14:paraId="69992A36" w14:textId="77777777">
            <w:r>
              <w:t>22</w:t>
            </w:r>
          </w:p>
        </w:tc>
        <w:tc>
          <w:tcPr>
            <w:tcW w:w="6521" w:type="dxa"/>
          </w:tcPr>
          <w:p w:rsidR="00727D6C" w:rsidP="003236CC" w:rsidRDefault="00727D6C" w14:paraId="33F54EA8" w14:textId="77777777">
            <w:r>
              <w:t>Zijn de conclusies en aanbevelingen uit het rekenkameronderzoek Georganiseerde Onmacht uit 2023 door het vorige kabinet en dit kabinet volgens u opgevolgd? Zo niet, welke wel en welke niet?</w:t>
            </w:r>
          </w:p>
        </w:tc>
      </w:tr>
      <w:tr w:rsidR="00727D6C" w:rsidTr="00727D6C" w14:paraId="316799C2" w14:textId="77777777">
        <w:tc>
          <w:tcPr>
            <w:tcW w:w="567" w:type="dxa"/>
          </w:tcPr>
          <w:p w:rsidR="00727D6C" w:rsidP="003236CC" w:rsidRDefault="00727D6C" w14:paraId="60AD6382" w14:textId="77777777">
            <w:r>
              <w:t>23</w:t>
            </w:r>
          </w:p>
        </w:tc>
        <w:tc>
          <w:tcPr>
            <w:tcW w:w="6521" w:type="dxa"/>
          </w:tcPr>
          <w:p w:rsidR="00727D6C" w:rsidP="003236CC" w:rsidRDefault="00727D6C" w14:paraId="76CF567A" w14:textId="77777777">
            <w:r>
              <w:t>Ziet u verbetering in het jeugdbeschermingsstelsel sinds het uitkomen van het rekenkamerrapport Georganiseerde Onmacht uit 2023?</w:t>
            </w:r>
          </w:p>
        </w:tc>
      </w:tr>
      <w:tr w:rsidR="00727D6C" w:rsidTr="00727D6C" w14:paraId="12802AAB" w14:textId="77777777">
        <w:tc>
          <w:tcPr>
            <w:tcW w:w="567" w:type="dxa"/>
          </w:tcPr>
          <w:p w:rsidR="00727D6C" w:rsidP="003236CC" w:rsidRDefault="00727D6C" w14:paraId="6E8280F0" w14:textId="77777777">
            <w:r>
              <w:t>24</w:t>
            </w:r>
          </w:p>
        </w:tc>
        <w:tc>
          <w:tcPr>
            <w:tcW w:w="6521" w:type="dxa"/>
          </w:tcPr>
          <w:p w:rsidR="00727D6C" w:rsidP="003236CC" w:rsidRDefault="00727D6C" w14:paraId="1F9972BF" w14:textId="77777777">
            <w:r>
              <w:t xml:space="preserve">Wat zijn volgens u de financiële consequenties wanneer besloten zou worden het hele project PALLAS te beëindigen en wilt u bij uw antwoord een uiteenzetting van gedane kosten, kosten die gemaakt </w:t>
            </w:r>
            <w:r>
              <w:lastRenderedPageBreak/>
              <w:t>moeten worden om te kunnen stoppen en ook besparingen hierdoor willen opnemen?</w:t>
            </w:r>
          </w:p>
        </w:tc>
      </w:tr>
      <w:tr w:rsidR="00727D6C" w:rsidTr="00727D6C" w14:paraId="03B56CF3" w14:textId="77777777">
        <w:tc>
          <w:tcPr>
            <w:tcW w:w="567" w:type="dxa"/>
          </w:tcPr>
          <w:p w:rsidR="00727D6C" w:rsidP="003236CC" w:rsidRDefault="00727D6C" w14:paraId="59F18FC0" w14:textId="77777777">
            <w:r>
              <w:lastRenderedPageBreak/>
              <w:t>25</w:t>
            </w:r>
          </w:p>
        </w:tc>
        <w:tc>
          <w:tcPr>
            <w:tcW w:w="6521" w:type="dxa"/>
          </w:tcPr>
          <w:p w:rsidR="00727D6C" w:rsidP="003236CC" w:rsidRDefault="00727D6C" w14:paraId="2324AA58" w14:textId="77777777">
            <w:r>
              <w:t>Wat zijn volgens u de risico’s van het ontbreken van een businesscase in het project PALLAS?</w:t>
            </w:r>
          </w:p>
        </w:tc>
      </w:tr>
      <w:tr w:rsidR="00727D6C" w:rsidTr="00727D6C" w14:paraId="0305F6B9" w14:textId="77777777">
        <w:tc>
          <w:tcPr>
            <w:tcW w:w="567" w:type="dxa"/>
          </w:tcPr>
          <w:p w:rsidR="00727D6C" w:rsidP="003236CC" w:rsidRDefault="00727D6C" w14:paraId="62216823" w14:textId="77777777">
            <w:r>
              <w:t>26</w:t>
            </w:r>
          </w:p>
        </w:tc>
        <w:tc>
          <w:tcPr>
            <w:tcW w:w="6521" w:type="dxa"/>
          </w:tcPr>
          <w:p w:rsidR="00727D6C" w:rsidP="003236CC" w:rsidRDefault="00727D6C" w14:paraId="36A4F9F5" w14:textId="77777777">
            <w:r>
              <w:t>Is er mogelijkheid om alsnog helder te krijgen waar dubbelfinanciering heeft plaatsgevonden en in voorkomend geval het geld terug te vorderen naar de begroting van het ministerie van VWS, aangaande de afgerekende voorschotten die tot een onzekerheid van €227,5 miljoen zorgen?</w:t>
            </w:r>
          </w:p>
        </w:tc>
      </w:tr>
      <w:tr w:rsidR="00727D6C" w:rsidTr="00727D6C" w14:paraId="7B3D3A68" w14:textId="77777777">
        <w:tc>
          <w:tcPr>
            <w:tcW w:w="567" w:type="dxa"/>
          </w:tcPr>
          <w:p w:rsidR="00727D6C" w:rsidP="003236CC" w:rsidRDefault="00727D6C" w14:paraId="16D6B9C0" w14:textId="77777777">
            <w:r>
              <w:t>27</w:t>
            </w:r>
          </w:p>
        </w:tc>
        <w:tc>
          <w:tcPr>
            <w:tcW w:w="6521" w:type="dxa"/>
          </w:tcPr>
          <w:p w:rsidR="00727D6C" w:rsidP="003236CC" w:rsidRDefault="00727D6C" w14:paraId="46A0CA7A" w14:textId="77777777">
            <w:r>
              <w:t>Kan ervoor gezorgd worden dat wanneer er toeslagen verstrekt worden en de aanvrager een toeslagenpartner opgeeft, die niet uit andere registraties blijkt of door recente wijzigingen in de gezinssamenstelling, dit eerst door aanvrager wordt aangetoond alvorens de toeslagen te verstrekken? Zo nee, waarom niet?</w:t>
            </w:r>
          </w:p>
        </w:tc>
      </w:tr>
      <w:tr w:rsidR="00727D6C" w:rsidTr="00727D6C" w14:paraId="7C6480B8" w14:textId="77777777">
        <w:tc>
          <w:tcPr>
            <w:tcW w:w="567" w:type="dxa"/>
          </w:tcPr>
          <w:p w:rsidR="00727D6C" w:rsidP="003236CC" w:rsidRDefault="00727D6C" w14:paraId="76F6A6B5" w14:textId="77777777">
            <w:r>
              <w:t>28</w:t>
            </w:r>
          </w:p>
        </w:tc>
        <w:tc>
          <w:tcPr>
            <w:tcW w:w="6521" w:type="dxa"/>
          </w:tcPr>
          <w:p w:rsidR="00727D6C" w:rsidP="003236CC" w:rsidRDefault="00727D6C" w14:paraId="6F666291" w14:textId="77777777">
            <w:r>
              <w:t>Wat zijn de consequenties voor de agentschappen die de aanbestedingen niet volgens de regels hebben aangevraagd? Worden deze fouten rechtgezet en betaalt het I&amp;W bijvoorbeeld de fout bij het RIVM terug, of laat men het erbij? Zo ja, waarom?</w:t>
            </w:r>
          </w:p>
        </w:tc>
      </w:tr>
    </w:tbl>
    <w:p w:rsidR="00727D6C" w:rsidP="00727D6C" w:rsidRDefault="00727D6C" w14:paraId="36AB1A9D" w14:textId="77777777">
      <w:bookmarkStart w:name="bmkStartTabel" w:id="0"/>
      <w:bookmarkEnd w:id="0"/>
    </w:p>
    <w:p w:rsidR="00EC711E" w:rsidRDefault="00EC711E" w14:paraId="5D28D7F8" w14:textId="77777777"/>
    <w:sectPr w:rsidR="00EC711E" w:rsidSect="00727D6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F27A" w14:textId="77777777" w:rsidR="00727D6C" w:rsidRDefault="00727D6C" w:rsidP="00727D6C">
      <w:pPr>
        <w:spacing w:after="0" w:line="240" w:lineRule="auto"/>
      </w:pPr>
      <w:r>
        <w:separator/>
      </w:r>
    </w:p>
  </w:endnote>
  <w:endnote w:type="continuationSeparator" w:id="0">
    <w:p w14:paraId="3BE64E42" w14:textId="77777777" w:rsidR="00727D6C" w:rsidRDefault="00727D6C" w:rsidP="0072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E949" w14:textId="77777777" w:rsidR="00727D6C" w:rsidRPr="00727D6C" w:rsidRDefault="00727D6C" w:rsidP="00727D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4FC8" w14:textId="77777777" w:rsidR="00727D6C" w:rsidRPr="00727D6C" w:rsidRDefault="00727D6C" w:rsidP="00727D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D7ED" w14:textId="77777777" w:rsidR="00727D6C" w:rsidRPr="00727D6C" w:rsidRDefault="00727D6C" w:rsidP="00727D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3CA6" w14:textId="77777777" w:rsidR="00727D6C" w:rsidRDefault="00727D6C" w:rsidP="00727D6C">
      <w:pPr>
        <w:spacing w:after="0" w:line="240" w:lineRule="auto"/>
      </w:pPr>
      <w:r>
        <w:separator/>
      </w:r>
    </w:p>
  </w:footnote>
  <w:footnote w:type="continuationSeparator" w:id="0">
    <w:p w14:paraId="6ED5EAFB" w14:textId="77777777" w:rsidR="00727D6C" w:rsidRDefault="00727D6C" w:rsidP="00727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60A4" w14:textId="77777777" w:rsidR="00727D6C" w:rsidRPr="00727D6C" w:rsidRDefault="00727D6C" w:rsidP="00727D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064C" w14:textId="77777777" w:rsidR="00727D6C" w:rsidRPr="00727D6C" w:rsidRDefault="00727D6C" w:rsidP="00727D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4DFD" w14:textId="77777777" w:rsidR="00727D6C" w:rsidRPr="00727D6C" w:rsidRDefault="00727D6C" w:rsidP="00727D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6C"/>
    <w:rsid w:val="00566ABE"/>
    <w:rsid w:val="00727D6C"/>
    <w:rsid w:val="00795D31"/>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47B7"/>
  <w15:chartTrackingRefBased/>
  <w15:docId w15:val="{8529E7D0-5D35-4264-991A-F8958209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7D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7D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7D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7D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7D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7D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7D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7D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7D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7D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7D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7D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7D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7D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7D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7D6C"/>
    <w:rPr>
      <w:rFonts w:eastAsiaTheme="majorEastAsia" w:cstheme="majorBidi"/>
      <w:color w:val="272727" w:themeColor="text1" w:themeTint="D8"/>
    </w:rPr>
  </w:style>
  <w:style w:type="paragraph" w:styleId="Titel">
    <w:name w:val="Title"/>
    <w:basedOn w:val="Standaard"/>
    <w:next w:val="Standaard"/>
    <w:link w:val="TitelChar"/>
    <w:uiPriority w:val="10"/>
    <w:qFormat/>
    <w:rsid w:val="0072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7D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7D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7D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7D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7D6C"/>
    <w:rPr>
      <w:i/>
      <w:iCs/>
      <w:color w:val="404040" w:themeColor="text1" w:themeTint="BF"/>
    </w:rPr>
  </w:style>
  <w:style w:type="paragraph" w:styleId="Lijstalinea">
    <w:name w:val="List Paragraph"/>
    <w:basedOn w:val="Standaard"/>
    <w:uiPriority w:val="34"/>
    <w:qFormat/>
    <w:rsid w:val="00727D6C"/>
    <w:pPr>
      <w:ind w:left="720"/>
      <w:contextualSpacing/>
    </w:pPr>
  </w:style>
  <w:style w:type="character" w:styleId="Intensievebenadrukking">
    <w:name w:val="Intense Emphasis"/>
    <w:basedOn w:val="Standaardalinea-lettertype"/>
    <w:uiPriority w:val="21"/>
    <w:qFormat/>
    <w:rsid w:val="00727D6C"/>
    <w:rPr>
      <w:i/>
      <w:iCs/>
      <w:color w:val="0F4761" w:themeColor="accent1" w:themeShade="BF"/>
    </w:rPr>
  </w:style>
  <w:style w:type="paragraph" w:styleId="Duidelijkcitaat">
    <w:name w:val="Intense Quote"/>
    <w:basedOn w:val="Standaard"/>
    <w:next w:val="Standaard"/>
    <w:link w:val="DuidelijkcitaatChar"/>
    <w:uiPriority w:val="30"/>
    <w:qFormat/>
    <w:rsid w:val="0072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7D6C"/>
    <w:rPr>
      <w:i/>
      <w:iCs/>
      <w:color w:val="0F4761" w:themeColor="accent1" w:themeShade="BF"/>
    </w:rPr>
  </w:style>
  <w:style w:type="character" w:styleId="Intensieveverwijzing">
    <w:name w:val="Intense Reference"/>
    <w:basedOn w:val="Standaardalinea-lettertype"/>
    <w:uiPriority w:val="32"/>
    <w:qFormat/>
    <w:rsid w:val="00727D6C"/>
    <w:rPr>
      <w:b/>
      <w:bCs/>
      <w:smallCaps/>
      <w:color w:val="0F4761" w:themeColor="accent1" w:themeShade="BF"/>
      <w:spacing w:val="5"/>
    </w:rPr>
  </w:style>
  <w:style w:type="paragraph" w:styleId="Koptekst">
    <w:name w:val="header"/>
    <w:basedOn w:val="Standaard"/>
    <w:link w:val="KoptekstChar"/>
    <w:uiPriority w:val="99"/>
    <w:unhideWhenUsed/>
    <w:rsid w:val="00727D6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27D6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27D6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27D6C"/>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780</ap:Words>
  <ap:Characters>4291</ap:Characters>
  <ap:DocSecurity>0</ap:DocSecurity>
  <ap:Lines>35</ap:Lines>
  <ap:Paragraphs>10</ap:Paragraphs>
  <ap:ScaleCrop>false</ap:ScaleCrop>
  <ap:LinksUpToDate>false</ap:LinksUpToDate>
  <ap:CharactersWithSpaces>5061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2025-06-03T08:17:00.0000000Z</dcterms:created>
  <dcterms:modified xsi:type="dcterms:W3CDTF">2025-06-03T08:18:00.0000000Z</dcterms:modified>
  <version/>
  <category/>
</coreProperties>
</file>