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29E" w:rsidP="0083329E" w:rsidRDefault="0083329E" w14:paraId="139BD66A" w14:textId="77777777">
      <w:pPr>
        <w:rPr>
          <w:b/>
        </w:rPr>
      </w:pPr>
      <w:r>
        <w:rPr>
          <w:b/>
        </w:rPr>
        <w:t>Lijst van vragen</w:t>
      </w:r>
    </w:p>
    <w:p w:rsidR="0083329E" w:rsidP="0083329E" w:rsidRDefault="0083329E" w14:paraId="4D8550BE" w14:textId="7CE4B04A">
      <w:r>
        <w:t xml:space="preserve">De vaste commissie voor </w:t>
      </w:r>
      <w:r w:rsidRPr="007C7472">
        <w:t>Infrastructuur en Waterstaat heeft een aantal vragen voorgelegd aan de minister van Infrastructuur en Waterstaat over het Jaarverslag Mobiliteitsfonds 2024 (Kamerstuk 36740-A, nr. 1).</w:t>
      </w:r>
    </w:p>
    <w:p w:rsidR="0083329E" w:rsidP="0083329E" w:rsidRDefault="0083329E" w14:paraId="70CEAB6F" w14:textId="1CDCADB3">
      <w:pPr>
        <w:spacing w:after="0"/>
      </w:pPr>
      <w:r>
        <w:t>De v</w:t>
      </w:r>
      <w:r>
        <w:t xml:space="preserve">oorzitter van de commissie, </w:t>
      </w:r>
    </w:p>
    <w:p w:rsidR="0083329E" w:rsidP="0083329E" w:rsidRDefault="0083329E" w14:paraId="4393A97A" w14:textId="7E0F0D06">
      <w:pPr>
        <w:spacing w:after="0"/>
      </w:pPr>
      <w:r>
        <w:t>Peter de Groot</w:t>
      </w:r>
    </w:p>
    <w:p w:rsidR="0083329E" w:rsidP="0083329E" w:rsidRDefault="0083329E" w14:paraId="12D97362" w14:textId="77777777">
      <w:pPr>
        <w:spacing w:after="0"/>
      </w:pPr>
      <w:r>
        <w:tab/>
      </w:r>
      <w:r>
        <w:tab/>
      </w:r>
    </w:p>
    <w:p w:rsidR="0083329E" w:rsidP="0083329E" w:rsidRDefault="0083329E" w14:paraId="3B2C23B6" w14:textId="09B4F5D4">
      <w:pPr>
        <w:spacing w:after="0"/>
      </w:pPr>
      <w:r>
        <w:t>De g</w:t>
      </w:r>
      <w:r>
        <w:t>riffier van de commissie,</w:t>
      </w:r>
    </w:p>
    <w:p w:rsidR="0083329E" w:rsidP="0083329E" w:rsidRDefault="0083329E" w14:paraId="2762BDEF" w14:textId="17BEE06E">
      <w:pPr>
        <w:spacing w:after="0"/>
      </w:pPr>
      <w:proofErr w:type="spellStart"/>
      <w:r>
        <w:t>Schukkink</w:t>
      </w:r>
      <w:proofErr w:type="spellEnd"/>
    </w:p>
    <w:p w:rsidR="0083329E" w:rsidP="0083329E" w:rsidRDefault="0083329E" w14:paraId="121D31E0" w14:textId="77777777"/>
    <w:tbl>
      <w:tblPr>
        <w:tblW w:w="7088" w:type="dxa"/>
        <w:tblLayout w:type="fixed"/>
        <w:tblCellMar>
          <w:left w:w="0" w:type="dxa"/>
          <w:right w:w="0" w:type="dxa"/>
        </w:tblCellMar>
        <w:tblLook w:val="0000" w:firstRow="0" w:lastRow="0" w:firstColumn="0" w:lastColumn="0" w:noHBand="0" w:noVBand="0"/>
      </w:tblPr>
      <w:tblGrid>
        <w:gridCol w:w="709"/>
        <w:gridCol w:w="6379"/>
      </w:tblGrid>
      <w:tr w:rsidRPr="007C7472" w:rsidR="0083329E" w:rsidTr="0083329E" w14:paraId="5E6DCE2F" w14:textId="77777777">
        <w:trPr>
          <w:cantSplit/>
        </w:trPr>
        <w:tc>
          <w:tcPr>
            <w:tcW w:w="709" w:type="dxa"/>
          </w:tcPr>
          <w:p w:rsidRPr="007C7472" w:rsidR="0083329E" w:rsidP="004C1A22" w:rsidRDefault="0083329E" w14:paraId="050F0CC2" w14:textId="77777777">
            <w:pPr>
              <w:rPr>
                <w:b/>
                <w:bCs/>
              </w:rPr>
            </w:pPr>
            <w:bookmarkStart w:name="bmkStartTabel" w:id="0"/>
            <w:bookmarkEnd w:id="0"/>
            <w:proofErr w:type="spellStart"/>
            <w:r w:rsidRPr="007C7472">
              <w:rPr>
                <w:b/>
                <w:bCs/>
              </w:rPr>
              <w:t>Nr</w:t>
            </w:r>
            <w:proofErr w:type="spellEnd"/>
          </w:p>
        </w:tc>
        <w:tc>
          <w:tcPr>
            <w:tcW w:w="6379" w:type="dxa"/>
          </w:tcPr>
          <w:p w:rsidRPr="007C7472" w:rsidR="0083329E" w:rsidP="004C1A22" w:rsidRDefault="0083329E" w14:paraId="2D6932AA" w14:textId="77777777">
            <w:pPr>
              <w:rPr>
                <w:b/>
                <w:bCs/>
              </w:rPr>
            </w:pPr>
            <w:r w:rsidRPr="007C7472">
              <w:rPr>
                <w:b/>
                <w:bCs/>
              </w:rPr>
              <w:t>Vraag</w:t>
            </w:r>
          </w:p>
        </w:tc>
      </w:tr>
      <w:tr w:rsidR="0083329E" w:rsidTr="0083329E" w14:paraId="029D1C08" w14:textId="77777777">
        <w:tc>
          <w:tcPr>
            <w:tcW w:w="709" w:type="dxa"/>
          </w:tcPr>
          <w:p w:rsidR="0083329E" w:rsidP="0083329E" w:rsidRDefault="0083329E" w14:paraId="358BDC08" w14:textId="77777777">
            <w:pPr>
              <w:pStyle w:val="Lijstalinea"/>
              <w:numPr>
                <w:ilvl w:val="0"/>
                <w:numId w:val="1"/>
              </w:numPr>
              <w:spacing w:before="60" w:after="60" w:line="240" w:lineRule="auto"/>
            </w:pPr>
          </w:p>
        </w:tc>
        <w:tc>
          <w:tcPr>
            <w:tcW w:w="6379" w:type="dxa"/>
          </w:tcPr>
          <w:p w:rsidR="0083329E" w:rsidP="004C1A22" w:rsidRDefault="0083329E" w14:paraId="5184FB84" w14:textId="77777777">
            <w:r>
              <w:t>Hoeveel kilometer aan nieuwe wegen is er het afgelopen jaar aangelegd?</w:t>
            </w:r>
          </w:p>
        </w:tc>
      </w:tr>
      <w:tr w:rsidR="0083329E" w:rsidTr="0083329E" w14:paraId="5051B727" w14:textId="77777777">
        <w:tc>
          <w:tcPr>
            <w:tcW w:w="709" w:type="dxa"/>
          </w:tcPr>
          <w:p w:rsidR="0083329E" w:rsidP="0083329E" w:rsidRDefault="0083329E" w14:paraId="60490126" w14:textId="77777777">
            <w:pPr>
              <w:pStyle w:val="Lijstalinea"/>
              <w:numPr>
                <w:ilvl w:val="0"/>
                <w:numId w:val="1"/>
              </w:numPr>
              <w:spacing w:before="60" w:after="60" w:line="240" w:lineRule="auto"/>
            </w:pPr>
          </w:p>
        </w:tc>
        <w:tc>
          <w:tcPr>
            <w:tcW w:w="6379" w:type="dxa"/>
          </w:tcPr>
          <w:p w:rsidR="0083329E" w:rsidP="004C1A22" w:rsidRDefault="0083329E" w14:paraId="6BBDE905" w14:textId="77777777">
            <w:r>
              <w:t xml:space="preserve">Welke lokale mitigerende maatregelen zijn het afgelopen jaar gerealiseerd om de gevolgen van de gepauzeerde </w:t>
            </w:r>
            <w:r w:rsidRPr="009D5C37">
              <w:t xml:space="preserve">Meerjarenprogramma Infrastructuur, Ruimte en Transport </w:t>
            </w:r>
            <w:r>
              <w:t>(MIRT)-projecten op te vangen?</w:t>
            </w:r>
          </w:p>
        </w:tc>
      </w:tr>
      <w:tr w:rsidR="0083329E" w:rsidTr="0083329E" w14:paraId="26B4C104" w14:textId="77777777">
        <w:tc>
          <w:tcPr>
            <w:tcW w:w="709" w:type="dxa"/>
          </w:tcPr>
          <w:p w:rsidR="0083329E" w:rsidP="0083329E" w:rsidRDefault="0083329E" w14:paraId="69EC20DE" w14:textId="77777777">
            <w:pPr>
              <w:pStyle w:val="Lijstalinea"/>
              <w:numPr>
                <w:ilvl w:val="0"/>
                <w:numId w:val="1"/>
              </w:numPr>
              <w:spacing w:before="60" w:after="60" w:line="240" w:lineRule="auto"/>
            </w:pPr>
          </w:p>
        </w:tc>
        <w:tc>
          <w:tcPr>
            <w:tcW w:w="6379" w:type="dxa"/>
          </w:tcPr>
          <w:p w:rsidR="0083329E" w:rsidP="004C1A22" w:rsidRDefault="0083329E" w14:paraId="22B5CC5A" w14:textId="77777777">
            <w:r>
              <w:t>Hoeveel geld is er het afgelopen jaar naar N-wegen gegaan? Kunt u een specificatie aanleveren met de bedragen per N-weg en de bijbehorende maatregelen?</w:t>
            </w:r>
          </w:p>
        </w:tc>
      </w:tr>
      <w:tr w:rsidR="0083329E" w:rsidTr="0083329E" w14:paraId="6CEB05A5" w14:textId="77777777">
        <w:tc>
          <w:tcPr>
            <w:tcW w:w="709" w:type="dxa"/>
          </w:tcPr>
          <w:p w:rsidR="0083329E" w:rsidP="0083329E" w:rsidRDefault="0083329E" w14:paraId="7F5D746A" w14:textId="77777777">
            <w:pPr>
              <w:pStyle w:val="Lijstalinea"/>
              <w:numPr>
                <w:ilvl w:val="0"/>
                <w:numId w:val="1"/>
              </w:numPr>
              <w:spacing w:before="60" w:after="60" w:line="240" w:lineRule="auto"/>
            </w:pPr>
          </w:p>
        </w:tc>
        <w:tc>
          <w:tcPr>
            <w:tcW w:w="6379" w:type="dxa"/>
          </w:tcPr>
          <w:p w:rsidR="0083329E" w:rsidP="004C1A22" w:rsidRDefault="0083329E" w14:paraId="3F480F07" w14:textId="77777777">
            <w:r>
              <w:t>Zijn er in 2024 geplande wegaanlegprojecten niet doorgegaan? Zo ja, welke zijn dit en waarom?</w:t>
            </w:r>
          </w:p>
        </w:tc>
      </w:tr>
      <w:tr w:rsidR="0083329E" w:rsidTr="0083329E" w14:paraId="1338D57D" w14:textId="77777777">
        <w:tc>
          <w:tcPr>
            <w:tcW w:w="709" w:type="dxa"/>
          </w:tcPr>
          <w:p w:rsidR="0083329E" w:rsidP="0083329E" w:rsidRDefault="0083329E" w14:paraId="0F4484DA" w14:textId="77777777">
            <w:pPr>
              <w:pStyle w:val="Lijstalinea"/>
              <w:numPr>
                <w:ilvl w:val="0"/>
                <w:numId w:val="1"/>
              </w:numPr>
              <w:spacing w:before="60" w:after="60" w:line="240" w:lineRule="auto"/>
            </w:pPr>
          </w:p>
        </w:tc>
        <w:tc>
          <w:tcPr>
            <w:tcW w:w="6379" w:type="dxa"/>
          </w:tcPr>
          <w:p w:rsidR="0083329E" w:rsidP="004C1A22" w:rsidRDefault="0083329E" w14:paraId="52A9670D" w14:textId="77777777">
            <w:r>
              <w:t xml:space="preserve">Welke concrete maatregelen zijn bij de Kustwacht doorgevoerd na de brand op de </w:t>
            </w:r>
            <w:proofErr w:type="spellStart"/>
            <w:r>
              <w:t>Fremantle</w:t>
            </w:r>
            <w:proofErr w:type="spellEnd"/>
            <w:r>
              <w:t xml:space="preserve"> Highway?</w:t>
            </w:r>
          </w:p>
        </w:tc>
      </w:tr>
      <w:tr w:rsidR="0083329E" w:rsidTr="0083329E" w14:paraId="76A44BF5" w14:textId="77777777">
        <w:tc>
          <w:tcPr>
            <w:tcW w:w="709" w:type="dxa"/>
          </w:tcPr>
          <w:p w:rsidR="0083329E" w:rsidP="0083329E" w:rsidRDefault="0083329E" w14:paraId="0662E4DF" w14:textId="77777777">
            <w:pPr>
              <w:pStyle w:val="Lijstalinea"/>
              <w:numPr>
                <w:ilvl w:val="0"/>
                <w:numId w:val="1"/>
              </w:numPr>
              <w:spacing w:before="60" w:after="60" w:line="240" w:lineRule="auto"/>
            </w:pPr>
          </w:p>
        </w:tc>
        <w:tc>
          <w:tcPr>
            <w:tcW w:w="6379" w:type="dxa"/>
          </w:tcPr>
          <w:p w:rsidR="0083329E" w:rsidP="004C1A22" w:rsidRDefault="0083329E" w14:paraId="1AF2E4EE" w14:textId="77777777">
            <w:r>
              <w:t xml:space="preserve">Hoe duur is de gehele campagne </w:t>
            </w:r>
            <w:proofErr w:type="spellStart"/>
            <w:r>
              <w:t>Spitsmijden</w:t>
            </w:r>
            <w:proofErr w:type="spellEnd"/>
            <w:r>
              <w:t xml:space="preserve"> en wat zijn de effecten?</w:t>
            </w:r>
          </w:p>
        </w:tc>
      </w:tr>
      <w:tr w:rsidR="0083329E" w:rsidTr="0083329E" w14:paraId="2B00505E" w14:textId="77777777">
        <w:tc>
          <w:tcPr>
            <w:tcW w:w="709" w:type="dxa"/>
          </w:tcPr>
          <w:p w:rsidR="0083329E" w:rsidP="0083329E" w:rsidRDefault="0083329E" w14:paraId="1802F0AA" w14:textId="77777777">
            <w:pPr>
              <w:pStyle w:val="Lijstalinea"/>
              <w:numPr>
                <w:ilvl w:val="0"/>
                <w:numId w:val="1"/>
              </w:numPr>
              <w:spacing w:before="60" w:after="60" w:line="240" w:lineRule="auto"/>
            </w:pPr>
          </w:p>
        </w:tc>
        <w:tc>
          <w:tcPr>
            <w:tcW w:w="6379" w:type="dxa"/>
          </w:tcPr>
          <w:p w:rsidR="0083329E" w:rsidP="004C1A22" w:rsidRDefault="0083329E" w14:paraId="43D76A92" w14:textId="77777777">
            <w:r>
              <w:t xml:space="preserve">Is er sprake van </w:t>
            </w:r>
            <w:proofErr w:type="spellStart"/>
            <w:r>
              <w:t>onderuitputting</w:t>
            </w:r>
            <w:proofErr w:type="spellEnd"/>
            <w:r>
              <w:t>, zo ja, hoeveel en welk bedrag is vrij besteedbaar?</w:t>
            </w:r>
          </w:p>
        </w:tc>
      </w:tr>
      <w:tr w:rsidR="0083329E" w:rsidTr="0083329E" w14:paraId="716E9BD0" w14:textId="77777777">
        <w:tc>
          <w:tcPr>
            <w:tcW w:w="709" w:type="dxa"/>
          </w:tcPr>
          <w:p w:rsidR="0083329E" w:rsidP="0083329E" w:rsidRDefault="0083329E" w14:paraId="4617F1E7" w14:textId="77777777">
            <w:pPr>
              <w:pStyle w:val="Lijstalinea"/>
              <w:numPr>
                <w:ilvl w:val="0"/>
                <w:numId w:val="1"/>
              </w:numPr>
              <w:spacing w:before="60" w:after="60" w:line="240" w:lineRule="auto"/>
            </w:pPr>
          </w:p>
        </w:tc>
        <w:tc>
          <w:tcPr>
            <w:tcW w:w="6379" w:type="dxa"/>
          </w:tcPr>
          <w:p w:rsidR="0083329E" w:rsidP="004C1A22" w:rsidRDefault="0083329E" w14:paraId="1FA7F6E6" w14:textId="77777777">
            <w:r>
              <w:t>Hoeveel vrij besteedbaar geld is er aanwezig in het Mobiliteitsfonds?</w:t>
            </w:r>
          </w:p>
        </w:tc>
      </w:tr>
      <w:tr w:rsidR="0083329E" w:rsidTr="0083329E" w14:paraId="08C6F525" w14:textId="77777777">
        <w:tc>
          <w:tcPr>
            <w:tcW w:w="709" w:type="dxa"/>
          </w:tcPr>
          <w:p w:rsidR="0083329E" w:rsidP="0083329E" w:rsidRDefault="0083329E" w14:paraId="3B5C7AEA" w14:textId="77777777">
            <w:pPr>
              <w:pStyle w:val="Lijstalinea"/>
              <w:numPr>
                <w:ilvl w:val="0"/>
                <w:numId w:val="1"/>
              </w:numPr>
              <w:spacing w:before="60" w:after="60" w:line="240" w:lineRule="auto"/>
            </w:pPr>
          </w:p>
        </w:tc>
        <w:tc>
          <w:tcPr>
            <w:tcW w:w="6379" w:type="dxa"/>
          </w:tcPr>
          <w:p w:rsidR="0083329E" w:rsidP="004C1A22" w:rsidRDefault="0083329E" w14:paraId="65E442B0" w14:textId="77777777">
            <w:r>
              <w:t>Wat is de stand van zaken van de taakstelling op de apparaten van 10 procent?</w:t>
            </w:r>
          </w:p>
        </w:tc>
      </w:tr>
      <w:tr w:rsidR="0083329E" w:rsidTr="0083329E" w14:paraId="3809F564" w14:textId="77777777">
        <w:tc>
          <w:tcPr>
            <w:tcW w:w="709" w:type="dxa"/>
          </w:tcPr>
          <w:p w:rsidR="0083329E" w:rsidP="0083329E" w:rsidRDefault="0083329E" w14:paraId="53B744DD" w14:textId="77777777">
            <w:pPr>
              <w:pStyle w:val="Lijstalinea"/>
              <w:numPr>
                <w:ilvl w:val="0"/>
                <w:numId w:val="1"/>
              </w:numPr>
              <w:spacing w:before="60" w:after="60" w:line="240" w:lineRule="auto"/>
            </w:pPr>
          </w:p>
        </w:tc>
        <w:tc>
          <w:tcPr>
            <w:tcW w:w="6379" w:type="dxa"/>
          </w:tcPr>
          <w:p w:rsidR="0083329E" w:rsidP="004C1A22" w:rsidRDefault="0083329E" w14:paraId="38D9A382" w14:textId="77777777">
            <w:r>
              <w:t xml:space="preserve">Welke maatregelen zijn er dit jaar genomen om de budgetspanning van </w:t>
            </w:r>
            <w:r w:rsidRPr="009D5C37">
              <w:t>European Rail Traffic Management System</w:t>
            </w:r>
            <w:r>
              <w:t xml:space="preserve"> (ERTMS) te verkleinen en wat zijn daar de resultaten van?</w:t>
            </w:r>
          </w:p>
        </w:tc>
      </w:tr>
      <w:tr w:rsidR="0083329E" w:rsidTr="0083329E" w14:paraId="49D4E8A9" w14:textId="77777777">
        <w:tc>
          <w:tcPr>
            <w:tcW w:w="709" w:type="dxa"/>
          </w:tcPr>
          <w:p w:rsidR="0083329E" w:rsidP="0083329E" w:rsidRDefault="0083329E" w14:paraId="7117C063" w14:textId="77777777">
            <w:pPr>
              <w:pStyle w:val="Lijstalinea"/>
              <w:numPr>
                <w:ilvl w:val="0"/>
                <w:numId w:val="1"/>
              </w:numPr>
              <w:spacing w:before="60" w:after="60" w:line="240" w:lineRule="auto"/>
            </w:pPr>
          </w:p>
        </w:tc>
        <w:tc>
          <w:tcPr>
            <w:tcW w:w="6379" w:type="dxa"/>
          </w:tcPr>
          <w:p w:rsidR="0083329E" w:rsidP="004C1A22" w:rsidRDefault="0083329E" w14:paraId="373C859C" w14:textId="77777777">
            <w:r>
              <w:t>Is er het afgelopen jaar gebruik gemaakt van de € 2,5 miljard die de coalitie heeft gereserveerd voor de ontsluiting van nieuwe woningen, en zo ja, hoeveel en aan welke projecten?</w:t>
            </w:r>
          </w:p>
        </w:tc>
      </w:tr>
      <w:tr w:rsidR="0083329E" w:rsidTr="0083329E" w14:paraId="5DF37611" w14:textId="77777777">
        <w:tc>
          <w:tcPr>
            <w:tcW w:w="709" w:type="dxa"/>
          </w:tcPr>
          <w:p w:rsidR="0083329E" w:rsidP="0083329E" w:rsidRDefault="0083329E" w14:paraId="07EE7B3B" w14:textId="77777777">
            <w:pPr>
              <w:pStyle w:val="Lijstalinea"/>
              <w:numPr>
                <w:ilvl w:val="0"/>
                <w:numId w:val="1"/>
              </w:numPr>
              <w:spacing w:before="60" w:after="60" w:line="240" w:lineRule="auto"/>
            </w:pPr>
          </w:p>
        </w:tc>
        <w:tc>
          <w:tcPr>
            <w:tcW w:w="6379" w:type="dxa"/>
          </w:tcPr>
          <w:p w:rsidR="0083329E" w:rsidP="004C1A22" w:rsidRDefault="0083329E" w14:paraId="62FA461F" w14:textId="77777777">
            <w:r>
              <w:t>Kan er in een grafiek worden aangegeven hoe de uitgaven voor de hoofdrailnet (HRN)-concessie zich de afgelopen tien jaar hebben ontwikkeld met daarbij een analyse wat de reden van deze ontwikkelingen zijn?</w:t>
            </w:r>
          </w:p>
        </w:tc>
      </w:tr>
      <w:tr w:rsidR="0083329E" w:rsidTr="0083329E" w14:paraId="542928AF" w14:textId="77777777">
        <w:tc>
          <w:tcPr>
            <w:tcW w:w="709" w:type="dxa"/>
          </w:tcPr>
          <w:p w:rsidR="0083329E" w:rsidP="0083329E" w:rsidRDefault="0083329E" w14:paraId="60054776" w14:textId="77777777">
            <w:pPr>
              <w:pStyle w:val="Lijstalinea"/>
              <w:numPr>
                <w:ilvl w:val="0"/>
                <w:numId w:val="1"/>
              </w:numPr>
              <w:spacing w:before="60" w:after="60" w:line="240" w:lineRule="auto"/>
            </w:pPr>
          </w:p>
        </w:tc>
        <w:tc>
          <w:tcPr>
            <w:tcW w:w="6379" w:type="dxa"/>
          </w:tcPr>
          <w:p w:rsidR="0083329E" w:rsidP="004C1A22" w:rsidRDefault="0083329E" w14:paraId="4593702E" w14:textId="77777777">
            <w:r>
              <w:t xml:space="preserve">Waarom zijn van de woningbouwmiddelen in het Mobiliteitsfonds budgetten voor </w:t>
            </w:r>
            <w:r w:rsidRPr="009D5C37">
              <w:t>Specifieke Uitkering</w:t>
            </w:r>
            <w:r>
              <w:t>en</w:t>
            </w:r>
            <w:r w:rsidRPr="009D5C37">
              <w:t xml:space="preserve"> </w:t>
            </w:r>
            <w:r>
              <w:t>(</w:t>
            </w:r>
            <w:proofErr w:type="spellStart"/>
            <w:r>
              <w:t>SPUK’s</w:t>
            </w:r>
            <w:proofErr w:type="spellEnd"/>
            <w:r>
              <w:t xml:space="preserve">) Korte </w:t>
            </w:r>
            <w:proofErr w:type="spellStart"/>
            <w:r>
              <w:t>Termĳn</w:t>
            </w:r>
            <w:proofErr w:type="spellEnd"/>
            <w:r>
              <w:t xml:space="preserve"> Woningbouwmiddelen (€ 7,3 miljoen) en Mobiliteitspakketten (€ 16,8 miljoen) niet beschikt in 2024?</w:t>
            </w:r>
          </w:p>
        </w:tc>
      </w:tr>
      <w:tr w:rsidR="0083329E" w:rsidTr="0083329E" w14:paraId="05358D6A" w14:textId="77777777">
        <w:tc>
          <w:tcPr>
            <w:tcW w:w="709" w:type="dxa"/>
          </w:tcPr>
          <w:p w:rsidR="0083329E" w:rsidP="0083329E" w:rsidRDefault="0083329E" w14:paraId="4A0AB005" w14:textId="77777777">
            <w:pPr>
              <w:pStyle w:val="Lijstalinea"/>
              <w:numPr>
                <w:ilvl w:val="0"/>
                <w:numId w:val="1"/>
              </w:numPr>
              <w:spacing w:before="60" w:after="60" w:line="240" w:lineRule="auto"/>
            </w:pPr>
          </w:p>
        </w:tc>
        <w:tc>
          <w:tcPr>
            <w:tcW w:w="6379" w:type="dxa"/>
          </w:tcPr>
          <w:p w:rsidR="0083329E" w:rsidP="004C1A22" w:rsidRDefault="0083329E" w14:paraId="170F7F9E" w14:textId="77777777">
            <w:r>
              <w:t>Wordt de volledige € 240,2 miljoen verlaging in 2024 van de coalitieakkoord-reservering Rutte IV voor Woningbouw, verschoven naar 2025?</w:t>
            </w:r>
          </w:p>
        </w:tc>
      </w:tr>
      <w:tr w:rsidR="0083329E" w:rsidTr="0083329E" w14:paraId="63DEB1F0" w14:textId="77777777">
        <w:tc>
          <w:tcPr>
            <w:tcW w:w="709" w:type="dxa"/>
          </w:tcPr>
          <w:p w:rsidR="0083329E" w:rsidP="0083329E" w:rsidRDefault="0083329E" w14:paraId="727EC012" w14:textId="77777777">
            <w:pPr>
              <w:pStyle w:val="Lijstalinea"/>
              <w:numPr>
                <w:ilvl w:val="0"/>
                <w:numId w:val="1"/>
              </w:numPr>
              <w:spacing w:before="60" w:after="60" w:line="240" w:lineRule="auto"/>
            </w:pPr>
          </w:p>
        </w:tc>
        <w:tc>
          <w:tcPr>
            <w:tcW w:w="6379" w:type="dxa"/>
          </w:tcPr>
          <w:p w:rsidR="0083329E" w:rsidP="004C1A22" w:rsidRDefault="0083329E" w14:paraId="039B64F5" w14:textId="77777777">
            <w:r>
              <w:t>In welke mate is voordeel te bereiken door bruggen en viaducten met een esthetisch, architectonisch hoogstaand ontwerp te vervangen door bruggen en viaducten met een eenvoudigere esthetische waarde? Biedt dat de mogelijkheid om viaducten en bruggen makkelijker in serie te vervangen en dus efficiënter aan te besteden?</w:t>
            </w:r>
          </w:p>
        </w:tc>
      </w:tr>
      <w:tr w:rsidR="0083329E" w:rsidTr="0083329E" w14:paraId="6393F250" w14:textId="77777777">
        <w:tc>
          <w:tcPr>
            <w:tcW w:w="709" w:type="dxa"/>
          </w:tcPr>
          <w:p w:rsidR="0083329E" w:rsidP="0083329E" w:rsidRDefault="0083329E" w14:paraId="715D2B23" w14:textId="77777777">
            <w:pPr>
              <w:pStyle w:val="Lijstalinea"/>
              <w:numPr>
                <w:ilvl w:val="0"/>
                <w:numId w:val="1"/>
              </w:numPr>
              <w:spacing w:before="60" w:after="60" w:line="240" w:lineRule="auto"/>
            </w:pPr>
          </w:p>
        </w:tc>
        <w:tc>
          <w:tcPr>
            <w:tcW w:w="6379" w:type="dxa"/>
          </w:tcPr>
          <w:p w:rsidR="0083329E" w:rsidP="004C1A22" w:rsidRDefault="0083329E" w14:paraId="1E4CCD96" w14:textId="77777777">
            <w:r>
              <w:t>Welke acties heeft Rijkswaterstaat (RWS) ondernomen voor het opschalen van de onderhoudsopgave? Welke acties zullen hiertoe nog worden ondernomen? Loopt deze opschaling volgens planning?</w:t>
            </w:r>
          </w:p>
        </w:tc>
      </w:tr>
      <w:tr w:rsidR="0083329E" w:rsidTr="0083329E" w14:paraId="437A626F" w14:textId="77777777">
        <w:tc>
          <w:tcPr>
            <w:tcW w:w="709" w:type="dxa"/>
          </w:tcPr>
          <w:p w:rsidR="0083329E" w:rsidP="0083329E" w:rsidRDefault="0083329E" w14:paraId="3DC3D954" w14:textId="77777777">
            <w:pPr>
              <w:pStyle w:val="Lijstalinea"/>
              <w:numPr>
                <w:ilvl w:val="0"/>
                <w:numId w:val="1"/>
              </w:numPr>
              <w:spacing w:before="60" w:after="60" w:line="240" w:lineRule="auto"/>
            </w:pPr>
          </w:p>
        </w:tc>
        <w:tc>
          <w:tcPr>
            <w:tcW w:w="6379" w:type="dxa"/>
          </w:tcPr>
          <w:p w:rsidR="0083329E" w:rsidP="004C1A22" w:rsidRDefault="0083329E" w14:paraId="1D75456F" w14:textId="77777777">
            <w:r>
              <w:t xml:space="preserve">Kan in een overzichtelijk schema van de </w:t>
            </w:r>
            <w:proofErr w:type="spellStart"/>
            <w:r>
              <w:t>spoorinfraprojecten</w:t>
            </w:r>
            <w:proofErr w:type="spellEnd"/>
            <w:r>
              <w:t xml:space="preserve"> uit het Mobiliteitsfonds worden aangegeven wat op dit moment het beschikbare budget is en wat de op dit moment geraamde kosten zijn?</w:t>
            </w:r>
          </w:p>
        </w:tc>
      </w:tr>
      <w:tr w:rsidR="0083329E" w:rsidTr="0083329E" w14:paraId="684E39F8" w14:textId="77777777">
        <w:tc>
          <w:tcPr>
            <w:tcW w:w="709" w:type="dxa"/>
          </w:tcPr>
          <w:p w:rsidR="0083329E" w:rsidP="0083329E" w:rsidRDefault="0083329E" w14:paraId="491F211A" w14:textId="77777777">
            <w:pPr>
              <w:pStyle w:val="Lijstalinea"/>
              <w:numPr>
                <w:ilvl w:val="0"/>
                <w:numId w:val="1"/>
              </w:numPr>
              <w:spacing w:before="60" w:after="60" w:line="240" w:lineRule="auto"/>
            </w:pPr>
          </w:p>
        </w:tc>
        <w:tc>
          <w:tcPr>
            <w:tcW w:w="6379" w:type="dxa"/>
          </w:tcPr>
          <w:p w:rsidR="0083329E" w:rsidP="004C1A22" w:rsidRDefault="0083329E" w14:paraId="4A45C80C" w14:textId="77777777">
            <w:r>
              <w:t xml:space="preserve">Kan nader toegelicht worden waarom er ten opzichte van de ontwerpbegroting in 2024 per saldo  € 190,2 miljoen minder is gerealiseerd voor Woningbouw op korte </w:t>
            </w:r>
            <w:proofErr w:type="spellStart"/>
            <w:r>
              <w:t>termĳn</w:t>
            </w:r>
            <w:proofErr w:type="spellEnd"/>
            <w:r>
              <w:t xml:space="preserve"> door </w:t>
            </w:r>
            <w:proofErr w:type="spellStart"/>
            <w:r>
              <w:t>bovenplanse</w:t>
            </w:r>
            <w:proofErr w:type="spellEnd"/>
            <w:r>
              <w:t xml:space="preserve"> infrastructuur? Kan ook op hoofdlijnen worden aangegeven hoe dit nu verder gaat?</w:t>
            </w:r>
          </w:p>
        </w:tc>
      </w:tr>
      <w:tr w:rsidR="0083329E" w:rsidTr="0083329E" w14:paraId="1FEBBF97" w14:textId="77777777">
        <w:tc>
          <w:tcPr>
            <w:tcW w:w="709" w:type="dxa"/>
          </w:tcPr>
          <w:p w:rsidR="0083329E" w:rsidP="0083329E" w:rsidRDefault="0083329E" w14:paraId="1C12BCAF" w14:textId="77777777">
            <w:pPr>
              <w:pStyle w:val="Lijstalinea"/>
              <w:numPr>
                <w:ilvl w:val="0"/>
                <w:numId w:val="1"/>
              </w:numPr>
              <w:spacing w:before="60" w:after="60" w:line="240" w:lineRule="auto"/>
            </w:pPr>
          </w:p>
        </w:tc>
        <w:tc>
          <w:tcPr>
            <w:tcW w:w="6379" w:type="dxa"/>
          </w:tcPr>
          <w:p w:rsidR="0083329E" w:rsidP="004C1A22" w:rsidRDefault="0083329E" w14:paraId="15DD3408" w14:textId="77777777">
            <w:r>
              <w:t>Om welke economische, veiligheids- en ecologische redenen is de opdracht voor het herstel van het Julianakanaal verstrekt aan de betrokken aannemer?</w:t>
            </w:r>
          </w:p>
        </w:tc>
      </w:tr>
      <w:tr w:rsidR="0083329E" w:rsidTr="0083329E" w14:paraId="39CEBCC2" w14:textId="77777777">
        <w:tc>
          <w:tcPr>
            <w:tcW w:w="709" w:type="dxa"/>
          </w:tcPr>
          <w:p w:rsidR="0083329E" w:rsidP="0083329E" w:rsidRDefault="0083329E" w14:paraId="3221CF4F" w14:textId="77777777">
            <w:pPr>
              <w:pStyle w:val="Lijstalinea"/>
              <w:numPr>
                <w:ilvl w:val="0"/>
                <w:numId w:val="1"/>
              </w:numPr>
              <w:spacing w:before="60" w:after="60" w:line="240" w:lineRule="auto"/>
            </w:pPr>
          </w:p>
        </w:tc>
        <w:tc>
          <w:tcPr>
            <w:tcW w:w="6379" w:type="dxa"/>
          </w:tcPr>
          <w:p w:rsidR="0083329E" w:rsidP="004C1A22" w:rsidRDefault="0083329E" w14:paraId="561AE02A" w14:textId="77777777">
            <w:r>
              <w:t>Wanneer is het assetmanagement van RWS op orde?</w:t>
            </w:r>
          </w:p>
        </w:tc>
      </w:tr>
      <w:tr w:rsidR="0083329E" w:rsidTr="0083329E" w14:paraId="0EA2E6DE" w14:textId="77777777">
        <w:tc>
          <w:tcPr>
            <w:tcW w:w="709" w:type="dxa"/>
          </w:tcPr>
          <w:p w:rsidR="0083329E" w:rsidP="0083329E" w:rsidRDefault="0083329E" w14:paraId="4B2C311F" w14:textId="77777777">
            <w:pPr>
              <w:pStyle w:val="Lijstalinea"/>
              <w:numPr>
                <w:ilvl w:val="0"/>
                <w:numId w:val="1"/>
              </w:numPr>
              <w:spacing w:before="60" w:after="60" w:line="240" w:lineRule="auto"/>
            </w:pPr>
          </w:p>
        </w:tc>
        <w:tc>
          <w:tcPr>
            <w:tcW w:w="6379" w:type="dxa"/>
          </w:tcPr>
          <w:p w:rsidR="0083329E" w:rsidP="004C1A22" w:rsidRDefault="0083329E" w14:paraId="79655982" w14:textId="77777777">
            <w:r>
              <w:t>Wanneer kan RWS volledig gaan werken met effectieve contractvormen, gebundelde aanbestedingen?</w:t>
            </w:r>
          </w:p>
        </w:tc>
      </w:tr>
    </w:tbl>
    <w:p w:rsidR="0083329E" w:rsidP="0083329E" w:rsidRDefault="0083329E" w14:paraId="1A7F9989" w14:textId="77777777"/>
    <w:p w:rsidR="00EC711E" w:rsidRDefault="00EC711E" w14:paraId="2C31C9CE" w14:textId="77777777"/>
    <w:sectPr w:rsidR="00EC711E" w:rsidSect="0083329E">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EFEB" w14:textId="77777777" w:rsidR="0083329E" w:rsidRDefault="0083329E" w:rsidP="0083329E">
      <w:pPr>
        <w:spacing w:after="0" w:line="240" w:lineRule="auto"/>
      </w:pPr>
      <w:r>
        <w:separator/>
      </w:r>
    </w:p>
  </w:endnote>
  <w:endnote w:type="continuationSeparator" w:id="0">
    <w:p w14:paraId="4F4796F4" w14:textId="77777777" w:rsidR="0083329E" w:rsidRDefault="0083329E" w:rsidP="0083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A937" w14:textId="77777777" w:rsidR="0083329E" w:rsidRPr="0083329E" w:rsidRDefault="0083329E" w:rsidP="00833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CA1F" w14:textId="77777777" w:rsidR="0083329E" w:rsidRPr="0083329E" w:rsidRDefault="0083329E" w:rsidP="008332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54DB" w14:textId="77777777" w:rsidR="0083329E" w:rsidRPr="0083329E" w:rsidRDefault="0083329E" w:rsidP="00833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17D3" w14:textId="77777777" w:rsidR="0083329E" w:rsidRDefault="0083329E" w:rsidP="0083329E">
      <w:pPr>
        <w:spacing w:after="0" w:line="240" w:lineRule="auto"/>
      </w:pPr>
      <w:r>
        <w:separator/>
      </w:r>
    </w:p>
  </w:footnote>
  <w:footnote w:type="continuationSeparator" w:id="0">
    <w:p w14:paraId="3646AE6B" w14:textId="77777777" w:rsidR="0083329E" w:rsidRDefault="0083329E" w:rsidP="0083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3A97" w14:textId="77777777" w:rsidR="0083329E" w:rsidRPr="0083329E" w:rsidRDefault="0083329E" w:rsidP="00833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B169" w14:textId="77777777" w:rsidR="0083329E" w:rsidRPr="0083329E" w:rsidRDefault="0083329E" w:rsidP="00833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070" w14:textId="77777777" w:rsidR="0083329E" w:rsidRPr="0083329E" w:rsidRDefault="0083329E" w:rsidP="008332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896"/>
    <w:multiLevelType w:val="hybridMultilevel"/>
    <w:tmpl w:val="84EE0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611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9E"/>
    <w:rsid w:val="00532765"/>
    <w:rsid w:val="00566ABE"/>
    <w:rsid w:val="0083329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35DE"/>
  <w15:chartTrackingRefBased/>
  <w15:docId w15:val="{654CA56D-8F0D-43B7-9747-84D80CB2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29E"/>
    <w:rPr>
      <w:rFonts w:eastAsiaTheme="majorEastAsia" w:cstheme="majorBidi"/>
      <w:color w:val="272727" w:themeColor="text1" w:themeTint="D8"/>
    </w:rPr>
  </w:style>
  <w:style w:type="paragraph" w:styleId="Titel">
    <w:name w:val="Title"/>
    <w:basedOn w:val="Standaard"/>
    <w:next w:val="Standaard"/>
    <w:link w:val="TitelChar"/>
    <w:uiPriority w:val="10"/>
    <w:qFormat/>
    <w:rsid w:val="0083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29E"/>
    <w:rPr>
      <w:i/>
      <w:iCs/>
      <w:color w:val="404040" w:themeColor="text1" w:themeTint="BF"/>
    </w:rPr>
  </w:style>
  <w:style w:type="paragraph" w:styleId="Lijstalinea">
    <w:name w:val="List Paragraph"/>
    <w:basedOn w:val="Standaard"/>
    <w:uiPriority w:val="34"/>
    <w:qFormat/>
    <w:rsid w:val="0083329E"/>
    <w:pPr>
      <w:ind w:left="720"/>
      <w:contextualSpacing/>
    </w:pPr>
  </w:style>
  <w:style w:type="character" w:styleId="Intensievebenadrukking">
    <w:name w:val="Intense Emphasis"/>
    <w:basedOn w:val="Standaardalinea-lettertype"/>
    <w:uiPriority w:val="21"/>
    <w:qFormat/>
    <w:rsid w:val="0083329E"/>
    <w:rPr>
      <w:i/>
      <w:iCs/>
      <w:color w:val="0F4761" w:themeColor="accent1" w:themeShade="BF"/>
    </w:rPr>
  </w:style>
  <w:style w:type="paragraph" w:styleId="Duidelijkcitaat">
    <w:name w:val="Intense Quote"/>
    <w:basedOn w:val="Standaard"/>
    <w:next w:val="Standaard"/>
    <w:link w:val="DuidelijkcitaatChar"/>
    <w:uiPriority w:val="30"/>
    <w:qFormat/>
    <w:rsid w:val="00833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29E"/>
    <w:rPr>
      <w:i/>
      <w:iCs/>
      <w:color w:val="0F4761" w:themeColor="accent1" w:themeShade="BF"/>
    </w:rPr>
  </w:style>
  <w:style w:type="character" w:styleId="Intensieveverwijzing">
    <w:name w:val="Intense Reference"/>
    <w:basedOn w:val="Standaardalinea-lettertype"/>
    <w:uiPriority w:val="32"/>
    <w:qFormat/>
    <w:rsid w:val="0083329E"/>
    <w:rPr>
      <w:b/>
      <w:bCs/>
      <w:smallCaps/>
      <w:color w:val="0F4761" w:themeColor="accent1" w:themeShade="BF"/>
      <w:spacing w:val="5"/>
    </w:rPr>
  </w:style>
  <w:style w:type="paragraph" w:styleId="Koptekst">
    <w:name w:val="header"/>
    <w:basedOn w:val="Standaard"/>
    <w:link w:val="KoptekstChar"/>
    <w:uiPriority w:val="99"/>
    <w:unhideWhenUsed/>
    <w:rsid w:val="0083329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3329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3329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3329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529</ap:Words>
  <ap:Characters>2915</ap:Characters>
  <ap:DocSecurity>0</ap:DocSecurity>
  <ap:Lines>24</ap:Lines>
  <ap:Paragraphs>6</ap:Paragraphs>
  <ap:ScaleCrop>false</ap:ScaleCrop>
  <ap:LinksUpToDate>false</ap:LinksUpToDate>
  <ap:CharactersWithSpaces>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2025-06-03T12:08:00.0000000Z</dcterms:created>
  <dcterms:modified xsi:type="dcterms:W3CDTF">2025-06-03T12:10:00.0000000Z</dcterms:modified>
  <version/>
  <category/>
</coreProperties>
</file>