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1A7C" w:rsidRDefault="001856D0" w14:paraId="29F8A7EC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36740-IX</w:t>
      </w:r>
      <w:r>
        <w:rPr>
          <w:b/>
          <w:bCs/>
          <w:sz w:val="23"/>
          <w:szCs w:val="23"/>
        </w:rPr>
        <w:tab/>
        <w:t xml:space="preserve">Jaarverslag en </w:t>
      </w:r>
      <w:proofErr w:type="spellStart"/>
      <w:r>
        <w:rPr>
          <w:b/>
          <w:bCs/>
          <w:sz w:val="23"/>
          <w:szCs w:val="23"/>
        </w:rPr>
        <w:t>slotwet</w:t>
      </w:r>
      <w:proofErr w:type="spellEnd"/>
      <w:r>
        <w:rPr>
          <w:b/>
          <w:bCs/>
          <w:sz w:val="23"/>
          <w:szCs w:val="23"/>
        </w:rPr>
        <w:t xml:space="preserve"> Ministerie van Financiën en Nationale Schuld 2024</w:t>
      </w:r>
    </w:p>
    <w:p w:rsidR="005A1A7C" w:rsidRDefault="005A1A7C" w14:paraId="434EC414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5A1A7C" w:rsidRDefault="001856D0" w14:paraId="3FC507B6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5A1A7C" w:rsidRDefault="001856D0" w14:paraId="04C59FCC" w14:textId="77777777">
      <w:r>
        <w:tab/>
      </w:r>
      <w:r>
        <w:tab/>
      </w:r>
    </w:p>
    <w:p w:rsidR="005A1A7C" w:rsidRDefault="001856D0" w14:paraId="2C8FFDF2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5A1A7C" w:rsidRDefault="0072126F" w14:paraId="2B0E0688" w14:textId="06FA30A3">
      <w:pPr>
        <w:ind w:left="1410"/>
      </w:pPr>
      <w:r w:rsidRPr="0072126F">
        <w:t xml:space="preserve">De vaste commissie voor Financiën heeft een aantal vragen voorgelegd aan de minister van Financiën </w:t>
      </w:r>
      <w:r w:rsidR="001856D0">
        <w:t xml:space="preserve">over het </w:t>
      </w:r>
      <w:r w:rsidR="001856D0">
        <w:rPr>
          <w:b/>
        </w:rPr>
        <w:t>Jaarverslag Ministerie van Financiën en Nationale Schuld 2024</w:t>
      </w:r>
      <w:r w:rsidR="001856D0">
        <w:t xml:space="preserve"> (</w:t>
      </w:r>
      <w:r w:rsidR="001856D0">
        <w:rPr>
          <w:b/>
        </w:rPr>
        <w:t>36740-IX</w:t>
      </w:r>
      <w:r w:rsidR="001856D0">
        <w:t xml:space="preserve">, nr. </w:t>
      </w:r>
      <w:r w:rsidR="001856D0">
        <w:rPr>
          <w:b/>
        </w:rPr>
        <w:t>1</w:t>
      </w:r>
      <w:r w:rsidR="001856D0">
        <w:t>).</w:t>
      </w:r>
    </w:p>
    <w:p w:rsidR="005A1A7C" w:rsidRDefault="001856D0" w14:paraId="541D4C2C" w14:textId="51D5D744">
      <w:pPr>
        <w:ind w:left="1410"/>
      </w:pPr>
      <w:r>
        <w:t xml:space="preserve">De daarop door de </w:t>
      </w:r>
      <w:r w:rsidR="00DE39FD">
        <w:t>minister</w:t>
      </w:r>
      <w:r>
        <w:t xml:space="preserve"> gegeven antwoorden zijn hierbij afgedrukt.</w:t>
      </w:r>
    </w:p>
    <w:p w:rsidR="005A1A7C" w:rsidRDefault="005A1A7C" w14:paraId="030019BE" w14:textId="77777777">
      <w:pPr>
        <w:spacing w:before="0" w:after="0"/>
      </w:pPr>
    </w:p>
    <w:p w:rsidR="005A1A7C" w:rsidRDefault="001856D0" w14:paraId="35E834C3" w14:textId="77777777">
      <w:pPr>
        <w:spacing w:before="0" w:after="0"/>
        <w:ind w:left="703" w:firstLine="709"/>
      </w:pPr>
      <w:r>
        <w:t xml:space="preserve">Voorzitter van de commissie, </w:t>
      </w:r>
    </w:p>
    <w:p w:rsidR="005A1A7C" w:rsidRDefault="001856D0" w14:paraId="283CF329" w14:textId="431ECBFA">
      <w:pPr>
        <w:spacing w:before="0" w:after="0"/>
      </w:pPr>
      <w:r>
        <w:tab/>
      </w:r>
      <w:r>
        <w:tab/>
      </w:r>
      <w:r w:rsidR="0072126F">
        <w:t>Nijhof-Leeuw</w:t>
      </w:r>
    </w:p>
    <w:p w:rsidR="005A1A7C" w:rsidRDefault="001856D0" w14:paraId="45493FF7" w14:textId="77777777">
      <w:pPr>
        <w:spacing w:before="0" w:after="0"/>
      </w:pPr>
      <w:r>
        <w:tab/>
      </w:r>
      <w:r>
        <w:tab/>
      </w:r>
    </w:p>
    <w:p w:rsidR="005A1A7C" w:rsidRDefault="001856D0" w14:paraId="2627B8EE" w14:textId="78A9A214">
      <w:pPr>
        <w:spacing w:before="0" w:after="0"/>
      </w:pPr>
      <w:r>
        <w:tab/>
      </w:r>
      <w:r>
        <w:tab/>
      </w:r>
      <w:r w:rsidR="0072126F">
        <w:t>Adjunct-g</w:t>
      </w:r>
      <w:r>
        <w:t>riffier van de commissie,</w:t>
      </w:r>
    </w:p>
    <w:p w:rsidR="005A1A7C" w:rsidRDefault="001856D0" w14:paraId="5CEE3FE7" w14:textId="27D4F4A6">
      <w:pPr>
        <w:spacing w:before="0" w:after="0"/>
      </w:pPr>
      <w:r>
        <w:tab/>
      </w:r>
      <w:r>
        <w:tab/>
      </w:r>
      <w:r w:rsidR="0072126F">
        <w:t>Van der Steur</w:t>
      </w:r>
    </w:p>
    <w:p w:rsidR="005A1A7C" w:rsidRDefault="005A1A7C" w14:paraId="3B1658A9" w14:textId="77777777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994"/>
        <w:gridCol w:w="960"/>
        <w:gridCol w:w="960"/>
        <w:gridCol w:w="732"/>
      </w:tblGrid>
      <w:tr w:rsidRPr="00163029" w:rsidR="00163029" w:rsidTr="00EA3923" w14:paraId="1EA9CD9B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3720B8E6" w14:textId="77777777">
            <w:pPr>
              <w:spacing w:before="0" w:after="0"/>
              <w:rPr>
                <w:color w:val="000000"/>
              </w:rPr>
            </w:pPr>
            <w:bookmarkStart w:name="bmkStartTabel" w:id="0"/>
            <w:bookmarkEnd w:id="0"/>
            <w:proofErr w:type="spellStart"/>
            <w:r w:rsidRPr="00163029">
              <w:rPr>
                <w:color w:val="000000"/>
              </w:rPr>
              <w:t>Nr</w:t>
            </w:r>
            <w:proofErr w:type="spellEnd"/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7D622D23" w14:textId="77777777">
            <w:pPr>
              <w:spacing w:before="0" w:after="0"/>
              <w:rPr>
                <w:color w:val="000000"/>
              </w:rPr>
            </w:pPr>
            <w:r w:rsidRPr="00163029">
              <w:rPr>
                <w:color w:val="000000"/>
              </w:rPr>
              <w:t>Vraag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3A6A92E6" w14:textId="77777777">
            <w:pPr>
              <w:spacing w:before="0"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Bijlage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25924CB6" w14:textId="77777777">
            <w:pPr>
              <w:spacing w:before="0"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Blz. (van)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78959CB5" w14:textId="77777777">
            <w:pPr>
              <w:spacing w:before="0" w:after="0"/>
              <w:jc w:val="center"/>
              <w:rPr>
                <w:color w:val="000000"/>
              </w:rPr>
            </w:pPr>
            <w:r w:rsidRPr="00163029">
              <w:rPr>
                <w:color w:val="000000"/>
              </w:rPr>
              <w:t>t/m</w:t>
            </w:r>
          </w:p>
        </w:tc>
      </w:tr>
      <w:tr w:rsidRPr="00163029" w:rsidR="00163029" w:rsidTr="00EA3923" w14:paraId="2E96C97B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734184E7" w14:textId="77777777">
            <w:pPr>
              <w:spacing w:before="0"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1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33948AB4" w14:textId="77777777">
            <w:pPr>
              <w:spacing w:before="0" w:after="0"/>
              <w:rPr>
                <w:color w:val="000000"/>
              </w:rPr>
            </w:pPr>
            <w:r w:rsidRPr="00163029">
              <w:rPr>
                <w:color w:val="000000"/>
              </w:rPr>
              <w:t>Wat is de reden voor de hogere afdrachten vanuit de Staatsloterij? Betekent dit ook dat de afdrachten van de Nederlandse Loterij aan de beneficianten hoger zijn geweest?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63029" w:rsidR="00163029" w:rsidP="00163029" w:rsidRDefault="00163029" w14:paraId="6499EDBC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0042370B" w14:textId="77777777">
            <w:pPr>
              <w:spacing w:before="0" w:after="0"/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63029" w:rsidR="00163029" w:rsidP="00163029" w:rsidRDefault="00163029" w14:paraId="07464A23" w14:textId="77777777">
            <w:pPr>
              <w:spacing w:before="0" w:after="0"/>
              <w:jc w:val="right"/>
            </w:pPr>
          </w:p>
        </w:tc>
      </w:tr>
      <w:tr w:rsidRPr="00163029" w:rsidR="00163029" w:rsidTr="00EA3923" w14:paraId="13F2E3A4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69BC2E57" w14:textId="77777777">
            <w:pPr>
              <w:spacing w:before="0"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2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734AB92C" w14:textId="77777777">
            <w:pPr>
              <w:spacing w:before="0" w:after="0"/>
              <w:rPr>
                <w:color w:val="000000"/>
              </w:rPr>
            </w:pPr>
            <w:r w:rsidRPr="00163029">
              <w:rPr>
                <w:color w:val="000000"/>
              </w:rPr>
              <w:t>Wat is het beleid ten aanzien van wisselkoerseffecten? Hoe worden risico’s gemitigeerd c.q. afgedekt? Welke opties zijn daar mogelijk c.q. eerder afgewogen?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63029" w:rsidR="00163029" w:rsidP="00163029" w:rsidRDefault="00163029" w14:paraId="14AED55B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123BCE04" w14:textId="77777777">
            <w:pPr>
              <w:spacing w:before="0" w:after="0"/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63029" w:rsidR="00163029" w:rsidP="00163029" w:rsidRDefault="00163029" w14:paraId="1B5B2DA5" w14:textId="77777777">
            <w:pPr>
              <w:spacing w:before="0" w:after="0"/>
              <w:jc w:val="right"/>
            </w:pPr>
          </w:p>
        </w:tc>
      </w:tr>
      <w:tr w:rsidRPr="00163029" w:rsidR="00163029" w:rsidTr="00EA3923" w14:paraId="3AF5F4CE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6813D61B" w14:textId="77777777">
            <w:pPr>
              <w:spacing w:before="0"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3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5C09A73E" w14:textId="77777777">
            <w:pPr>
              <w:spacing w:before="0" w:after="0"/>
              <w:rPr>
                <w:color w:val="000000"/>
              </w:rPr>
            </w:pPr>
            <w:r w:rsidRPr="00163029">
              <w:rPr>
                <w:color w:val="000000"/>
              </w:rPr>
              <w:t>Wat zijn de gevolgen van de wisselkoerseffecten op de verschillende garanties effectief voor de begroting c.q. het EMU-saldo?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63029" w:rsidR="00163029" w:rsidP="00163029" w:rsidRDefault="00163029" w14:paraId="7961E2C4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3B4572F6" w14:textId="77777777">
            <w:pPr>
              <w:spacing w:before="0" w:after="0"/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63029" w:rsidR="00163029" w:rsidP="00163029" w:rsidRDefault="00163029" w14:paraId="725827A6" w14:textId="77777777">
            <w:pPr>
              <w:spacing w:before="0" w:after="0"/>
              <w:jc w:val="right"/>
            </w:pPr>
          </w:p>
        </w:tc>
      </w:tr>
      <w:tr w:rsidRPr="00163029" w:rsidR="00163029" w:rsidTr="00EA3923" w14:paraId="3C2E5924" w14:textId="77777777">
        <w:trPr>
          <w:trHeight w:val="10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08BD5316" w14:textId="77777777">
            <w:pPr>
              <w:spacing w:before="0"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4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62293B12" w14:textId="5E557F99">
            <w:pPr>
              <w:spacing w:before="0" w:after="0"/>
              <w:rPr>
                <w:color w:val="000000"/>
              </w:rPr>
            </w:pPr>
            <w:r w:rsidRPr="00163029">
              <w:rPr>
                <w:color w:val="000000"/>
              </w:rPr>
              <w:t xml:space="preserve">Waarom is in 2024 niet de volledige faciliteit voor de </w:t>
            </w:r>
            <w:r w:rsidR="003F2BD5">
              <w:rPr>
                <w:color w:val="000000"/>
              </w:rPr>
              <w:t>exportkredietverzekering (</w:t>
            </w:r>
            <w:proofErr w:type="spellStart"/>
            <w:r w:rsidR="003F2BD5">
              <w:rPr>
                <w:color w:val="000000"/>
              </w:rPr>
              <w:t>ekv</w:t>
            </w:r>
            <w:proofErr w:type="spellEnd"/>
            <w:r w:rsidR="003F2BD5">
              <w:rPr>
                <w:color w:val="000000"/>
              </w:rPr>
              <w:t>)</w:t>
            </w:r>
            <w:r w:rsidRPr="00163029">
              <w:rPr>
                <w:color w:val="000000"/>
              </w:rPr>
              <w:t xml:space="preserve"> benut, waardoor het plafond in de begroting naar beneden is bijgesteld? Waarom zijn de ontvangen premies </w:t>
            </w:r>
            <w:proofErr w:type="spellStart"/>
            <w:r w:rsidR="003F2BD5">
              <w:rPr>
                <w:color w:val="000000"/>
              </w:rPr>
              <w:t>ekv</w:t>
            </w:r>
            <w:proofErr w:type="spellEnd"/>
            <w:r w:rsidRPr="00163029">
              <w:rPr>
                <w:color w:val="000000"/>
              </w:rPr>
              <w:t xml:space="preserve"> later uitgevallen dan geraamd?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63029" w:rsidR="00163029" w:rsidP="00163029" w:rsidRDefault="00163029" w14:paraId="62CC17B3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4AB61906" w14:textId="77777777">
            <w:pPr>
              <w:spacing w:before="0" w:after="0"/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63029" w:rsidR="00163029" w:rsidP="00163029" w:rsidRDefault="00163029" w14:paraId="46EAE3B4" w14:textId="77777777">
            <w:pPr>
              <w:spacing w:before="0" w:after="0"/>
              <w:jc w:val="right"/>
            </w:pPr>
          </w:p>
        </w:tc>
      </w:tr>
      <w:tr w:rsidRPr="00163029" w:rsidR="00163029" w:rsidTr="00EA3923" w14:paraId="6A7096D1" w14:textId="77777777">
        <w:trPr>
          <w:trHeight w:val="10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591E915E" w14:textId="77777777">
            <w:pPr>
              <w:spacing w:before="0"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5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04BBB472" w14:textId="546635B6">
            <w:pPr>
              <w:spacing w:before="0" w:after="0"/>
              <w:rPr>
                <w:color w:val="000000"/>
              </w:rPr>
            </w:pPr>
            <w:r w:rsidRPr="00163029">
              <w:rPr>
                <w:color w:val="000000"/>
              </w:rPr>
              <w:t xml:space="preserve">Wat is het hoofddoel van de </w:t>
            </w:r>
            <w:proofErr w:type="spellStart"/>
            <w:r w:rsidR="003F2BD5">
              <w:rPr>
                <w:color w:val="000000"/>
              </w:rPr>
              <w:t>ekv</w:t>
            </w:r>
            <w:proofErr w:type="spellEnd"/>
            <w:r w:rsidRPr="00163029">
              <w:rPr>
                <w:color w:val="000000"/>
              </w:rPr>
              <w:t xml:space="preserve">? Het hoofddoel is toch niet vergroening, zoals </w:t>
            </w:r>
            <w:r w:rsidR="003F2BD5">
              <w:rPr>
                <w:color w:val="000000"/>
              </w:rPr>
              <w:t>lijkt te worden</w:t>
            </w:r>
            <w:r w:rsidRPr="00163029">
              <w:rPr>
                <w:color w:val="000000"/>
              </w:rPr>
              <w:t xml:space="preserve"> gesteld </w:t>
            </w:r>
            <w:r w:rsidR="003F2BD5">
              <w:rPr>
                <w:color w:val="000000"/>
              </w:rPr>
              <w:t xml:space="preserve">met de zin </w:t>
            </w:r>
            <w:r w:rsidRPr="00163029">
              <w:rPr>
                <w:color w:val="000000"/>
              </w:rPr>
              <w:t>"</w:t>
            </w:r>
            <w:r w:rsidR="003F2BD5">
              <w:rPr>
                <w:color w:val="000000"/>
              </w:rPr>
              <w:t>D</w:t>
            </w:r>
            <w:r w:rsidRPr="00163029">
              <w:rPr>
                <w:color w:val="000000"/>
              </w:rPr>
              <w:t xml:space="preserve">e </w:t>
            </w:r>
            <w:proofErr w:type="spellStart"/>
            <w:r w:rsidRPr="00163029">
              <w:rPr>
                <w:color w:val="000000"/>
              </w:rPr>
              <w:t>ekv</w:t>
            </w:r>
            <w:proofErr w:type="spellEnd"/>
            <w:r w:rsidRPr="00163029">
              <w:rPr>
                <w:color w:val="000000"/>
              </w:rPr>
              <w:t>-faciliteit is namelijk een krachtig en kostendekkend instrument om bedrijven te helpen om groene exporttransacties mogelijk te maken"?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30061F1B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75E4104B" w14:textId="77777777">
            <w:pPr>
              <w:spacing w:before="0"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80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49520402" w14:textId="77777777">
            <w:pPr>
              <w:spacing w:before="0"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 xml:space="preserve"> </w:t>
            </w:r>
          </w:p>
        </w:tc>
      </w:tr>
      <w:tr w:rsidRPr="00163029" w:rsidR="00163029" w:rsidTr="00EA3923" w14:paraId="610178A0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7C56C4D0" w14:textId="77777777">
            <w:pPr>
              <w:spacing w:before="0"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6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27C94731" w14:textId="20C32F48">
            <w:pPr>
              <w:spacing w:before="0" w:after="0"/>
              <w:rPr>
                <w:color w:val="000000"/>
              </w:rPr>
            </w:pPr>
            <w:r w:rsidRPr="00163029">
              <w:rPr>
                <w:color w:val="000000"/>
              </w:rPr>
              <w:t xml:space="preserve">Wat zijn de gevolgen geweest voor de Nederlandse bedrijven, het Nederlandse vestigingsklimaat en het gelijke speelveld </w:t>
            </w:r>
            <w:r w:rsidR="003F2BD5">
              <w:rPr>
                <w:color w:val="000000"/>
              </w:rPr>
              <w:t>van</w:t>
            </w:r>
            <w:r w:rsidRPr="00163029">
              <w:rPr>
                <w:color w:val="000000"/>
              </w:rPr>
              <w:t xml:space="preserve"> het COP26-beleid?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6FBCDE5E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3BABA580" w14:textId="77777777">
            <w:pPr>
              <w:spacing w:before="0"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80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42F8E1F6" w14:textId="77777777">
            <w:pPr>
              <w:spacing w:before="0"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 xml:space="preserve"> </w:t>
            </w:r>
          </w:p>
        </w:tc>
      </w:tr>
      <w:tr w:rsidRPr="00163029" w:rsidR="00163029" w:rsidTr="00EA3923" w14:paraId="4CB3BA89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107D7F4C" w14:textId="77777777">
            <w:pPr>
              <w:spacing w:before="0"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7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39895309" w14:textId="77777777">
            <w:pPr>
              <w:spacing w:before="0" w:after="0"/>
              <w:rPr>
                <w:color w:val="000000"/>
              </w:rPr>
            </w:pPr>
            <w:r w:rsidRPr="00163029">
              <w:rPr>
                <w:color w:val="000000"/>
              </w:rPr>
              <w:t xml:space="preserve">Welke Nederlandse bedrijven kunnen nu niet meer gebruik maken van het </w:t>
            </w:r>
            <w:proofErr w:type="spellStart"/>
            <w:r w:rsidRPr="00163029">
              <w:rPr>
                <w:color w:val="000000"/>
              </w:rPr>
              <w:t>ekv</w:t>
            </w:r>
            <w:proofErr w:type="spellEnd"/>
            <w:r w:rsidRPr="00163029">
              <w:rPr>
                <w:color w:val="000000"/>
              </w:rPr>
              <w:t>-instrument die dat voorheen wel konden?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64436499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087723BE" w14:textId="77777777">
            <w:pPr>
              <w:spacing w:before="0"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80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5DA2E18D" w14:textId="77777777">
            <w:pPr>
              <w:spacing w:before="0"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 xml:space="preserve"> </w:t>
            </w:r>
          </w:p>
        </w:tc>
      </w:tr>
      <w:tr w:rsidRPr="00163029" w:rsidR="00163029" w:rsidTr="00EA3923" w14:paraId="6CE9C6FA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2607EB38" w14:textId="77777777">
            <w:pPr>
              <w:spacing w:before="0"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8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18D787D5" w14:textId="77777777">
            <w:pPr>
              <w:spacing w:before="0" w:after="0"/>
              <w:rPr>
                <w:color w:val="000000"/>
              </w:rPr>
            </w:pPr>
            <w:r w:rsidRPr="00163029">
              <w:rPr>
                <w:color w:val="000000"/>
              </w:rPr>
              <w:t>Hoe komt de evaluator tot de conclusie dat er momenteel geen dwingende en dringende redenen zijn voor aanpassing van de huidige geldende uitzonderingen? Waaraan is dit getoetst?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1F82AA9B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72D7C6EF" w14:textId="77777777">
            <w:pPr>
              <w:spacing w:before="0"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80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5AF7BBBA" w14:textId="77777777">
            <w:pPr>
              <w:spacing w:before="0"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81</w:t>
            </w:r>
          </w:p>
        </w:tc>
      </w:tr>
      <w:tr w:rsidRPr="00163029" w:rsidR="00163029" w:rsidTr="00EA3923" w14:paraId="085D9821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5F83610D" w14:textId="77777777">
            <w:pPr>
              <w:spacing w:before="0"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9</w:t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4E2F0FDB" w14:textId="77777777">
            <w:pPr>
              <w:spacing w:before="0" w:after="0"/>
              <w:rPr>
                <w:color w:val="000000"/>
              </w:rPr>
            </w:pPr>
            <w:r w:rsidRPr="00163029">
              <w:rPr>
                <w:color w:val="000000"/>
              </w:rPr>
              <w:t xml:space="preserve">Wat zijn de verschillen tussen </w:t>
            </w:r>
            <w:proofErr w:type="spellStart"/>
            <w:r w:rsidRPr="00163029">
              <w:rPr>
                <w:color w:val="000000"/>
              </w:rPr>
              <w:t>ekv</w:t>
            </w:r>
            <w:proofErr w:type="spellEnd"/>
            <w:r w:rsidRPr="00163029">
              <w:rPr>
                <w:color w:val="000000"/>
              </w:rPr>
              <w:t xml:space="preserve"> in Nederland en in andere OESO-landen? Wat gaat er gebeuren om het gelijke speelveld te herstellen?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7E80201E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145D1DC1" w14:textId="77777777">
            <w:pPr>
              <w:spacing w:before="0"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>81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63029" w:rsidR="00163029" w:rsidP="00163029" w:rsidRDefault="00163029" w14:paraId="534B3C85" w14:textId="77777777">
            <w:pPr>
              <w:spacing w:before="0" w:after="0"/>
              <w:jc w:val="right"/>
              <w:rPr>
                <w:color w:val="000000"/>
              </w:rPr>
            </w:pPr>
            <w:r w:rsidRPr="00163029">
              <w:rPr>
                <w:color w:val="000000"/>
              </w:rPr>
              <w:t xml:space="preserve"> </w:t>
            </w:r>
          </w:p>
        </w:tc>
      </w:tr>
    </w:tbl>
    <w:p w:rsidR="005A1A7C" w:rsidRDefault="005A1A7C" w14:paraId="3717F164" w14:textId="77777777"/>
    <w:sectPr w:rsidR="005A1A7C" w:rsidSect="00ED38DC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D5C5" w14:textId="77777777" w:rsidR="00FF011D" w:rsidRDefault="00FF011D">
      <w:pPr>
        <w:spacing w:before="0" w:after="0"/>
      </w:pPr>
      <w:r>
        <w:separator/>
      </w:r>
    </w:p>
  </w:endnote>
  <w:endnote w:type="continuationSeparator" w:id="0">
    <w:p w14:paraId="7132BCB7" w14:textId="77777777" w:rsidR="00FF011D" w:rsidRDefault="00FF01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2285" w14:textId="77777777" w:rsidR="005A1A7C" w:rsidRDefault="001856D0">
    <w:pPr>
      <w:pStyle w:val="Voettekst"/>
    </w:pPr>
    <w:r>
      <w:t xml:space="preserve">Totaallijst feitelijke vragen Jaarverslag Ministerie van Financiën en Nationale Schuld 2024 (36740-IX-1)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0858" w14:textId="77777777" w:rsidR="00FF011D" w:rsidRDefault="00FF011D">
      <w:pPr>
        <w:spacing w:before="0" w:after="0"/>
      </w:pPr>
      <w:r>
        <w:separator/>
      </w:r>
    </w:p>
  </w:footnote>
  <w:footnote w:type="continuationSeparator" w:id="0">
    <w:p w14:paraId="7B8E324A" w14:textId="77777777" w:rsidR="00FF011D" w:rsidRDefault="00FF011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36"/>
      <w:gridCol w:w="6121"/>
      <w:gridCol w:w="980"/>
      <w:gridCol w:w="980"/>
      <w:gridCol w:w="980"/>
    </w:tblGrid>
    <w:tr w:rsidR="0072126F" w14:paraId="608EF379" w14:textId="77777777" w:rsidTr="000C417B">
      <w:trPr>
        <w:cantSplit/>
        <w:trHeight w:val="300"/>
      </w:trPr>
      <w:tc>
        <w:tcPr>
          <w:tcW w:w="42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6EFE9ED2" w14:textId="77777777" w:rsidR="0072126F" w:rsidRDefault="0072126F" w:rsidP="0072126F">
          <w:pPr>
            <w:spacing w:before="0" w:after="0"/>
            <w:rPr>
              <w:color w:val="000000"/>
            </w:rPr>
          </w:pPr>
          <w:r>
            <w:rPr>
              <w:color w:val="000000"/>
            </w:rPr>
            <w:t>Nr</w:t>
          </w:r>
        </w:p>
      </w:tc>
      <w:tc>
        <w:tcPr>
          <w:tcW w:w="59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391FC70A" w14:textId="77777777" w:rsidR="0072126F" w:rsidRDefault="0072126F" w:rsidP="0072126F">
          <w:pPr>
            <w:rPr>
              <w:color w:val="000000"/>
            </w:rPr>
          </w:pPr>
          <w:r>
            <w:rPr>
              <w:color w:val="000000"/>
            </w:rPr>
            <w:t>Vraag</w:t>
          </w: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1323A214" w14:textId="77777777" w:rsidR="0072126F" w:rsidRDefault="0072126F" w:rsidP="0072126F">
          <w:pPr>
            <w:jc w:val="right"/>
            <w:rPr>
              <w:color w:val="000000"/>
            </w:rPr>
          </w:pPr>
          <w:r>
            <w:rPr>
              <w:color w:val="000000"/>
            </w:rPr>
            <w:t>Bijlage</w:t>
          </w: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590D8BC4" w14:textId="77777777" w:rsidR="0072126F" w:rsidRDefault="0072126F" w:rsidP="0072126F">
          <w:pPr>
            <w:jc w:val="right"/>
            <w:rPr>
              <w:color w:val="000000"/>
            </w:rPr>
          </w:pPr>
          <w:r>
            <w:rPr>
              <w:color w:val="000000"/>
            </w:rPr>
            <w:t>Blz. (van)</w:t>
          </w: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77B7C860" w14:textId="77777777" w:rsidR="0072126F" w:rsidRDefault="0072126F" w:rsidP="0072126F">
          <w:pPr>
            <w:jc w:val="center"/>
            <w:rPr>
              <w:color w:val="000000"/>
            </w:rPr>
          </w:pPr>
          <w:r>
            <w:rPr>
              <w:color w:val="000000"/>
            </w:rPr>
            <w:t>t/m</w:t>
          </w:r>
        </w:p>
      </w:tc>
    </w:tr>
  </w:tbl>
  <w:p w14:paraId="0EF966C5" w14:textId="77777777" w:rsidR="005A1A7C" w:rsidRDefault="005A1A7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63029"/>
    <w:rsid w:val="001856D0"/>
    <w:rsid w:val="001A47AF"/>
    <w:rsid w:val="001A56AB"/>
    <w:rsid w:val="00264819"/>
    <w:rsid w:val="003D44DD"/>
    <w:rsid w:val="003D62B3"/>
    <w:rsid w:val="003F2BD5"/>
    <w:rsid w:val="005543A7"/>
    <w:rsid w:val="005A1A7C"/>
    <w:rsid w:val="0066060A"/>
    <w:rsid w:val="00701B69"/>
    <w:rsid w:val="0072126F"/>
    <w:rsid w:val="00894624"/>
    <w:rsid w:val="00A77C3E"/>
    <w:rsid w:val="00B915EC"/>
    <w:rsid w:val="00C37716"/>
    <w:rsid w:val="00DA4E77"/>
    <w:rsid w:val="00DE39FD"/>
    <w:rsid w:val="00E7153D"/>
    <w:rsid w:val="00EA3923"/>
    <w:rsid w:val="00ED38DC"/>
    <w:rsid w:val="00FF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9B9D27"/>
  <w15:docId w15:val="{F99A625A-5BDA-4E6B-8559-94CB12B3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332</ap:Words>
  <ap:Characters>1826</ap:Characters>
  <ap:DocSecurity>4</ap:DocSecurity>
  <ap:Lines>15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2025-05-29T21:16:00.0000000Z</dcterms:created>
  <dcterms:modified xsi:type="dcterms:W3CDTF">2025-05-29T21:16:00.0000000Z</dcterms:modified>
  <dc:description>------------------------</dc:description>
  <dc:subject/>
  <dc:title/>
  <keywords/>
  <version/>
  <category/>
</coreProperties>
</file>