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646D" w:rsidR="00E1646D" w:rsidP="00E1646D" w:rsidRDefault="00E1646D" w14:paraId="281A5A8B" w14:textId="7ECAA0AC">
      <w:pPr>
        <w:rPr>
          <w:b/>
        </w:rPr>
      </w:pPr>
      <w:r>
        <w:rPr>
          <w:b/>
        </w:rPr>
        <w:t>Lijst van vragen</w:t>
      </w:r>
    </w:p>
    <w:p w:rsidR="00E1646D" w:rsidP="00E1646D" w:rsidRDefault="00E1646D" w14:paraId="0BBFE6C4" w14:textId="6C17E881">
      <w:r>
        <w:t>De vaste commissie voor Financiën heeft een aantal vragen voorgelegd aan de Algemene Rekenkamer over het door haar aangeboden</w:t>
      </w:r>
      <w:r>
        <w:rPr>
          <w:b/>
        </w:rPr>
        <w:t xml:space="preserve"> </w:t>
      </w:r>
      <w:r w:rsidRPr="00FD0886">
        <w:rPr>
          <w:bCs/>
        </w:rPr>
        <w:t>rapport</w:t>
      </w:r>
      <w:r>
        <w:rPr>
          <w:b/>
        </w:rPr>
        <w:t xml:space="preserve"> Resultaten verantwoordingsonderzoek 2024 bij het Ministerie van Financiën en Nationale Schuld</w:t>
      </w:r>
      <w:r>
        <w:t xml:space="preserve"> (Kamerstuk </w:t>
      </w:r>
      <w:r>
        <w:rPr>
          <w:b/>
        </w:rPr>
        <w:t>36 740-IX</w:t>
      </w:r>
      <w:r>
        <w:t xml:space="preserve">, nr. </w:t>
      </w:r>
      <w:r>
        <w:rPr>
          <w:b/>
        </w:rPr>
        <w:t>2</w:t>
      </w:r>
      <w:r>
        <w:t>).</w:t>
      </w:r>
    </w:p>
    <w:p w:rsidR="00E1646D" w:rsidP="00E1646D" w:rsidRDefault="00E1646D" w14:paraId="3781114D" w14:textId="77777777">
      <w:pPr>
        <w:spacing w:after="0"/>
      </w:pPr>
    </w:p>
    <w:p w:rsidR="00E1646D" w:rsidP="00E1646D" w:rsidRDefault="00E1646D" w14:paraId="6D8175FC" w14:textId="2126AA45">
      <w:pPr>
        <w:spacing w:after="0"/>
      </w:pPr>
      <w:r>
        <w:t xml:space="preserve">De voorzitter van de commissie, </w:t>
      </w:r>
    </w:p>
    <w:p w:rsidR="00E1646D" w:rsidP="00E1646D" w:rsidRDefault="00E1646D" w14:paraId="1A983B89" w14:textId="76D6116C">
      <w:pPr>
        <w:spacing w:after="0"/>
      </w:pPr>
      <w:r>
        <w:t>Nijhof-Leeuw</w:t>
      </w:r>
    </w:p>
    <w:p w:rsidR="00E1646D" w:rsidP="00E1646D" w:rsidRDefault="00E1646D" w14:paraId="5D30BB54" w14:textId="77777777">
      <w:pPr>
        <w:spacing w:after="0"/>
      </w:pPr>
      <w:r>
        <w:tab/>
      </w:r>
      <w:r>
        <w:tab/>
      </w:r>
    </w:p>
    <w:p w:rsidR="00E1646D" w:rsidP="00E1646D" w:rsidRDefault="00E1646D" w14:paraId="318F6713" w14:textId="5265FA05">
      <w:pPr>
        <w:spacing w:after="0"/>
      </w:pPr>
      <w:r>
        <w:t>Adjunct-griffier van de commissie,</w:t>
      </w:r>
    </w:p>
    <w:p w:rsidR="00E1646D" w:rsidP="00E1646D" w:rsidRDefault="00E1646D" w14:paraId="65720A68" w14:textId="749E0724">
      <w:pPr>
        <w:spacing w:after="0"/>
      </w:pPr>
      <w:r>
        <w:t>Van der Steur</w:t>
      </w:r>
    </w:p>
    <w:p w:rsidR="00E1646D" w:rsidP="00E1646D" w:rsidRDefault="00E1646D" w14:paraId="6306350F" w14:textId="77777777">
      <w:pPr>
        <w:spacing w:after="0"/>
      </w:pPr>
    </w:p>
    <w:p w:rsidR="00E1646D" w:rsidP="00E1646D" w:rsidRDefault="00E1646D" w14:paraId="002E7544" w14:textId="77777777">
      <w:pPr>
        <w:spacing w:after="0"/>
      </w:pPr>
    </w:p>
    <w:tbl>
      <w:tblPr>
        <w:tblW w:w="7938" w:type="dxa"/>
        <w:tblLayout w:type="fixed"/>
        <w:tblCellMar>
          <w:left w:w="70" w:type="dxa"/>
          <w:right w:w="70" w:type="dxa"/>
        </w:tblCellMar>
        <w:tblLook w:val="04A0" w:firstRow="1" w:lastRow="0" w:firstColumn="1" w:lastColumn="0" w:noHBand="0" w:noVBand="1"/>
      </w:tblPr>
      <w:tblGrid>
        <w:gridCol w:w="426"/>
        <w:gridCol w:w="7512"/>
      </w:tblGrid>
      <w:tr w:rsidRPr="00182F3E" w:rsidR="00E1646D" w:rsidTr="00E1646D" w14:paraId="27BF43FA" w14:textId="77777777">
        <w:trPr>
          <w:trHeight w:val="270"/>
        </w:trPr>
        <w:tc>
          <w:tcPr>
            <w:tcW w:w="426" w:type="dxa"/>
            <w:tcBorders>
              <w:top w:val="nil"/>
              <w:left w:val="nil"/>
              <w:bottom w:val="nil"/>
              <w:right w:val="nil"/>
            </w:tcBorders>
            <w:shd w:val="clear" w:color="auto" w:fill="auto"/>
            <w:hideMark/>
          </w:tcPr>
          <w:p w:rsidRPr="00182F3E" w:rsidR="00E1646D" w:rsidP="00652B6C" w:rsidRDefault="00E1646D" w14:paraId="11556C00" w14:textId="77777777">
            <w:pPr>
              <w:spacing w:after="0"/>
              <w:rPr>
                <w:color w:val="000000"/>
              </w:rPr>
            </w:pPr>
            <w:r w:rsidRPr="00182F3E">
              <w:rPr>
                <w:color w:val="000000"/>
              </w:rPr>
              <w:t>Nr</w:t>
            </w:r>
          </w:p>
        </w:tc>
        <w:tc>
          <w:tcPr>
            <w:tcW w:w="7512" w:type="dxa"/>
            <w:tcBorders>
              <w:top w:val="nil"/>
              <w:left w:val="nil"/>
              <w:bottom w:val="nil"/>
              <w:right w:val="nil"/>
            </w:tcBorders>
            <w:shd w:val="clear" w:color="auto" w:fill="auto"/>
            <w:hideMark/>
          </w:tcPr>
          <w:p w:rsidRPr="00182F3E" w:rsidR="00E1646D" w:rsidP="00652B6C" w:rsidRDefault="00E1646D" w14:paraId="151CFB9E" w14:textId="77777777">
            <w:pPr>
              <w:spacing w:after="0"/>
              <w:rPr>
                <w:color w:val="000000"/>
              </w:rPr>
            </w:pPr>
            <w:r w:rsidRPr="00182F3E">
              <w:rPr>
                <w:color w:val="000000"/>
              </w:rPr>
              <w:t>Vraag</w:t>
            </w:r>
          </w:p>
        </w:tc>
      </w:tr>
      <w:tr w:rsidRPr="00182F3E" w:rsidR="00E1646D" w:rsidTr="00E1646D" w14:paraId="5300DD79" w14:textId="77777777">
        <w:trPr>
          <w:trHeight w:val="765"/>
        </w:trPr>
        <w:tc>
          <w:tcPr>
            <w:tcW w:w="426" w:type="dxa"/>
            <w:tcBorders>
              <w:top w:val="nil"/>
              <w:left w:val="nil"/>
              <w:bottom w:val="nil"/>
              <w:right w:val="nil"/>
            </w:tcBorders>
            <w:shd w:val="clear" w:color="auto" w:fill="auto"/>
            <w:hideMark/>
          </w:tcPr>
          <w:p w:rsidRPr="00182F3E" w:rsidR="00E1646D" w:rsidP="00652B6C" w:rsidRDefault="00E1646D" w14:paraId="6F9FA0C3" w14:textId="77777777">
            <w:pPr>
              <w:spacing w:after="0"/>
              <w:jc w:val="right"/>
              <w:rPr>
                <w:color w:val="000000"/>
              </w:rPr>
            </w:pPr>
            <w:r w:rsidRPr="00182F3E">
              <w:rPr>
                <w:color w:val="000000"/>
              </w:rPr>
              <w:t>1</w:t>
            </w:r>
          </w:p>
        </w:tc>
        <w:tc>
          <w:tcPr>
            <w:tcW w:w="7512" w:type="dxa"/>
            <w:tcBorders>
              <w:top w:val="nil"/>
              <w:left w:val="nil"/>
              <w:bottom w:val="nil"/>
              <w:right w:val="nil"/>
            </w:tcBorders>
            <w:shd w:val="clear" w:color="auto" w:fill="auto"/>
            <w:hideMark/>
          </w:tcPr>
          <w:p w:rsidRPr="00182F3E" w:rsidR="00E1646D" w:rsidP="00652B6C" w:rsidRDefault="00E1646D" w14:paraId="59E75BF7" w14:textId="77777777">
            <w:pPr>
              <w:spacing w:after="0"/>
              <w:rPr>
                <w:color w:val="000000"/>
              </w:rPr>
            </w:pPr>
            <w:r w:rsidRPr="00182F3E">
              <w:rPr>
                <w:color w:val="000000"/>
              </w:rPr>
              <w:t xml:space="preserve">Heeft de Algemene Rekenkamer inzicht in hoe het personeelstekort bij de Douane zich verhoudt tot voorgaande jaren en hoe het verloop </w:t>
            </w:r>
            <w:r>
              <w:rPr>
                <w:color w:val="000000"/>
              </w:rPr>
              <w:t>zal</w:t>
            </w:r>
            <w:r w:rsidRPr="00182F3E">
              <w:rPr>
                <w:color w:val="000000"/>
              </w:rPr>
              <w:t xml:space="preserve"> zijn in de toekomst?</w:t>
            </w:r>
          </w:p>
        </w:tc>
      </w:tr>
      <w:tr w:rsidRPr="00182F3E" w:rsidR="00E1646D" w:rsidTr="00E1646D" w14:paraId="521E698A" w14:textId="77777777">
        <w:trPr>
          <w:trHeight w:val="510"/>
        </w:trPr>
        <w:tc>
          <w:tcPr>
            <w:tcW w:w="426" w:type="dxa"/>
            <w:tcBorders>
              <w:top w:val="nil"/>
              <w:left w:val="nil"/>
              <w:bottom w:val="nil"/>
              <w:right w:val="nil"/>
            </w:tcBorders>
            <w:shd w:val="clear" w:color="auto" w:fill="auto"/>
            <w:hideMark/>
          </w:tcPr>
          <w:p w:rsidRPr="00182F3E" w:rsidR="00E1646D" w:rsidP="00652B6C" w:rsidRDefault="00E1646D" w14:paraId="633D5847" w14:textId="77777777">
            <w:pPr>
              <w:spacing w:after="0"/>
              <w:jc w:val="right"/>
              <w:rPr>
                <w:color w:val="000000"/>
              </w:rPr>
            </w:pPr>
            <w:r w:rsidRPr="00182F3E">
              <w:rPr>
                <w:color w:val="000000"/>
              </w:rPr>
              <w:t>2</w:t>
            </w:r>
          </w:p>
        </w:tc>
        <w:tc>
          <w:tcPr>
            <w:tcW w:w="7512" w:type="dxa"/>
            <w:tcBorders>
              <w:top w:val="nil"/>
              <w:left w:val="nil"/>
              <w:bottom w:val="nil"/>
              <w:right w:val="nil"/>
            </w:tcBorders>
            <w:shd w:val="clear" w:color="auto" w:fill="auto"/>
            <w:hideMark/>
          </w:tcPr>
          <w:p w:rsidRPr="00182F3E" w:rsidR="00E1646D" w:rsidP="00652B6C" w:rsidRDefault="00E1646D" w14:paraId="43707628" w14:textId="77777777">
            <w:pPr>
              <w:spacing w:after="0"/>
              <w:rPr>
                <w:color w:val="000000"/>
              </w:rPr>
            </w:pPr>
            <w:r w:rsidRPr="00182F3E">
              <w:rPr>
                <w:color w:val="000000"/>
              </w:rPr>
              <w:t xml:space="preserve">Heeft de Algemene Rekenkamer </w:t>
            </w:r>
            <w:r>
              <w:rPr>
                <w:color w:val="000000"/>
              </w:rPr>
              <w:t xml:space="preserve">er </w:t>
            </w:r>
            <w:r w:rsidRPr="00182F3E">
              <w:rPr>
                <w:color w:val="000000"/>
              </w:rPr>
              <w:t>inzicht in of de huidige budgettering rond de hersteloperatie KOT afdoende is voor de komende jaren?</w:t>
            </w:r>
          </w:p>
        </w:tc>
      </w:tr>
      <w:tr w:rsidRPr="00182F3E" w:rsidR="00E1646D" w:rsidTr="00E1646D" w14:paraId="7E03BF52" w14:textId="77777777">
        <w:trPr>
          <w:trHeight w:val="510"/>
        </w:trPr>
        <w:tc>
          <w:tcPr>
            <w:tcW w:w="426" w:type="dxa"/>
            <w:tcBorders>
              <w:top w:val="nil"/>
              <w:left w:val="nil"/>
              <w:bottom w:val="nil"/>
              <w:right w:val="nil"/>
            </w:tcBorders>
            <w:shd w:val="clear" w:color="auto" w:fill="auto"/>
            <w:hideMark/>
          </w:tcPr>
          <w:p w:rsidRPr="00182F3E" w:rsidR="00E1646D" w:rsidP="00652B6C" w:rsidRDefault="00E1646D" w14:paraId="73C3A853" w14:textId="77777777">
            <w:pPr>
              <w:spacing w:after="0"/>
              <w:jc w:val="right"/>
              <w:rPr>
                <w:color w:val="000000"/>
              </w:rPr>
            </w:pPr>
            <w:r w:rsidRPr="00182F3E">
              <w:rPr>
                <w:color w:val="000000"/>
              </w:rPr>
              <w:t>3</w:t>
            </w:r>
          </w:p>
        </w:tc>
        <w:tc>
          <w:tcPr>
            <w:tcW w:w="7512" w:type="dxa"/>
            <w:tcBorders>
              <w:top w:val="nil"/>
              <w:left w:val="nil"/>
              <w:bottom w:val="nil"/>
              <w:right w:val="nil"/>
            </w:tcBorders>
            <w:shd w:val="clear" w:color="auto" w:fill="auto"/>
            <w:hideMark/>
          </w:tcPr>
          <w:p w:rsidRPr="00182F3E" w:rsidR="00E1646D" w:rsidP="00652B6C" w:rsidRDefault="00E1646D" w14:paraId="341D6626" w14:textId="77777777">
            <w:pPr>
              <w:spacing w:after="0"/>
              <w:rPr>
                <w:color w:val="000000"/>
              </w:rPr>
            </w:pPr>
            <w:r w:rsidRPr="00182F3E">
              <w:rPr>
                <w:color w:val="000000"/>
              </w:rPr>
              <w:t>Van welke best practices binnen de Rijksoverheid kan Financiën leren bij het aanpakken van haar onvolkomenheden en aandachtspunten?</w:t>
            </w:r>
          </w:p>
        </w:tc>
      </w:tr>
      <w:tr w:rsidRPr="00182F3E" w:rsidR="00E1646D" w:rsidTr="00E1646D" w14:paraId="7B761E21" w14:textId="77777777">
        <w:trPr>
          <w:trHeight w:val="765"/>
        </w:trPr>
        <w:tc>
          <w:tcPr>
            <w:tcW w:w="426" w:type="dxa"/>
            <w:tcBorders>
              <w:top w:val="nil"/>
              <w:left w:val="nil"/>
              <w:bottom w:val="nil"/>
              <w:right w:val="nil"/>
            </w:tcBorders>
            <w:shd w:val="clear" w:color="auto" w:fill="auto"/>
            <w:hideMark/>
          </w:tcPr>
          <w:p w:rsidRPr="00182F3E" w:rsidR="00E1646D" w:rsidP="00652B6C" w:rsidRDefault="00E1646D" w14:paraId="70CFB2FC" w14:textId="77777777">
            <w:pPr>
              <w:spacing w:after="0"/>
              <w:jc w:val="right"/>
              <w:rPr>
                <w:color w:val="000000"/>
              </w:rPr>
            </w:pPr>
            <w:r w:rsidRPr="00182F3E">
              <w:rPr>
                <w:color w:val="000000"/>
              </w:rPr>
              <w:t>4</w:t>
            </w:r>
          </w:p>
        </w:tc>
        <w:tc>
          <w:tcPr>
            <w:tcW w:w="7512" w:type="dxa"/>
            <w:tcBorders>
              <w:top w:val="nil"/>
              <w:left w:val="nil"/>
              <w:bottom w:val="nil"/>
              <w:right w:val="nil"/>
            </w:tcBorders>
            <w:shd w:val="clear" w:color="auto" w:fill="auto"/>
            <w:hideMark/>
          </w:tcPr>
          <w:p w:rsidRPr="00182F3E" w:rsidR="00E1646D" w:rsidP="00652B6C" w:rsidRDefault="00E1646D" w14:paraId="6B1253AC" w14:textId="77777777">
            <w:pPr>
              <w:spacing w:after="0"/>
              <w:rPr>
                <w:color w:val="000000"/>
              </w:rPr>
            </w:pPr>
            <w:r w:rsidRPr="00182F3E">
              <w:rPr>
                <w:color w:val="000000"/>
              </w:rPr>
              <w:t>In hoeverre zijn de hersteloperaties Toeslagen en Box 3 - naar het oordeel van de Algemene Rekenkamer – tijdelijk van karakter? En wat betekent dat voor de ‘outlook’ van de Algemene Rekenkamer t.a.v. het Ministerie van Financiën?</w:t>
            </w:r>
          </w:p>
        </w:tc>
      </w:tr>
      <w:tr w:rsidRPr="00182F3E" w:rsidR="00E1646D" w:rsidTr="00E1646D" w14:paraId="251792ED" w14:textId="77777777">
        <w:trPr>
          <w:trHeight w:val="1530"/>
        </w:trPr>
        <w:tc>
          <w:tcPr>
            <w:tcW w:w="426" w:type="dxa"/>
            <w:tcBorders>
              <w:top w:val="nil"/>
              <w:left w:val="nil"/>
              <w:bottom w:val="nil"/>
              <w:right w:val="nil"/>
            </w:tcBorders>
            <w:shd w:val="clear" w:color="auto" w:fill="auto"/>
            <w:hideMark/>
          </w:tcPr>
          <w:p w:rsidRPr="00182F3E" w:rsidR="00E1646D" w:rsidP="00652B6C" w:rsidRDefault="00E1646D" w14:paraId="7D6EC3E2" w14:textId="77777777">
            <w:pPr>
              <w:spacing w:after="0"/>
              <w:jc w:val="right"/>
              <w:rPr>
                <w:color w:val="000000"/>
              </w:rPr>
            </w:pPr>
            <w:r w:rsidRPr="00182F3E">
              <w:rPr>
                <w:color w:val="000000"/>
              </w:rPr>
              <w:t>5</w:t>
            </w:r>
          </w:p>
        </w:tc>
        <w:tc>
          <w:tcPr>
            <w:tcW w:w="7512" w:type="dxa"/>
            <w:tcBorders>
              <w:top w:val="nil"/>
              <w:left w:val="nil"/>
              <w:bottom w:val="nil"/>
              <w:right w:val="nil"/>
            </w:tcBorders>
            <w:shd w:val="clear" w:color="auto" w:fill="auto"/>
            <w:hideMark/>
          </w:tcPr>
          <w:p w:rsidRPr="00182F3E" w:rsidR="00E1646D" w:rsidP="00652B6C" w:rsidRDefault="00E1646D" w14:paraId="1D5DA486" w14:textId="77777777">
            <w:pPr>
              <w:spacing w:after="0"/>
              <w:rPr>
                <w:color w:val="000000"/>
              </w:rPr>
            </w:pPr>
            <w:r w:rsidRPr="00182F3E">
              <w:rPr>
                <w:color w:val="000000"/>
              </w:rPr>
              <w:t xml:space="preserve">Zijn er meer aanbevelingen waarop de minister niet ingaat in zijn reactie anders dan de aanbevelingen om voor de resterende </w:t>
            </w:r>
            <w:r>
              <w:rPr>
                <w:color w:val="000000"/>
              </w:rPr>
              <w:t>drie</w:t>
            </w:r>
            <w:r w:rsidRPr="00182F3E">
              <w:rPr>
                <w:color w:val="000000"/>
              </w:rPr>
              <w:t xml:space="preserve"> betaalverzoeken in het kader van het Herstel</w:t>
            </w:r>
            <w:r>
              <w:rPr>
                <w:color w:val="000000"/>
              </w:rPr>
              <w:t>-</w:t>
            </w:r>
            <w:r w:rsidRPr="00182F3E">
              <w:rPr>
                <w:color w:val="000000"/>
              </w:rPr>
              <w:t xml:space="preserve"> en Veerkracht Plan zo vroeg mogelijk in kaart te brengen welke maatregelen haalbaar zijn, en tijdig wijzigingsverzoeken voor te bereiden; en de aanbeveling om voor het vierde en vijfde betaalverzoek na te denken over alternatieve invulling om verdere financiële risico’s te beperken?</w:t>
            </w:r>
          </w:p>
        </w:tc>
      </w:tr>
      <w:tr w:rsidRPr="00182F3E" w:rsidR="00E1646D" w:rsidTr="00E1646D" w14:paraId="1A699D02" w14:textId="77777777">
        <w:trPr>
          <w:trHeight w:val="765"/>
        </w:trPr>
        <w:tc>
          <w:tcPr>
            <w:tcW w:w="426" w:type="dxa"/>
            <w:tcBorders>
              <w:top w:val="nil"/>
              <w:left w:val="nil"/>
              <w:bottom w:val="nil"/>
              <w:right w:val="nil"/>
            </w:tcBorders>
            <w:shd w:val="clear" w:color="auto" w:fill="auto"/>
            <w:hideMark/>
          </w:tcPr>
          <w:p w:rsidRPr="00182F3E" w:rsidR="00E1646D" w:rsidP="00652B6C" w:rsidRDefault="00E1646D" w14:paraId="146C628B" w14:textId="77777777">
            <w:pPr>
              <w:spacing w:after="0"/>
              <w:jc w:val="right"/>
              <w:rPr>
                <w:color w:val="000000"/>
              </w:rPr>
            </w:pPr>
            <w:r w:rsidRPr="00182F3E">
              <w:rPr>
                <w:color w:val="000000"/>
              </w:rPr>
              <w:t>6</w:t>
            </w:r>
          </w:p>
        </w:tc>
        <w:tc>
          <w:tcPr>
            <w:tcW w:w="7512" w:type="dxa"/>
            <w:tcBorders>
              <w:top w:val="nil"/>
              <w:left w:val="nil"/>
              <w:bottom w:val="nil"/>
              <w:right w:val="nil"/>
            </w:tcBorders>
            <w:shd w:val="clear" w:color="auto" w:fill="auto"/>
            <w:hideMark/>
          </w:tcPr>
          <w:p w:rsidRPr="00182F3E" w:rsidR="00E1646D" w:rsidP="00652B6C" w:rsidRDefault="00E1646D" w14:paraId="1D0D3D2C" w14:textId="77777777">
            <w:pPr>
              <w:spacing w:after="0"/>
              <w:rPr>
                <w:color w:val="000000"/>
              </w:rPr>
            </w:pPr>
            <w:r w:rsidRPr="00182F3E">
              <w:rPr>
                <w:color w:val="000000"/>
              </w:rPr>
              <w:t>In hoeverre leidt de gebrekkige bescherming tegen het onder het bestaansminimum komen tot extra schuldenproblematiek, extra faillissementen, extra uithuisplaatsingen en een hoger beroep op schuldhulpverlening?</w:t>
            </w:r>
          </w:p>
        </w:tc>
      </w:tr>
      <w:tr w:rsidRPr="00182F3E" w:rsidR="00E1646D" w:rsidTr="00E1646D" w14:paraId="7A018A59" w14:textId="77777777">
        <w:trPr>
          <w:trHeight w:val="510"/>
        </w:trPr>
        <w:tc>
          <w:tcPr>
            <w:tcW w:w="426" w:type="dxa"/>
            <w:tcBorders>
              <w:top w:val="nil"/>
              <w:left w:val="nil"/>
              <w:bottom w:val="nil"/>
              <w:right w:val="nil"/>
            </w:tcBorders>
            <w:shd w:val="clear" w:color="auto" w:fill="auto"/>
            <w:hideMark/>
          </w:tcPr>
          <w:p w:rsidRPr="00182F3E" w:rsidR="00E1646D" w:rsidP="00652B6C" w:rsidRDefault="00E1646D" w14:paraId="60B9036E" w14:textId="77777777">
            <w:pPr>
              <w:spacing w:after="0"/>
              <w:jc w:val="right"/>
              <w:rPr>
                <w:color w:val="000000"/>
              </w:rPr>
            </w:pPr>
            <w:r w:rsidRPr="00182F3E">
              <w:rPr>
                <w:color w:val="000000"/>
              </w:rPr>
              <w:t>7</w:t>
            </w:r>
          </w:p>
        </w:tc>
        <w:tc>
          <w:tcPr>
            <w:tcW w:w="7512" w:type="dxa"/>
            <w:tcBorders>
              <w:top w:val="nil"/>
              <w:left w:val="nil"/>
              <w:bottom w:val="nil"/>
              <w:right w:val="nil"/>
            </w:tcBorders>
            <w:shd w:val="clear" w:color="auto" w:fill="auto"/>
            <w:hideMark/>
          </w:tcPr>
          <w:p w:rsidRPr="00182F3E" w:rsidR="00E1646D" w:rsidP="00652B6C" w:rsidRDefault="00E1646D" w14:paraId="34C58B86" w14:textId="77777777">
            <w:pPr>
              <w:spacing w:after="0"/>
              <w:rPr>
                <w:color w:val="000000"/>
              </w:rPr>
            </w:pPr>
            <w:r w:rsidRPr="00182F3E">
              <w:rPr>
                <w:color w:val="000000"/>
              </w:rPr>
              <w:t>In hoeverre hebben de risico’s bij het algoritme Persoonlijk Begeleiden door Toeslagen zich gematerialiseerd?</w:t>
            </w:r>
          </w:p>
        </w:tc>
      </w:tr>
      <w:tr w:rsidRPr="00182F3E" w:rsidR="00E1646D" w:rsidTr="00E1646D" w14:paraId="54D80E70" w14:textId="77777777">
        <w:trPr>
          <w:trHeight w:val="510"/>
        </w:trPr>
        <w:tc>
          <w:tcPr>
            <w:tcW w:w="426" w:type="dxa"/>
            <w:tcBorders>
              <w:top w:val="nil"/>
              <w:left w:val="nil"/>
              <w:bottom w:val="nil"/>
              <w:right w:val="nil"/>
            </w:tcBorders>
            <w:shd w:val="clear" w:color="auto" w:fill="auto"/>
            <w:hideMark/>
          </w:tcPr>
          <w:p w:rsidRPr="00182F3E" w:rsidR="00E1646D" w:rsidP="00652B6C" w:rsidRDefault="00E1646D" w14:paraId="2825626F" w14:textId="77777777">
            <w:pPr>
              <w:spacing w:after="0"/>
              <w:jc w:val="right"/>
              <w:rPr>
                <w:color w:val="000000"/>
              </w:rPr>
            </w:pPr>
            <w:r w:rsidRPr="00182F3E">
              <w:rPr>
                <w:color w:val="000000"/>
              </w:rPr>
              <w:t>8</w:t>
            </w:r>
          </w:p>
        </w:tc>
        <w:tc>
          <w:tcPr>
            <w:tcW w:w="7512" w:type="dxa"/>
            <w:tcBorders>
              <w:top w:val="nil"/>
              <w:left w:val="nil"/>
              <w:bottom w:val="nil"/>
              <w:right w:val="nil"/>
            </w:tcBorders>
            <w:shd w:val="clear" w:color="auto" w:fill="auto"/>
            <w:hideMark/>
          </w:tcPr>
          <w:p w:rsidRPr="00182F3E" w:rsidR="00E1646D" w:rsidP="00652B6C" w:rsidRDefault="00E1646D" w14:paraId="3D3DF798" w14:textId="77777777">
            <w:pPr>
              <w:spacing w:after="0"/>
              <w:rPr>
                <w:color w:val="000000"/>
              </w:rPr>
            </w:pPr>
            <w:r w:rsidRPr="00182F3E">
              <w:rPr>
                <w:color w:val="000000"/>
              </w:rPr>
              <w:t>In hoeverre is het algoritme voor het opsporen van carrouselfraude opschaalbaar?</w:t>
            </w:r>
          </w:p>
        </w:tc>
      </w:tr>
      <w:tr w:rsidRPr="00182F3E" w:rsidR="00E1646D" w:rsidTr="00E1646D" w14:paraId="10D11FA7" w14:textId="77777777">
        <w:trPr>
          <w:trHeight w:val="1020"/>
        </w:trPr>
        <w:tc>
          <w:tcPr>
            <w:tcW w:w="426" w:type="dxa"/>
            <w:tcBorders>
              <w:top w:val="nil"/>
              <w:left w:val="nil"/>
              <w:bottom w:val="nil"/>
              <w:right w:val="nil"/>
            </w:tcBorders>
            <w:shd w:val="clear" w:color="auto" w:fill="auto"/>
            <w:hideMark/>
          </w:tcPr>
          <w:p w:rsidRPr="00182F3E" w:rsidR="00E1646D" w:rsidP="00652B6C" w:rsidRDefault="00E1646D" w14:paraId="7FAEB00E" w14:textId="77777777">
            <w:pPr>
              <w:spacing w:after="0"/>
              <w:jc w:val="right"/>
              <w:rPr>
                <w:color w:val="000000"/>
              </w:rPr>
            </w:pPr>
            <w:r w:rsidRPr="00182F3E">
              <w:rPr>
                <w:color w:val="000000"/>
              </w:rPr>
              <w:t>9</w:t>
            </w:r>
          </w:p>
        </w:tc>
        <w:tc>
          <w:tcPr>
            <w:tcW w:w="7512" w:type="dxa"/>
            <w:tcBorders>
              <w:top w:val="nil"/>
              <w:left w:val="nil"/>
              <w:bottom w:val="nil"/>
              <w:right w:val="nil"/>
            </w:tcBorders>
            <w:shd w:val="clear" w:color="auto" w:fill="auto"/>
            <w:hideMark/>
          </w:tcPr>
          <w:p w:rsidRPr="00182F3E" w:rsidR="00E1646D" w:rsidP="00652B6C" w:rsidRDefault="00E1646D" w14:paraId="6BA51354" w14:textId="77777777">
            <w:pPr>
              <w:spacing w:after="0"/>
              <w:rPr>
                <w:color w:val="000000"/>
              </w:rPr>
            </w:pPr>
            <w:r w:rsidRPr="00182F3E">
              <w:rPr>
                <w:color w:val="000000"/>
              </w:rPr>
              <w:t>Hoe doeltreffend en doelmatig is het algoritme voor het opsporen van carrouselfraude</w:t>
            </w:r>
            <w:r>
              <w:rPr>
                <w:color w:val="000000"/>
              </w:rPr>
              <w:t>,</w:t>
            </w:r>
            <w:r w:rsidRPr="00182F3E">
              <w:rPr>
                <w:color w:val="000000"/>
              </w:rPr>
              <w:t xml:space="preserve"> gegeven de toegevoegde waarde in het voorkomen van € 552.000 schade en de geschatte jaarlijkse schade door carrouselfraude in Nederland van € 1.500.000.000?</w:t>
            </w:r>
          </w:p>
        </w:tc>
      </w:tr>
      <w:tr w:rsidRPr="00182F3E" w:rsidR="00E1646D" w:rsidTr="00E1646D" w14:paraId="562EA149" w14:textId="77777777">
        <w:trPr>
          <w:trHeight w:val="765"/>
        </w:trPr>
        <w:tc>
          <w:tcPr>
            <w:tcW w:w="426" w:type="dxa"/>
            <w:tcBorders>
              <w:top w:val="nil"/>
              <w:left w:val="nil"/>
              <w:bottom w:val="nil"/>
              <w:right w:val="nil"/>
            </w:tcBorders>
            <w:shd w:val="clear" w:color="auto" w:fill="auto"/>
            <w:hideMark/>
          </w:tcPr>
          <w:p w:rsidRPr="00182F3E" w:rsidR="00E1646D" w:rsidP="00652B6C" w:rsidRDefault="00E1646D" w14:paraId="41B8138C" w14:textId="77777777">
            <w:pPr>
              <w:spacing w:after="0"/>
              <w:jc w:val="right"/>
              <w:rPr>
                <w:color w:val="000000"/>
              </w:rPr>
            </w:pPr>
            <w:r w:rsidRPr="00182F3E">
              <w:rPr>
                <w:color w:val="000000"/>
              </w:rPr>
              <w:t>10</w:t>
            </w:r>
          </w:p>
        </w:tc>
        <w:tc>
          <w:tcPr>
            <w:tcW w:w="7512" w:type="dxa"/>
            <w:tcBorders>
              <w:top w:val="nil"/>
              <w:left w:val="nil"/>
              <w:bottom w:val="nil"/>
              <w:right w:val="nil"/>
            </w:tcBorders>
            <w:shd w:val="clear" w:color="auto" w:fill="auto"/>
            <w:hideMark/>
          </w:tcPr>
          <w:p w:rsidRPr="00182F3E" w:rsidR="00E1646D" w:rsidP="00652B6C" w:rsidRDefault="00E1646D" w14:paraId="4DD2BF72" w14:textId="77777777">
            <w:pPr>
              <w:spacing w:after="0"/>
              <w:rPr>
                <w:color w:val="000000"/>
              </w:rPr>
            </w:pPr>
            <w:r w:rsidRPr="00182F3E">
              <w:rPr>
                <w:color w:val="000000"/>
              </w:rPr>
              <w:t>In hoeverre is het aandachtspunt van verlengingsopties van tijdelijke aard</w:t>
            </w:r>
            <w:r>
              <w:rPr>
                <w:color w:val="000000"/>
              </w:rPr>
              <w:t>,</w:t>
            </w:r>
            <w:r w:rsidRPr="00182F3E">
              <w:rPr>
                <w:color w:val="000000"/>
              </w:rPr>
              <w:t xml:space="preserve"> gegeven het feit dat in 2025 het merendeel van de nieuwe verlengingen onder de nieuwe werkwijze vallen?</w:t>
            </w:r>
          </w:p>
        </w:tc>
      </w:tr>
      <w:tr w:rsidRPr="00182F3E" w:rsidR="00E1646D" w:rsidTr="00E1646D" w14:paraId="5F8F726E" w14:textId="77777777">
        <w:trPr>
          <w:trHeight w:val="765"/>
        </w:trPr>
        <w:tc>
          <w:tcPr>
            <w:tcW w:w="426" w:type="dxa"/>
            <w:tcBorders>
              <w:top w:val="nil"/>
              <w:left w:val="nil"/>
              <w:bottom w:val="nil"/>
              <w:right w:val="nil"/>
            </w:tcBorders>
            <w:shd w:val="clear" w:color="auto" w:fill="auto"/>
            <w:hideMark/>
          </w:tcPr>
          <w:p w:rsidRPr="00182F3E" w:rsidR="00E1646D" w:rsidP="00652B6C" w:rsidRDefault="00E1646D" w14:paraId="55EE3F0A" w14:textId="77777777">
            <w:pPr>
              <w:spacing w:after="0"/>
              <w:jc w:val="right"/>
              <w:rPr>
                <w:color w:val="000000"/>
              </w:rPr>
            </w:pPr>
            <w:r w:rsidRPr="00182F3E">
              <w:rPr>
                <w:color w:val="000000"/>
              </w:rPr>
              <w:t>11</w:t>
            </w:r>
          </w:p>
        </w:tc>
        <w:tc>
          <w:tcPr>
            <w:tcW w:w="7512" w:type="dxa"/>
            <w:tcBorders>
              <w:top w:val="nil"/>
              <w:left w:val="nil"/>
              <w:bottom w:val="nil"/>
              <w:right w:val="nil"/>
            </w:tcBorders>
            <w:shd w:val="clear" w:color="auto" w:fill="auto"/>
            <w:hideMark/>
          </w:tcPr>
          <w:p w:rsidRPr="00182F3E" w:rsidR="00E1646D" w:rsidP="00652B6C" w:rsidRDefault="00E1646D" w14:paraId="2FF55473" w14:textId="77777777">
            <w:pPr>
              <w:spacing w:after="0"/>
              <w:rPr>
                <w:color w:val="000000"/>
              </w:rPr>
            </w:pPr>
            <w:r w:rsidRPr="00182F3E">
              <w:rPr>
                <w:color w:val="000000"/>
              </w:rPr>
              <w:t>In hoeverre bleek het bij de onvoldoende gemotiveerde enkelvoudige onderhandse procedures zonder aankondiging alsnog mogelijk om deze voldoende te motiveren?</w:t>
            </w:r>
          </w:p>
        </w:tc>
      </w:tr>
      <w:tr w:rsidRPr="00182F3E" w:rsidR="00E1646D" w:rsidTr="00E1646D" w14:paraId="7B586933" w14:textId="77777777">
        <w:trPr>
          <w:trHeight w:val="765"/>
        </w:trPr>
        <w:tc>
          <w:tcPr>
            <w:tcW w:w="426" w:type="dxa"/>
            <w:tcBorders>
              <w:top w:val="nil"/>
              <w:left w:val="nil"/>
              <w:bottom w:val="nil"/>
              <w:right w:val="nil"/>
            </w:tcBorders>
            <w:shd w:val="clear" w:color="auto" w:fill="auto"/>
            <w:hideMark/>
          </w:tcPr>
          <w:p w:rsidRPr="00182F3E" w:rsidR="00E1646D" w:rsidP="00652B6C" w:rsidRDefault="00E1646D" w14:paraId="1D25D8FB" w14:textId="77777777">
            <w:pPr>
              <w:spacing w:after="0"/>
              <w:jc w:val="right"/>
              <w:rPr>
                <w:color w:val="000000"/>
              </w:rPr>
            </w:pPr>
            <w:r w:rsidRPr="00182F3E">
              <w:rPr>
                <w:color w:val="000000"/>
              </w:rPr>
              <w:lastRenderedPageBreak/>
              <w:t>12</w:t>
            </w:r>
          </w:p>
        </w:tc>
        <w:tc>
          <w:tcPr>
            <w:tcW w:w="7512" w:type="dxa"/>
            <w:tcBorders>
              <w:top w:val="nil"/>
              <w:left w:val="nil"/>
              <w:bottom w:val="nil"/>
              <w:right w:val="nil"/>
            </w:tcBorders>
            <w:shd w:val="clear" w:color="auto" w:fill="auto"/>
            <w:hideMark/>
          </w:tcPr>
          <w:p w:rsidRPr="00182F3E" w:rsidR="00E1646D" w:rsidP="00652B6C" w:rsidRDefault="00E1646D" w14:paraId="5001D014" w14:textId="77777777">
            <w:pPr>
              <w:spacing w:after="0"/>
              <w:rPr>
                <w:color w:val="000000"/>
              </w:rPr>
            </w:pPr>
            <w:r w:rsidRPr="00182F3E">
              <w:rPr>
                <w:color w:val="000000"/>
              </w:rPr>
              <w:t>Wat is de toegevoegde waarde van het opnemen van de onzekerheid over de volledigheid van belastingontvangsten</w:t>
            </w:r>
            <w:r>
              <w:rPr>
                <w:color w:val="000000"/>
              </w:rPr>
              <w:t>,</w:t>
            </w:r>
            <w:r w:rsidRPr="00182F3E">
              <w:rPr>
                <w:color w:val="000000"/>
              </w:rPr>
              <w:t xml:space="preserve"> aangezien deze inherent niet volledig oplosbaar is</w:t>
            </w:r>
            <w:r>
              <w:rPr>
                <w:color w:val="000000"/>
              </w:rPr>
              <w:t>,</w:t>
            </w:r>
            <w:r w:rsidRPr="00182F3E">
              <w:rPr>
                <w:color w:val="000000"/>
              </w:rPr>
              <w:t xml:space="preserve"> gegeven de afhankelijkheid van informatie van derden?</w:t>
            </w:r>
          </w:p>
        </w:tc>
      </w:tr>
      <w:tr w:rsidRPr="00182F3E" w:rsidR="00E1646D" w:rsidTr="00E1646D" w14:paraId="01AB4622" w14:textId="77777777">
        <w:trPr>
          <w:trHeight w:val="1275"/>
        </w:trPr>
        <w:tc>
          <w:tcPr>
            <w:tcW w:w="426" w:type="dxa"/>
            <w:tcBorders>
              <w:top w:val="nil"/>
              <w:left w:val="nil"/>
              <w:bottom w:val="nil"/>
              <w:right w:val="nil"/>
            </w:tcBorders>
            <w:shd w:val="clear" w:color="auto" w:fill="auto"/>
            <w:hideMark/>
          </w:tcPr>
          <w:p w:rsidRPr="00182F3E" w:rsidR="00E1646D" w:rsidP="00652B6C" w:rsidRDefault="00E1646D" w14:paraId="09C8B534" w14:textId="77777777">
            <w:pPr>
              <w:spacing w:after="0"/>
              <w:jc w:val="right"/>
              <w:rPr>
                <w:color w:val="000000"/>
              </w:rPr>
            </w:pPr>
            <w:r w:rsidRPr="00182F3E">
              <w:rPr>
                <w:color w:val="000000"/>
              </w:rPr>
              <w:t>13</w:t>
            </w:r>
          </w:p>
        </w:tc>
        <w:tc>
          <w:tcPr>
            <w:tcW w:w="7512" w:type="dxa"/>
            <w:tcBorders>
              <w:top w:val="nil"/>
              <w:left w:val="nil"/>
              <w:bottom w:val="nil"/>
              <w:right w:val="nil"/>
            </w:tcBorders>
            <w:shd w:val="clear" w:color="auto" w:fill="auto"/>
            <w:hideMark/>
          </w:tcPr>
          <w:p w:rsidRPr="00182F3E" w:rsidR="00E1646D" w:rsidP="00652B6C" w:rsidRDefault="00E1646D" w14:paraId="73DC401D" w14:textId="77777777">
            <w:pPr>
              <w:spacing w:after="0"/>
              <w:rPr>
                <w:color w:val="000000"/>
              </w:rPr>
            </w:pPr>
            <w:r w:rsidRPr="00182F3E">
              <w:rPr>
                <w:color w:val="000000"/>
              </w:rPr>
              <w:t>Ziet de Algemene Rekenkamer meerwaarde in een tabel met aparte kolommen voor bevindingen; daaruit volgende aanbevelingen; de reactie minister op de aanbevelingen; en het verschil tussen aanbeveling en reactie minister? Zo ja, is de Algemene Rekenkamer bereid deze in het vervolg op te nemen? Zo nee, waarom niet?</w:t>
            </w:r>
          </w:p>
        </w:tc>
      </w:tr>
      <w:tr w:rsidRPr="00182F3E" w:rsidR="00E1646D" w:rsidTr="00E1646D" w14:paraId="08DE4D7C" w14:textId="77777777">
        <w:trPr>
          <w:trHeight w:val="1020"/>
        </w:trPr>
        <w:tc>
          <w:tcPr>
            <w:tcW w:w="426" w:type="dxa"/>
            <w:tcBorders>
              <w:top w:val="nil"/>
              <w:left w:val="nil"/>
              <w:bottom w:val="nil"/>
              <w:right w:val="nil"/>
            </w:tcBorders>
            <w:shd w:val="clear" w:color="auto" w:fill="auto"/>
            <w:hideMark/>
          </w:tcPr>
          <w:p w:rsidRPr="00182F3E" w:rsidR="00E1646D" w:rsidP="00652B6C" w:rsidRDefault="00E1646D" w14:paraId="22AE442B" w14:textId="77777777">
            <w:pPr>
              <w:spacing w:after="0"/>
              <w:jc w:val="right"/>
              <w:rPr>
                <w:color w:val="000000"/>
              </w:rPr>
            </w:pPr>
            <w:r w:rsidRPr="00182F3E">
              <w:rPr>
                <w:color w:val="000000"/>
              </w:rPr>
              <w:t>14</w:t>
            </w:r>
          </w:p>
        </w:tc>
        <w:tc>
          <w:tcPr>
            <w:tcW w:w="7512" w:type="dxa"/>
            <w:tcBorders>
              <w:top w:val="nil"/>
              <w:left w:val="nil"/>
              <w:bottom w:val="nil"/>
              <w:right w:val="nil"/>
            </w:tcBorders>
            <w:shd w:val="clear" w:color="auto" w:fill="auto"/>
            <w:hideMark/>
          </w:tcPr>
          <w:p w:rsidRPr="00182F3E" w:rsidR="00E1646D" w:rsidP="00652B6C" w:rsidRDefault="00E1646D" w14:paraId="1279F9D9" w14:textId="77777777">
            <w:pPr>
              <w:spacing w:after="0"/>
              <w:rPr>
                <w:color w:val="000000"/>
              </w:rPr>
            </w:pPr>
            <w:r w:rsidRPr="00182F3E">
              <w:rPr>
                <w:color w:val="000000"/>
              </w:rPr>
              <w:t>Hoe verhoudt de stelling van de Algemene Rekenkamer “dat het ministerie een groot gebrek heeft aan personeel” (p.4) zich tot de melding van de minister dat “behalve de Douane (die net onder de formatie zit) alle dienstonderdelen waaronder de IV-functie afgelopen volledig op formatie zijn gekomen”?</w:t>
            </w:r>
          </w:p>
        </w:tc>
      </w:tr>
      <w:tr w:rsidRPr="00182F3E" w:rsidR="00E1646D" w:rsidTr="00E1646D" w14:paraId="15D4E3A7" w14:textId="77777777">
        <w:trPr>
          <w:trHeight w:val="510"/>
        </w:trPr>
        <w:tc>
          <w:tcPr>
            <w:tcW w:w="426" w:type="dxa"/>
            <w:tcBorders>
              <w:top w:val="nil"/>
              <w:left w:val="nil"/>
              <w:bottom w:val="nil"/>
              <w:right w:val="nil"/>
            </w:tcBorders>
            <w:shd w:val="clear" w:color="auto" w:fill="auto"/>
            <w:hideMark/>
          </w:tcPr>
          <w:p w:rsidRPr="00182F3E" w:rsidR="00E1646D" w:rsidP="00652B6C" w:rsidRDefault="00E1646D" w14:paraId="534F336F" w14:textId="77777777">
            <w:pPr>
              <w:spacing w:after="0"/>
              <w:jc w:val="right"/>
              <w:rPr>
                <w:color w:val="000000"/>
              </w:rPr>
            </w:pPr>
            <w:r w:rsidRPr="00182F3E">
              <w:rPr>
                <w:color w:val="000000"/>
              </w:rPr>
              <w:t>15</w:t>
            </w:r>
          </w:p>
        </w:tc>
        <w:tc>
          <w:tcPr>
            <w:tcW w:w="7512" w:type="dxa"/>
            <w:tcBorders>
              <w:top w:val="nil"/>
              <w:left w:val="nil"/>
              <w:bottom w:val="nil"/>
              <w:right w:val="nil"/>
            </w:tcBorders>
            <w:shd w:val="clear" w:color="auto" w:fill="auto"/>
            <w:hideMark/>
          </w:tcPr>
          <w:p w:rsidRPr="00182F3E" w:rsidR="00E1646D" w:rsidP="00652B6C" w:rsidRDefault="00E1646D" w14:paraId="20751BAB" w14:textId="77777777">
            <w:pPr>
              <w:spacing w:after="0"/>
              <w:rPr>
                <w:color w:val="000000"/>
              </w:rPr>
            </w:pPr>
            <w:r w:rsidRPr="00182F3E">
              <w:rPr>
                <w:color w:val="000000"/>
              </w:rPr>
              <w:t>Hoe beoordeelt de Algemene Rekenkamer het streven van de minister om met ingang van 1 januari 2026 het CDI-office te positioneren bij de directie FEZ?</w:t>
            </w:r>
          </w:p>
        </w:tc>
      </w:tr>
    </w:tbl>
    <w:p w:rsidR="00E1646D" w:rsidP="00E1646D" w:rsidRDefault="00E1646D" w14:paraId="232E314C" w14:textId="77777777"/>
    <w:p w:rsidR="00766FA0" w:rsidRDefault="00766FA0" w14:paraId="3E25E9DB" w14:textId="77777777"/>
    <w:sectPr w:rsidR="00766FA0" w:rsidSect="00E1646D">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D3BD" w14:textId="77777777" w:rsidR="00E1646D" w:rsidRDefault="00E1646D" w:rsidP="00E1646D">
      <w:pPr>
        <w:spacing w:after="0" w:line="240" w:lineRule="auto"/>
      </w:pPr>
      <w:r>
        <w:separator/>
      </w:r>
    </w:p>
  </w:endnote>
  <w:endnote w:type="continuationSeparator" w:id="0">
    <w:p w14:paraId="6F2928B9" w14:textId="77777777" w:rsidR="00E1646D" w:rsidRDefault="00E1646D" w:rsidP="00E1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DF7C" w14:textId="77777777" w:rsidR="00E1646D" w:rsidRPr="00E1646D" w:rsidRDefault="00E1646D" w:rsidP="00E164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0124" w14:textId="77777777" w:rsidR="00E1646D" w:rsidRPr="00E1646D" w:rsidRDefault="00E1646D" w:rsidP="00E164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75DD" w14:textId="77777777" w:rsidR="00E1646D" w:rsidRPr="00E1646D" w:rsidRDefault="00E1646D" w:rsidP="00E164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BE30" w14:textId="77777777" w:rsidR="00E1646D" w:rsidRDefault="00E1646D" w:rsidP="00E1646D">
      <w:pPr>
        <w:spacing w:after="0" w:line="240" w:lineRule="auto"/>
      </w:pPr>
      <w:r>
        <w:separator/>
      </w:r>
    </w:p>
  </w:footnote>
  <w:footnote w:type="continuationSeparator" w:id="0">
    <w:p w14:paraId="038DB20B" w14:textId="77777777" w:rsidR="00E1646D" w:rsidRDefault="00E1646D" w:rsidP="00E16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9ABF" w14:textId="77777777" w:rsidR="00E1646D" w:rsidRPr="00E1646D" w:rsidRDefault="00E1646D" w:rsidP="00E164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0985" w14:textId="77777777" w:rsidR="00E1646D" w:rsidRPr="00E1646D" w:rsidRDefault="00E1646D" w:rsidP="00E164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1DFE" w14:textId="77777777" w:rsidR="00E1646D" w:rsidRPr="00E1646D" w:rsidRDefault="00E1646D" w:rsidP="00E164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6D"/>
    <w:rsid w:val="006E15CA"/>
    <w:rsid w:val="00766FA0"/>
    <w:rsid w:val="00B35F81"/>
    <w:rsid w:val="00E1646D"/>
    <w:rsid w:val="00F06C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7F41"/>
  <w15:chartTrackingRefBased/>
  <w15:docId w15:val="{BA39C322-D196-495C-9D38-99E7F0DE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64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164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1646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1646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1646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164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4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4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4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46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1646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1646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1646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1646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164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4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4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46D"/>
    <w:rPr>
      <w:rFonts w:eastAsiaTheme="majorEastAsia" w:cstheme="majorBidi"/>
      <w:color w:val="272727" w:themeColor="text1" w:themeTint="D8"/>
    </w:rPr>
  </w:style>
  <w:style w:type="paragraph" w:styleId="Titel">
    <w:name w:val="Title"/>
    <w:basedOn w:val="Standaard"/>
    <w:next w:val="Standaard"/>
    <w:link w:val="TitelChar"/>
    <w:uiPriority w:val="10"/>
    <w:qFormat/>
    <w:rsid w:val="00E16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4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4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4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4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46D"/>
    <w:rPr>
      <w:i/>
      <w:iCs/>
      <w:color w:val="404040" w:themeColor="text1" w:themeTint="BF"/>
    </w:rPr>
  </w:style>
  <w:style w:type="paragraph" w:styleId="Lijstalinea">
    <w:name w:val="List Paragraph"/>
    <w:basedOn w:val="Standaard"/>
    <w:uiPriority w:val="34"/>
    <w:qFormat/>
    <w:rsid w:val="00E1646D"/>
    <w:pPr>
      <w:ind w:left="720"/>
      <w:contextualSpacing/>
    </w:pPr>
  </w:style>
  <w:style w:type="character" w:styleId="Intensievebenadrukking">
    <w:name w:val="Intense Emphasis"/>
    <w:basedOn w:val="Standaardalinea-lettertype"/>
    <w:uiPriority w:val="21"/>
    <w:qFormat/>
    <w:rsid w:val="00E1646D"/>
    <w:rPr>
      <w:i/>
      <w:iCs/>
      <w:color w:val="2F5496" w:themeColor="accent1" w:themeShade="BF"/>
    </w:rPr>
  </w:style>
  <w:style w:type="paragraph" w:styleId="Duidelijkcitaat">
    <w:name w:val="Intense Quote"/>
    <w:basedOn w:val="Standaard"/>
    <w:next w:val="Standaard"/>
    <w:link w:val="DuidelijkcitaatChar"/>
    <w:uiPriority w:val="30"/>
    <w:qFormat/>
    <w:rsid w:val="00E16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1646D"/>
    <w:rPr>
      <w:i/>
      <w:iCs/>
      <w:color w:val="2F5496" w:themeColor="accent1" w:themeShade="BF"/>
    </w:rPr>
  </w:style>
  <w:style w:type="character" w:styleId="Intensieveverwijzing">
    <w:name w:val="Intense Reference"/>
    <w:basedOn w:val="Standaardalinea-lettertype"/>
    <w:uiPriority w:val="32"/>
    <w:qFormat/>
    <w:rsid w:val="00E1646D"/>
    <w:rPr>
      <w:b/>
      <w:bCs/>
      <w:smallCaps/>
      <w:color w:val="2F5496" w:themeColor="accent1" w:themeShade="BF"/>
      <w:spacing w:val="5"/>
    </w:rPr>
  </w:style>
  <w:style w:type="paragraph" w:styleId="Koptekst">
    <w:name w:val="header"/>
    <w:basedOn w:val="Standaard"/>
    <w:link w:val="KoptekstChar"/>
    <w:uiPriority w:val="99"/>
    <w:unhideWhenUsed/>
    <w:rsid w:val="00E1646D"/>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E1646D"/>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E1646D"/>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E1646D"/>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540</ap:Words>
  <ap:Characters>2973</ap:Characters>
  <ap:DocSecurity>0</ap:DocSecurity>
  <ap:Lines>24</ap:Lines>
  <ap:Paragraphs>7</ap:Paragraphs>
  <ap:ScaleCrop>false</ap:ScaleCrop>
  <ap:LinksUpToDate>false</ap:LinksUpToDate>
  <ap:CharactersWithSpaces>3506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2025-06-03T10:42:00.0000000Z</dcterms:created>
  <dcterms:modified xsi:type="dcterms:W3CDTF">2025-06-03T11:12:00.0000000Z</dcterms:modified>
  <version/>
  <category/>
</coreProperties>
</file>