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554" w:rsidR="00214554" w:rsidP="00214554" w:rsidRDefault="00214554" w14:paraId="4EA385A6" w14:textId="0DD26C00">
      <w:pPr>
        <w:rPr>
          <w:b/>
        </w:rPr>
      </w:pPr>
      <w:r>
        <w:rPr>
          <w:b/>
        </w:rPr>
        <w:t>Lijst van vragen en antwoorden</w:t>
      </w:r>
    </w:p>
    <w:p w:rsidR="00214554" w:rsidP="00214554" w:rsidRDefault="00214554" w14:paraId="45DA4663" w14:textId="0BF2FF7B">
      <w:r>
        <w:t xml:space="preserve">De commissie voor de Rijksuitgaven heeft een aantal vragen voorgelegd aan de minister van Financiën over </w:t>
      </w:r>
      <w:r w:rsidRPr="0000574F">
        <w:t>het door de Algemene Rekenkamer aangeboden</w:t>
      </w:r>
      <w:r>
        <w:t xml:space="preserve"> </w:t>
      </w:r>
      <w:r>
        <w:rPr>
          <w:b/>
        </w:rPr>
        <w:t>rapport Staat van de rijksverantwoording 2024</w:t>
      </w:r>
      <w:r>
        <w:t xml:space="preserve"> (</w:t>
      </w:r>
      <w:r w:rsidRPr="00214554">
        <w:rPr>
          <w:b/>
          <w:bCs/>
        </w:rPr>
        <w:t>Kamerstuk</w:t>
      </w:r>
      <w:r>
        <w:t xml:space="preserve"> </w:t>
      </w:r>
      <w:r>
        <w:rPr>
          <w:b/>
        </w:rPr>
        <w:t>36 740</w:t>
      </w:r>
      <w:r>
        <w:t xml:space="preserve">, nr. </w:t>
      </w:r>
      <w:r>
        <w:rPr>
          <w:b/>
        </w:rPr>
        <w:t>3</w:t>
      </w:r>
      <w:r>
        <w:t>).</w:t>
      </w:r>
    </w:p>
    <w:p w:rsidR="00214554" w:rsidP="00214554" w:rsidRDefault="00214554" w14:paraId="47F2BD21" w14:textId="77777777">
      <w:pPr>
        <w:spacing w:after="0"/>
      </w:pPr>
    </w:p>
    <w:p w:rsidR="00214554" w:rsidP="00214554" w:rsidRDefault="00214554" w14:paraId="464E74AD" w14:textId="62B588F7">
      <w:pPr>
        <w:spacing w:after="0"/>
      </w:pPr>
      <w:r>
        <w:t xml:space="preserve">De voorzitter van de commissie, </w:t>
      </w:r>
    </w:p>
    <w:p w:rsidR="00214554" w:rsidP="00214554" w:rsidRDefault="00214554" w14:paraId="4ADEFAF2" w14:textId="72FA71A8">
      <w:pPr>
        <w:spacing w:after="0"/>
      </w:pPr>
      <w:r>
        <w:t>Sneller</w:t>
      </w:r>
    </w:p>
    <w:p w:rsidR="00214554" w:rsidP="00214554" w:rsidRDefault="00214554" w14:paraId="674DF78B" w14:textId="77777777">
      <w:pPr>
        <w:spacing w:after="0"/>
      </w:pPr>
      <w:r>
        <w:tab/>
      </w:r>
      <w:r>
        <w:tab/>
      </w:r>
    </w:p>
    <w:p w:rsidR="00214554" w:rsidP="00214554" w:rsidRDefault="00214554" w14:paraId="351E8356" w14:textId="1A7606CB">
      <w:pPr>
        <w:spacing w:after="0"/>
      </w:pPr>
      <w:r>
        <w:t>Adjunct-griffier van de commissie,</w:t>
      </w:r>
    </w:p>
    <w:p w:rsidR="00214554" w:rsidP="00214554" w:rsidRDefault="00214554" w14:paraId="6EA14D09" w14:textId="44106E44">
      <w:pPr>
        <w:spacing w:after="0"/>
      </w:pPr>
      <w:r>
        <w:t>Van der Steur</w:t>
      </w:r>
    </w:p>
    <w:p w:rsidR="00214554" w:rsidP="00214554" w:rsidRDefault="00214554" w14:paraId="3D154775" w14:textId="77777777"/>
    <w:tbl>
      <w:tblPr>
        <w:tblW w:w="8080" w:type="dxa"/>
        <w:tblLayout w:type="fixed"/>
        <w:tblCellMar>
          <w:left w:w="70" w:type="dxa"/>
          <w:right w:w="70" w:type="dxa"/>
        </w:tblCellMar>
        <w:tblLook w:val="04A0" w:firstRow="1" w:lastRow="0" w:firstColumn="1" w:lastColumn="0" w:noHBand="0" w:noVBand="1"/>
      </w:tblPr>
      <w:tblGrid>
        <w:gridCol w:w="426"/>
        <w:gridCol w:w="7654"/>
      </w:tblGrid>
      <w:tr w:rsidRPr="00145BE5" w:rsidR="00214554" w:rsidTr="00214554" w14:paraId="147B6F82" w14:textId="77777777">
        <w:trPr>
          <w:trHeight w:val="300"/>
        </w:trPr>
        <w:tc>
          <w:tcPr>
            <w:tcW w:w="426" w:type="dxa"/>
            <w:tcBorders>
              <w:top w:val="nil"/>
              <w:left w:val="nil"/>
              <w:bottom w:val="nil"/>
              <w:right w:val="nil"/>
            </w:tcBorders>
            <w:shd w:val="clear" w:color="auto" w:fill="auto"/>
            <w:hideMark/>
          </w:tcPr>
          <w:p w:rsidRPr="00145BE5" w:rsidR="00214554" w:rsidP="00652B6C" w:rsidRDefault="00214554" w14:paraId="746330A3" w14:textId="77777777">
            <w:pPr>
              <w:spacing w:after="0"/>
              <w:rPr>
                <w:color w:val="000000"/>
              </w:rPr>
            </w:pPr>
            <w:bookmarkStart w:name="bmkStartTabel" w:id="0"/>
            <w:bookmarkEnd w:id="0"/>
            <w:r w:rsidRPr="00145BE5">
              <w:rPr>
                <w:color w:val="000000"/>
              </w:rPr>
              <w:t>Nr</w:t>
            </w:r>
          </w:p>
        </w:tc>
        <w:tc>
          <w:tcPr>
            <w:tcW w:w="7654" w:type="dxa"/>
            <w:tcBorders>
              <w:top w:val="nil"/>
              <w:left w:val="nil"/>
              <w:bottom w:val="nil"/>
              <w:right w:val="nil"/>
            </w:tcBorders>
            <w:shd w:val="clear" w:color="auto" w:fill="auto"/>
            <w:hideMark/>
          </w:tcPr>
          <w:p w:rsidRPr="00145BE5" w:rsidR="00214554" w:rsidP="00652B6C" w:rsidRDefault="00214554" w14:paraId="1C4DD4F4" w14:textId="77777777">
            <w:pPr>
              <w:spacing w:after="0"/>
              <w:rPr>
                <w:color w:val="000000"/>
              </w:rPr>
            </w:pPr>
            <w:r w:rsidRPr="00145BE5">
              <w:rPr>
                <w:color w:val="000000"/>
              </w:rPr>
              <w:t>Vraag</w:t>
            </w:r>
          </w:p>
        </w:tc>
      </w:tr>
      <w:tr w:rsidRPr="00145BE5" w:rsidR="00214554" w:rsidTr="00214554" w14:paraId="667A1591"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5E717F27" w14:textId="77777777">
            <w:pPr>
              <w:spacing w:after="0"/>
              <w:jc w:val="right"/>
              <w:rPr>
                <w:color w:val="000000"/>
              </w:rPr>
            </w:pPr>
            <w:r w:rsidRPr="00145BE5">
              <w:rPr>
                <w:color w:val="000000"/>
              </w:rPr>
              <w:t>1</w:t>
            </w:r>
          </w:p>
        </w:tc>
        <w:tc>
          <w:tcPr>
            <w:tcW w:w="7654" w:type="dxa"/>
            <w:tcBorders>
              <w:top w:val="nil"/>
              <w:left w:val="nil"/>
              <w:bottom w:val="nil"/>
              <w:right w:val="nil"/>
            </w:tcBorders>
            <w:shd w:val="clear" w:color="auto" w:fill="auto"/>
            <w:hideMark/>
          </w:tcPr>
          <w:p w:rsidRPr="00145BE5" w:rsidR="00214554" w:rsidP="00652B6C" w:rsidRDefault="00214554" w14:paraId="4327EC76" w14:textId="77777777">
            <w:pPr>
              <w:spacing w:after="0"/>
              <w:rPr>
                <w:color w:val="000000"/>
              </w:rPr>
            </w:pPr>
            <w:r w:rsidRPr="00145BE5">
              <w:rPr>
                <w:color w:val="000000"/>
              </w:rPr>
              <w:t>Kan een gedetailleerd overzicht worden gegeven van alle begrote EU-afdrachten vanaf 2024 tot 2027?</w:t>
            </w:r>
          </w:p>
        </w:tc>
      </w:tr>
      <w:tr w:rsidRPr="00145BE5" w:rsidR="00214554" w:rsidTr="00214554" w14:paraId="39A6E1B8" w14:textId="77777777">
        <w:trPr>
          <w:trHeight w:val="765"/>
        </w:trPr>
        <w:tc>
          <w:tcPr>
            <w:tcW w:w="426" w:type="dxa"/>
            <w:tcBorders>
              <w:top w:val="nil"/>
              <w:left w:val="nil"/>
              <w:bottom w:val="nil"/>
              <w:right w:val="nil"/>
            </w:tcBorders>
            <w:shd w:val="clear" w:color="auto" w:fill="auto"/>
            <w:hideMark/>
          </w:tcPr>
          <w:p w:rsidRPr="00145BE5" w:rsidR="00214554" w:rsidP="00652B6C" w:rsidRDefault="00214554" w14:paraId="749A4180" w14:textId="77777777">
            <w:pPr>
              <w:spacing w:after="0"/>
              <w:jc w:val="right"/>
              <w:rPr>
                <w:color w:val="000000"/>
              </w:rPr>
            </w:pPr>
            <w:r w:rsidRPr="00145BE5">
              <w:rPr>
                <w:color w:val="000000"/>
              </w:rPr>
              <w:t>2</w:t>
            </w:r>
          </w:p>
        </w:tc>
        <w:tc>
          <w:tcPr>
            <w:tcW w:w="7654" w:type="dxa"/>
            <w:tcBorders>
              <w:top w:val="nil"/>
              <w:left w:val="nil"/>
              <w:bottom w:val="nil"/>
              <w:right w:val="nil"/>
            </w:tcBorders>
            <w:shd w:val="clear" w:color="auto" w:fill="auto"/>
            <w:hideMark/>
          </w:tcPr>
          <w:p w:rsidRPr="00145BE5" w:rsidR="00214554" w:rsidP="00652B6C" w:rsidRDefault="00214554" w14:paraId="5CCFC5EE" w14:textId="77777777">
            <w:pPr>
              <w:spacing w:after="0"/>
              <w:rPr>
                <w:color w:val="000000"/>
              </w:rPr>
            </w:pPr>
            <w:r w:rsidRPr="00145BE5">
              <w:rPr>
                <w:color w:val="000000"/>
              </w:rPr>
              <w:t>Klopt het dat er te weinig bereikt wordt, en dat de resultaten van het kabinet onvoldoende duidelijk zijn? En dat ook de doelstellingen onduidelijk zijn?</w:t>
            </w:r>
          </w:p>
        </w:tc>
      </w:tr>
      <w:tr w:rsidRPr="00145BE5" w:rsidR="00214554" w:rsidTr="00214554" w14:paraId="4374474C"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522E2975" w14:textId="77777777">
            <w:pPr>
              <w:spacing w:after="0"/>
              <w:jc w:val="right"/>
              <w:rPr>
                <w:color w:val="000000"/>
              </w:rPr>
            </w:pPr>
            <w:r w:rsidRPr="00145BE5">
              <w:rPr>
                <w:color w:val="000000"/>
              </w:rPr>
              <w:t>3</w:t>
            </w:r>
          </w:p>
        </w:tc>
        <w:tc>
          <w:tcPr>
            <w:tcW w:w="7654" w:type="dxa"/>
            <w:tcBorders>
              <w:top w:val="nil"/>
              <w:left w:val="nil"/>
              <w:bottom w:val="nil"/>
              <w:right w:val="nil"/>
            </w:tcBorders>
            <w:shd w:val="clear" w:color="auto" w:fill="auto"/>
            <w:hideMark/>
          </w:tcPr>
          <w:p w:rsidRPr="00145BE5" w:rsidR="00214554" w:rsidP="00652B6C" w:rsidRDefault="00214554" w14:paraId="4FF950A2" w14:textId="77777777">
            <w:pPr>
              <w:spacing w:after="0"/>
              <w:rPr>
                <w:color w:val="000000"/>
              </w:rPr>
            </w:pPr>
            <w:r w:rsidRPr="00145BE5">
              <w:rPr>
                <w:color w:val="000000"/>
              </w:rPr>
              <w:t>Hoe kan het dat de beveiliging van militaire objecten nog niet in orde is? Hoe verhoudt dit zich tot de wens om de Defensiebegroting met 33 miljard euro te verhogen?</w:t>
            </w:r>
          </w:p>
        </w:tc>
      </w:tr>
      <w:tr w:rsidRPr="00145BE5" w:rsidR="00214554" w:rsidTr="00214554" w14:paraId="09BC1291"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5EE009DF" w14:textId="77777777">
            <w:pPr>
              <w:spacing w:after="0"/>
              <w:jc w:val="right"/>
              <w:rPr>
                <w:color w:val="000000"/>
              </w:rPr>
            </w:pPr>
            <w:r w:rsidRPr="00145BE5">
              <w:rPr>
                <w:color w:val="000000"/>
              </w:rPr>
              <w:t>4</w:t>
            </w:r>
          </w:p>
        </w:tc>
        <w:tc>
          <w:tcPr>
            <w:tcW w:w="7654" w:type="dxa"/>
            <w:tcBorders>
              <w:top w:val="nil"/>
              <w:left w:val="nil"/>
              <w:bottom w:val="nil"/>
              <w:right w:val="nil"/>
            </w:tcBorders>
            <w:shd w:val="clear" w:color="auto" w:fill="auto"/>
            <w:hideMark/>
          </w:tcPr>
          <w:p w:rsidRPr="00145BE5" w:rsidR="00214554" w:rsidP="00652B6C" w:rsidRDefault="00214554" w14:paraId="53E792FE" w14:textId="77777777">
            <w:pPr>
              <w:spacing w:after="0"/>
              <w:rPr>
                <w:color w:val="000000"/>
              </w:rPr>
            </w:pPr>
            <w:r w:rsidRPr="00145BE5">
              <w:rPr>
                <w:color w:val="000000"/>
              </w:rPr>
              <w:t>Wat dient er te veranderen in het strafregister om de tenaamstelling correct te krijgen? Welke gevolgen kunnen hieruit voortvloeien? Hoe gaat het kabinet dit aanpakken?</w:t>
            </w:r>
          </w:p>
        </w:tc>
      </w:tr>
      <w:tr w:rsidRPr="00145BE5" w:rsidR="00214554" w:rsidTr="00214554" w14:paraId="25B344D1" w14:textId="77777777">
        <w:trPr>
          <w:trHeight w:val="1020"/>
        </w:trPr>
        <w:tc>
          <w:tcPr>
            <w:tcW w:w="426" w:type="dxa"/>
            <w:tcBorders>
              <w:top w:val="nil"/>
              <w:left w:val="nil"/>
              <w:bottom w:val="nil"/>
              <w:right w:val="nil"/>
            </w:tcBorders>
            <w:shd w:val="clear" w:color="auto" w:fill="auto"/>
            <w:hideMark/>
          </w:tcPr>
          <w:p w:rsidRPr="00145BE5" w:rsidR="00214554" w:rsidP="00652B6C" w:rsidRDefault="00214554" w14:paraId="0F20F84E" w14:textId="77777777">
            <w:pPr>
              <w:spacing w:after="0"/>
              <w:jc w:val="right"/>
              <w:rPr>
                <w:color w:val="000000"/>
              </w:rPr>
            </w:pPr>
            <w:r w:rsidRPr="00145BE5">
              <w:rPr>
                <w:color w:val="000000"/>
              </w:rPr>
              <w:t>5</w:t>
            </w:r>
          </w:p>
        </w:tc>
        <w:tc>
          <w:tcPr>
            <w:tcW w:w="7654" w:type="dxa"/>
            <w:tcBorders>
              <w:top w:val="nil"/>
              <w:left w:val="nil"/>
              <w:bottom w:val="nil"/>
              <w:right w:val="nil"/>
            </w:tcBorders>
            <w:shd w:val="clear" w:color="auto" w:fill="auto"/>
            <w:hideMark/>
          </w:tcPr>
          <w:p w:rsidRPr="00145BE5" w:rsidR="00214554" w:rsidP="00652B6C" w:rsidRDefault="00214554" w14:paraId="7EE28194" w14:textId="77777777">
            <w:pPr>
              <w:spacing w:after="0"/>
              <w:rPr>
                <w:color w:val="000000"/>
              </w:rPr>
            </w:pPr>
            <w:r w:rsidRPr="00145BE5">
              <w:rPr>
                <w:color w:val="000000"/>
              </w:rPr>
              <w:t>Waarom heeft het ministerie van Buitenlandse Zaken een  administratiesysteem dat in strijd is met de comptabele regels? Wat moet hieraan veranderd worden zodat de effectiviteit weer duidelijk naar voren komt?</w:t>
            </w:r>
          </w:p>
        </w:tc>
      </w:tr>
      <w:tr w:rsidRPr="00145BE5" w:rsidR="00214554" w:rsidTr="00214554" w14:paraId="795D2E6B"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6963C490" w14:textId="77777777">
            <w:pPr>
              <w:spacing w:after="0"/>
              <w:jc w:val="right"/>
              <w:rPr>
                <w:color w:val="000000"/>
              </w:rPr>
            </w:pPr>
            <w:r w:rsidRPr="00145BE5">
              <w:rPr>
                <w:color w:val="000000"/>
              </w:rPr>
              <w:t>6</w:t>
            </w:r>
          </w:p>
        </w:tc>
        <w:tc>
          <w:tcPr>
            <w:tcW w:w="7654" w:type="dxa"/>
            <w:tcBorders>
              <w:top w:val="nil"/>
              <w:left w:val="nil"/>
              <w:bottom w:val="nil"/>
              <w:right w:val="nil"/>
            </w:tcBorders>
            <w:shd w:val="clear" w:color="auto" w:fill="auto"/>
            <w:hideMark/>
          </w:tcPr>
          <w:p w:rsidRPr="00145BE5" w:rsidR="00214554" w:rsidP="00652B6C" w:rsidRDefault="00214554" w14:paraId="3378C2D2" w14:textId="77777777">
            <w:pPr>
              <w:spacing w:after="0"/>
              <w:rPr>
                <w:color w:val="000000"/>
              </w:rPr>
            </w:pPr>
            <w:r w:rsidRPr="00145BE5">
              <w:rPr>
                <w:color w:val="000000"/>
              </w:rPr>
              <w:t>Waarom is de rechtmatigheid van de verplichtingen nog steeds niet op orde? Wat gaat het kabinet hieraan doen?</w:t>
            </w:r>
          </w:p>
        </w:tc>
      </w:tr>
      <w:tr w:rsidRPr="00145BE5" w:rsidR="00214554" w:rsidTr="00214554" w14:paraId="73E8F71E"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06CAAA52" w14:textId="77777777">
            <w:pPr>
              <w:spacing w:after="0"/>
              <w:jc w:val="right"/>
              <w:rPr>
                <w:color w:val="000000"/>
              </w:rPr>
            </w:pPr>
            <w:r w:rsidRPr="00145BE5">
              <w:rPr>
                <w:color w:val="000000"/>
              </w:rPr>
              <w:t>7</w:t>
            </w:r>
          </w:p>
        </w:tc>
        <w:tc>
          <w:tcPr>
            <w:tcW w:w="7654" w:type="dxa"/>
            <w:tcBorders>
              <w:top w:val="nil"/>
              <w:left w:val="nil"/>
              <w:bottom w:val="nil"/>
              <w:right w:val="nil"/>
            </w:tcBorders>
            <w:shd w:val="clear" w:color="auto" w:fill="auto"/>
            <w:hideMark/>
          </w:tcPr>
          <w:p w:rsidRPr="00145BE5" w:rsidR="00214554" w:rsidP="00652B6C" w:rsidRDefault="00214554" w14:paraId="27F4D18D" w14:textId="77777777">
            <w:pPr>
              <w:spacing w:after="0"/>
              <w:rPr>
                <w:color w:val="000000"/>
              </w:rPr>
            </w:pPr>
            <w:r w:rsidRPr="00145BE5">
              <w:rPr>
                <w:color w:val="000000"/>
              </w:rPr>
              <w:t>Kan uitleg gegeven worden over de passage dat de ontvangsten in de inkomstenbelasting procentueel sterk zijn toegenomen met 53%?</w:t>
            </w:r>
          </w:p>
        </w:tc>
      </w:tr>
      <w:tr w:rsidRPr="00145BE5" w:rsidR="00214554" w:rsidTr="00214554" w14:paraId="6C94A384" w14:textId="77777777">
        <w:trPr>
          <w:trHeight w:val="510"/>
        </w:trPr>
        <w:tc>
          <w:tcPr>
            <w:tcW w:w="426" w:type="dxa"/>
            <w:tcBorders>
              <w:top w:val="nil"/>
              <w:left w:val="nil"/>
              <w:bottom w:val="nil"/>
              <w:right w:val="nil"/>
            </w:tcBorders>
            <w:shd w:val="clear" w:color="auto" w:fill="auto"/>
            <w:hideMark/>
          </w:tcPr>
          <w:p w:rsidRPr="00145BE5" w:rsidR="00214554" w:rsidP="00652B6C" w:rsidRDefault="00214554" w14:paraId="4B5D2605" w14:textId="77777777">
            <w:pPr>
              <w:spacing w:after="0"/>
              <w:jc w:val="right"/>
              <w:rPr>
                <w:color w:val="000000"/>
              </w:rPr>
            </w:pPr>
            <w:r w:rsidRPr="00145BE5">
              <w:rPr>
                <w:color w:val="000000"/>
              </w:rPr>
              <w:t>8</w:t>
            </w:r>
          </w:p>
        </w:tc>
        <w:tc>
          <w:tcPr>
            <w:tcW w:w="7654" w:type="dxa"/>
            <w:tcBorders>
              <w:top w:val="nil"/>
              <w:left w:val="nil"/>
              <w:bottom w:val="nil"/>
              <w:right w:val="nil"/>
            </w:tcBorders>
            <w:shd w:val="clear" w:color="auto" w:fill="auto"/>
            <w:hideMark/>
          </w:tcPr>
          <w:p w:rsidRPr="00145BE5" w:rsidR="00214554" w:rsidP="00652B6C" w:rsidRDefault="00214554" w14:paraId="4F886BDA" w14:textId="77777777">
            <w:pPr>
              <w:spacing w:after="0"/>
              <w:rPr>
                <w:color w:val="000000"/>
              </w:rPr>
            </w:pPr>
            <w:r w:rsidRPr="00145BE5">
              <w:rPr>
                <w:color w:val="000000"/>
              </w:rPr>
              <w:t>Kan uitleg gegeven worden over de berekeningswijze van de NAVO-norm en de opmerkingen daarover van de Algemene Rekenkamer?</w:t>
            </w:r>
          </w:p>
        </w:tc>
      </w:tr>
      <w:tr w:rsidRPr="00145BE5" w:rsidR="00214554" w:rsidTr="00214554" w14:paraId="5889AD24" w14:textId="77777777">
        <w:trPr>
          <w:trHeight w:val="1275"/>
        </w:trPr>
        <w:tc>
          <w:tcPr>
            <w:tcW w:w="426" w:type="dxa"/>
            <w:tcBorders>
              <w:top w:val="nil"/>
              <w:left w:val="nil"/>
              <w:bottom w:val="nil"/>
              <w:right w:val="nil"/>
            </w:tcBorders>
            <w:shd w:val="clear" w:color="auto" w:fill="auto"/>
            <w:hideMark/>
          </w:tcPr>
          <w:p w:rsidRPr="00145BE5" w:rsidR="00214554" w:rsidP="00652B6C" w:rsidRDefault="00214554" w14:paraId="1D51EE60" w14:textId="77777777">
            <w:pPr>
              <w:spacing w:after="0"/>
              <w:jc w:val="right"/>
              <w:rPr>
                <w:color w:val="000000"/>
              </w:rPr>
            </w:pPr>
            <w:r w:rsidRPr="00145BE5">
              <w:rPr>
                <w:color w:val="000000"/>
              </w:rPr>
              <w:t>9</w:t>
            </w:r>
          </w:p>
        </w:tc>
        <w:tc>
          <w:tcPr>
            <w:tcW w:w="7654" w:type="dxa"/>
            <w:tcBorders>
              <w:top w:val="nil"/>
              <w:left w:val="nil"/>
              <w:bottom w:val="nil"/>
              <w:right w:val="nil"/>
            </w:tcBorders>
            <w:shd w:val="clear" w:color="auto" w:fill="auto"/>
            <w:hideMark/>
          </w:tcPr>
          <w:p w:rsidRPr="00145BE5" w:rsidR="00214554" w:rsidP="00652B6C" w:rsidRDefault="00214554" w14:paraId="6B32903F" w14:textId="77777777">
            <w:pPr>
              <w:spacing w:after="0"/>
              <w:rPr>
                <w:color w:val="000000"/>
              </w:rPr>
            </w:pPr>
            <w:r w:rsidRPr="00145BE5">
              <w:rPr>
                <w:color w:val="000000"/>
              </w:rPr>
              <w:t>Hoe gaat het kabinet de drie ernstige onvolkomenheden aanpakken, te weten het knelpunt bij het ministerie van Justitie en Veiligheid van onjuiste tenaamstellingen, de beveiliging bij het ministerie van Defensie en de financiële administratie bij het ministerie van Buitenlandse Zaken? Waarom zijn deze niet eerder opgelost?</w:t>
            </w:r>
          </w:p>
        </w:tc>
      </w:tr>
      <w:tr w:rsidRPr="00145BE5" w:rsidR="00214554" w:rsidTr="00214554" w14:paraId="6A966C92" w14:textId="77777777">
        <w:trPr>
          <w:trHeight w:val="1785"/>
        </w:trPr>
        <w:tc>
          <w:tcPr>
            <w:tcW w:w="426" w:type="dxa"/>
            <w:tcBorders>
              <w:top w:val="nil"/>
              <w:left w:val="nil"/>
              <w:bottom w:val="nil"/>
              <w:right w:val="nil"/>
            </w:tcBorders>
            <w:shd w:val="clear" w:color="auto" w:fill="auto"/>
            <w:hideMark/>
          </w:tcPr>
          <w:p w:rsidRPr="00145BE5" w:rsidR="00214554" w:rsidP="00652B6C" w:rsidRDefault="00214554" w14:paraId="34C433F1" w14:textId="77777777">
            <w:pPr>
              <w:spacing w:after="0"/>
              <w:jc w:val="right"/>
              <w:rPr>
                <w:color w:val="000000"/>
              </w:rPr>
            </w:pPr>
            <w:r w:rsidRPr="00145BE5">
              <w:rPr>
                <w:color w:val="000000"/>
              </w:rPr>
              <w:t>10</w:t>
            </w:r>
          </w:p>
        </w:tc>
        <w:tc>
          <w:tcPr>
            <w:tcW w:w="7654" w:type="dxa"/>
            <w:tcBorders>
              <w:top w:val="nil"/>
              <w:left w:val="nil"/>
              <w:bottom w:val="nil"/>
              <w:right w:val="nil"/>
            </w:tcBorders>
            <w:shd w:val="clear" w:color="auto" w:fill="auto"/>
            <w:hideMark/>
          </w:tcPr>
          <w:p w:rsidRPr="00145BE5" w:rsidR="00214554" w:rsidP="00652B6C" w:rsidRDefault="00214554" w14:paraId="660973AC" w14:textId="77777777">
            <w:pPr>
              <w:spacing w:after="0"/>
              <w:rPr>
                <w:color w:val="000000"/>
              </w:rPr>
            </w:pPr>
            <w:r w:rsidRPr="00145BE5">
              <w:rPr>
                <w:color w:val="000000"/>
              </w:rPr>
              <w:t>Wat gaat het kabinet doen om de oorzaken van de problemen en fouten bij het inkoopbeheer op</w:t>
            </w:r>
            <w:r>
              <w:rPr>
                <w:color w:val="000000"/>
              </w:rPr>
              <w:t xml:space="preserve"> te </w:t>
            </w:r>
            <w:r w:rsidRPr="00145BE5">
              <w:rPr>
                <w:color w:val="000000"/>
              </w:rPr>
              <w:t>lossen? Wat gaat het kabinet bijvoorbeeld concreet doen aan de hoeveelheid regelgeving en doelstellingen? Wanneer kunnen hier de effecten van te zien zijn? Er zijn in het verleden bij verschillende departementen al onvolkomenheden geconstateerd bij het inkoopbeheer, waarom zijn deze niet (sneller) opgelost?</w:t>
            </w:r>
          </w:p>
        </w:tc>
      </w:tr>
      <w:tr w:rsidRPr="00145BE5" w:rsidR="00214554" w:rsidTr="00214554" w14:paraId="497B9FBC" w14:textId="77777777">
        <w:trPr>
          <w:trHeight w:val="765"/>
        </w:trPr>
        <w:tc>
          <w:tcPr>
            <w:tcW w:w="426" w:type="dxa"/>
            <w:tcBorders>
              <w:top w:val="nil"/>
              <w:left w:val="nil"/>
              <w:bottom w:val="nil"/>
              <w:right w:val="nil"/>
            </w:tcBorders>
            <w:shd w:val="clear" w:color="auto" w:fill="auto"/>
            <w:hideMark/>
          </w:tcPr>
          <w:p w:rsidRPr="00145BE5" w:rsidR="00214554" w:rsidP="00652B6C" w:rsidRDefault="00214554" w14:paraId="27D007F7" w14:textId="77777777">
            <w:pPr>
              <w:spacing w:after="0"/>
              <w:jc w:val="right"/>
              <w:rPr>
                <w:color w:val="000000"/>
              </w:rPr>
            </w:pPr>
            <w:r w:rsidRPr="00145BE5">
              <w:rPr>
                <w:color w:val="000000"/>
              </w:rPr>
              <w:t>11</w:t>
            </w:r>
          </w:p>
        </w:tc>
        <w:tc>
          <w:tcPr>
            <w:tcW w:w="7654" w:type="dxa"/>
            <w:tcBorders>
              <w:top w:val="nil"/>
              <w:left w:val="nil"/>
              <w:bottom w:val="nil"/>
              <w:right w:val="nil"/>
            </w:tcBorders>
            <w:shd w:val="clear" w:color="auto" w:fill="auto"/>
            <w:hideMark/>
          </w:tcPr>
          <w:p w:rsidRPr="00145BE5" w:rsidR="00214554" w:rsidP="00652B6C" w:rsidRDefault="00214554" w14:paraId="72CE49EC" w14:textId="77777777">
            <w:pPr>
              <w:spacing w:after="0"/>
              <w:rPr>
                <w:color w:val="000000"/>
              </w:rPr>
            </w:pPr>
            <w:r w:rsidRPr="00145BE5">
              <w:rPr>
                <w:color w:val="000000"/>
              </w:rPr>
              <w:t>Waarom is er nog geen teken van afname van het aantal ambtenaren? Wanneer is dit wel te zien gelet op de doelstelling in het hoofdlijnenakkoord?</w:t>
            </w:r>
          </w:p>
        </w:tc>
      </w:tr>
      <w:tr w:rsidRPr="00145BE5" w:rsidR="00214554" w:rsidTr="00214554" w14:paraId="17A223EE" w14:textId="77777777">
        <w:trPr>
          <w:trHeight w:val="1020"/>
        </w:trPr>
        <w:tc>
          <w:tcPr>
            <w:tcW w:w="426" w:type="dxa"/>
            <w:tcBorders>
              <w:top w:val="nil"/>
              <w:left w:val="nil"/>
              <w:bottom w:val="nil"/>
              <w:right w:val="nil"/>
            </w:tcBorders>
            <w:shd w:val="clear" w:color="auto" w:fill="auto"/>
            <w:hideMark/>
          </w:tcPr>
          <w:p w:rsidRPr="00145BE5" w:rsidR="00214554" w:rsidP="00652B6C" w:rsidRDefault="00214554" w14:paraId="26ABD188" w14:textId="77777777">
            <w:pPr>
              <w:spacing w:after="0"/>
              <w:jc w:val="right"/>
              <w:rPr>
                <w:color w:val="000000"/>
              </w:rPr>
            </w:pPr>
            <w:r w:rsidRPr="00145BE5">
              <w:rPr>
                <w:color w:val="000000"/>
              </w:rPr>
              <w:lastRenderedPageBreak/>
              <w:t>12</w:t>
            </w:r>
          </w:p>
        </w:tc>
        <w:tc>
          <w:tcPr>
            <w:tcW w:w="7654" w:type="dxa"/>
            <w:tcBorders>
              <w:top w:val="nil"/>
              <w:left w:val="nil"/>
              <w:bottom w:val="nil"/>
              <w:right w:val="nil"/>
            </w:tcBorders>
            <w:shd w:val="clear" w:color="auto" w:fill="auto"/>
            <w:hideMark/>
          </w:tcPr>
          <w:p w:rsidRPr="00145BE5" w:rsidR="00214554" w:rsidP="00652B6C" w:rsidRDefault="00214554" w14:paraId="289206E7" w14:textId="77777777">
            <w:pPr>
              <w:spacing w:after="0"/>
              <w:rPr>
                <w:color w:val="000000"/>
              </w:rPr>
            </w:pPr>
            <w:r w:rsidRPr="00145BE5">
              <w:rPr>
                <w:color w:val="000000"/>
              </w:rPr>
              <w:t>Waarom is er beperkt gebruik en inzicht van uitvoeringstoetsen? Wat gaat het kabinet doen om dat te verbeteren? En in hoeverre wordt in de uitvoeringstoetsen de optie of opties opgenomen voor hoe het wel uitgevoerd zou kunnen worden?</w:t>
            </w:r>
          </w:p>
        </w:tc>
      </w:tr>
      <w:tr w:rsidRPr="00145BE5" w:rsidR="00214554" w:rsidTr="00214554" w14:paraId="06EFE1F2" w14:textId="77777777">
        <w:trPr>
          <w:trHeight w:val="1005"/>
        </w:trPr>
        <w:tc>
          <w:tcPr>
            <w:tcW w:w="426" w:type="dxa"/>
            <w:tcBorders>
              <w:top w:val="nil"/>
              <w:left w:val="nil"/>
              <w:bottom w:val="nil"/>
              <w:right w:val="nil"/>
            </w:tcBorders>
            <w:shd w:val="clear" w:color="auto" w:fill="auto"/>
            <w:hideMark/>
          </w:tcPr>
          <w:p w:rsidRPr="00145BE5" w:rsidR="00214554" w:rsidP="00652B6C" w:rsidRDefault="00214554" w14:paraId="42492DF7" w14:textId="77777777">
            <w:pPr>
              <w:spacing w:after="0"/>
              <w:jc w:val="right"/>
              <w:rPr>
                <w:color w:val="000000"/>
              </w:rPr>
            </w:pPr>
            <w:r w:rsidRPr="00145BE5">
              <w:rPr>
                <w:color w:val="000000"/>
              </w:rPr>
              <w:t>13</w:t>
            </w:r>
          </w:p>
        </w:tc>
        <w:tc>
          <w:tcPr>
            <w:tcW w:w="7654" w:type="dxa"/>
            <w:tcBorders>
              <w:top w:val="nil"/>
              <w:left w:val="nil"/>
              <w:bottom w:val="nil"/>
              <w:right w:val="nil"/>
            </w:tcBorders>
            <w:shd w:val="clear" w:color="auto" w:fill="auto"/>
            <w:hideMark/>
          </w:tcPr>
          <w:p w:rsidRPr="00145BE5" w:rsidR="00214554" w:rsidP="00652B6C" w:rsidRDefault="00214554" w14:paraId="0C7521AB" w14:textId="77777777">
            <w:pPr>
              <w:spacing w:after="0"/>
              <w:rPr>
                <w:color w:val="000000"/>
              </w:rPr>
            </w:pPr>
            <w:r w:rsidRPr="00145BE5">
              <w:rPr>
                <w:color w:val="000000"/>
              </w:rPr>
              <w:t>Hoe gaat het kabinet de productiviteit van de uitvoering verhogen? Hoe gaat het kabinet de complexiteit aanpakken? Welke mogelijkheden ziet het kabinet daarbij voor AI?</w:t>
            </w:r>
          </w:p>
        </w:tc>
      </w:tr>
    </w:tbl>
    <w:p w:rsidR="00214554" w:rsidP="00214554" w:rsidRDefault="00214554" w14:paraId="3BBBC746" w14:textId="77777777"/>
    <w:p w:rsidR="00766FA0" w:rsidRDefault="00766FA0" w14:paraId="2DD89169" w14:textId="77777777"/>
    <w:sectPr w:rsidR="00766FA0" w:rsidSect="0021455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C034" w14:textId="77777777" w:rsidR="00F63EBD" w:rsidRDefault="00F63EBD" w:rsidP="00214554">
      <w:pPr>
        <w:spacing w:after="0" w:line="240" w:lineRule="auto"/>
      </w:pPr>
      <w:r>
        <w:separator/>
      </w:r>
    </w:p>
  </w:endnote>
  <w:endnote w:type="continuationSeparator" w:id="0">
    <w:p w14:paraId="09D12661" w14:textId="77777777" w:rsidR="00F63EBD" w:rsidRDefault="00F63EBD" w:rsidP="0021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3BAC" w14:textId="77777777" w:rsidR="00214554" w:rsidRPr="00214554" w:rsidRDefault="00214554" w:rsidP="00214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F736" w14:textId="77777777" w:rsidR="00867CC0" w:rsidRPr="00214554" w:rsidRDefault="00867CC0" w:rsidP="002145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F26C" w14:textId="77777777" w:rsidR="00214554" w:rsidRPr="00214554" w:rsidRDefault="00214554" w:rsidP="00214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6634" w14:textId="77777777" w:rsidR="00F63EBD" w:rsidRDefault="00F63EBD" w:rsidP="00214554">
      <w:pPr>
        <w:spacing w:after="0" w:line="240" w:lineRule="auto"/>
      </w:pPr>
      <w:r>
        <w:separator/>
      </w:r>
    </w:p>
  </w:footnote>
  <w:footnote w:type="continuationSeparator" w:id="0">
    <w:p w14:paraId="0BC1F6B0" w14:textId="77777777" w:rsidR="00F63EBD" w:rsidRDefault="00F63EBD" w:rsidP="0021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D350" w14:textId="77777777" w:rsidR="00214554" w:rsidRPr="00214554" w:rsidRDefault="00214554" w:rsidP="00214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DFC7" w14:textId="77777777" w:rsidR="00867CC0" w:rsidRPr="00214554" w:rsidRDefault="00867CC0" w:rsidP="002145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1EA7" w14:textId="77777777" w:rsidR="00214554" w:rsidRPr="00214554" w:rsidRDefault="00214554" w:rsidP="002145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54"/>
    <w:rsid w:val="00214554"/>
    <w:rsid w:val="006E15CA"/>
    <w:rsid w:val="007558A5"/>
    <w:rsid w:val="00766FA0"/>
    <w:rsid w:val="00867CC0"/>
    <w:rsid w:val="00F06C00"/>
    <w:rsid w:val="00F63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FB49"/>
  <w15:chartTrackingRefBased/>
  <w15:docId w15:val="{AC520B80-68FA-44D7-BE7A-19F48DD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4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4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45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45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45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45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45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45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45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45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45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45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45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45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45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45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45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4554"/>
    <w:rPr>
      <w:rFonts w:eastAsiaTheme="majorEastAsia" w:cstheme="majorBidi"/>
      <w:color w:val="272727" w:themeColor="text1" w:themeTint="D8"/>
    </w:rPr>
  </w:style>
  <w:style w:type="paragraph" w:styleId="Titel">
    <w:name w:val="Title"/>
    <w:basedOn w:val="Standaard"/>
    <w:next w:val="Standaard"/>
    <w:link w:val="TitelChar"/>
    <w:uiPriority w:val="10"/>
    <w:qFormat/>
    <w:rsid w:val="00214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45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45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45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45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4554"/>
    <w:rPr>
      <w:i/>
      <w:iCs/>
      <w:color w:val="404040" w:themeColor="text1" w:themeTint="BF"/>
    </w:rPr>
  </w:style>
  <w:style w:type="paragraph" w:styleId="Lijstalinea">
    <w:name w:val="List Paragraph"/>
    <w:basedOn w:val="Standaard"/>
    <w:uiPriority w:val="34"/>
    <w:qFormat/>
    <w:rsid w:val="00214554"/>
    <w:pPr>
      <w:ind w:left="720"/>
      <w:contextualSpacing/>
    </w:pPr>
  </w:style>
  <w:style w:type="character" w:styleId="Intensievebenadrukking">
    <w:name w:val="Intense Emphasis"/>
    <w:basedOn w:val="Standaardalinea-lettertype"/>
    <w:uiPriority w:val="21"/>
    <w:qFormat/>
    <w:rsid w:val="00214554"/>
    <w:rPr>
      <w:i/>
      <w:iCs/>
      <w:color w:val="2F5496" w:themeColor="accent1" w:themeShade="BF"/>
    </w:rPr>
  </w:style>
  <w:style w:type="paragraph" w:styleId="Duidelijkcitaat">
    <w:name w:val="Intense Quote"/>
    <w:basedOn w:val="Standaard"/>
    <w:next w:val="Standaard"/>
    <w:link w:val="DuidelijkcitaatChar"/>
    <w:uiPriority w:val="30"/>
    <w:qFormat/>
    <w:rsid w:val="00214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4554"/>
    <w:rPr>
      <w:i/>
      <w:iCs/>
      <w:color w:val="2F5496" w:themeColor="accent1" w:themeShade="BF"/>
    </w:rPr>
  </w:style>
  <w:style w:type="character" w:styleId="Intensieveverwijzing">
    <w:name w:val="Intense Reference"/>
    <w:basedOn w:val="Standaardalinea-lettertype"/>
    <w:uiPriority w:val="32"/>
    <w:qFormat/>
    <w:rsid w:val="00214554"/>
    <w:rPr>
      <w:b/>
      <w:bCs/>
      <w:smallCaps/>
      <w:color w:val="2F5496" w:themeColor="accent1" w:themeShade="BF"/>
      <w:spacing w:val="5"/>
    </w:rPr>
  </w:style>
  <w:style w:type="paragraph" w:styleId="Koptekst">
    <w:name w:val="header"/>
    <w:basedOn w:val="Standaard"/>
    <w:link w:val="KoptekstChar"/>
    <w:uiPriority w:val="99"/>
    <w:unhideWhenUsed/>
    <w:rsid w:val="002145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1455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1455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14554"/>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436</ap:Words>
  <ap:Characters>2401</ap:Characters>
  <ap:DocSecurity>0</ap:DocSecurity>
  <ap:Lines>20</ap:Lines>
  <ap:Paragraphs>5</ap:Paragraphs>
  <ap:ScaleCrop>false</ap:ScaleCrop>
  <ap:LinksUpToDate>false</ap:LinksUpToDate>
  <ap:CharactersWithSpaces>2832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2025-06-03T09:20:00.0000000Z</dcterms:created>
  <dcterms:modified xsi:type="dcterms:W3CDTF">2025-06-03T09:20:00.0000000Z</dcterms:modified>
  <version/>
  <category/>
</coreProperties>
</file>