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236D" w:rsidR="00D8236D" w:rsidRDefault="006F2A23" w14:paraId="3ABDBCF2" w14:textId="77777777">
      <w:pPr>
        <w:rPr>
          <w:rFonts w:ascii="Calibri" w:hAnsi="Calibri" w:cs="Calibri"/>
        </w:rPr>
      </w:pPr>
      <w:r w:rsidRPr="00D8236D">
        <w:rPr>
          <w:rFonts w:ascii="Calibri" w:hAnsi="Calibri" w:cs="Calibri"/>
        </w:rPr>
        <w:t>19637</w:t>
      </w:r>
      <w:r w:rsidRPr="00D8236D" w:rsidR="00D8236D">
        <w:rPr>
          <w:rFonts w:ascii="Calibri" w:hAnsi="Calibri" w:cs="Calibri"/>
        </w:rPr>
        <w:tab/>
      </w:r>
      <w:r w:rsidRPr="00D8236D" w:rsidR="00D8236D">
        <w:rPr>
          <w:rFonts w:ascii="Calibri" w:hAnsi="Calibri" w:cs="Calibri"/>
        </w:rPr>
        <w:tab/>
      </w:r>
      <w:r w:rsidRPr="00D8236D" w:rsidR="00D8236D">
        <w:rPr>
          <w:rFonts w:ascii="Calibri" w:hAnsi="Calibri" w:cs="Calibri"/>
        </w:rPr>
        <w:tab/>
        <w:t>Vreemdelingenbeleid</w:t>
      </w:r>
    </w:p>
    <w:p w:rsidRPr="00D8236D" w:rsidR="00D8236D" w:rsidP="006F2A23" w:rsidRDefault="00D8236D" w14:paraId="777D0101" w14:textId="4D2F2C52">
      <w:pPr>
        <w:rPr>
          <w:rFonts w:ascii="Calibri" w:hAnsi="Calibri" w:cs="Calibri"/>
        </w:rPr>
      </w:pPr>
      <w:r w:rsidRPr="00D8236D">
        <w:rPr>
          <w:rFonts w:ascii="Calibri" w:hAnsi="Calibri" w:cs="Calibri"/>
        </w:rPr>
        <w:t xml:space="preserve">Nr. </w:t>
      </w:r>
      <w:r w:rsidRPr="00D8236D">
        <w:rPr>
          <w:rFonts w:ascii="Calibri" w:hAnsi="Calibri" w:cs="Calibri"/>
        </w:rPr>
        <w:t>3432</w:t>
      </w:r>
      <w:r w:rsidRPr="00D8236D">
        <w:rPr>
          <w:rFonts w:ascii="Calibri" w:hAnsi="Calibri" w:cs="Calibri"/>
        </w:rPr>
        <w:tab/>
      </w:r>
      <w:r w:rsidRPr="00D8236D">
        <w:rPr>
          <w:rFonts w:ascii="Calibri" w:hAnsi="Calibri" w:cs="Calibri"/>
        </w:rPr>
        <w:tab/>
        <w:t>Brief van de minister van Asiel en Migratie</w:t>
      </w:r>
    </w:p>
    <w:p w:rsidRPr="00D8236D" w:rsidR="00D8236D" w:rsidP="006F2A23" w:rsidRDefault="00D8236D" w14:paraId="723D1B4B" w14:textId="39C0283C">
      <w:pPr>
        <w:rPr>
          <w:rFonts w:ascii="Calibri" w:hAnsi="Calibri" w:cs="Calibri"/>
        </w:rPr>
      </w:pPr>
      <w:r w:rsidRPr="00D8236D">
        <w:rPr>
          <w:rFonts w:ascii="Calibri" w:hAnsi="Calibri" w:cs="Calibri"/>
        </w:rPr>
        <w:t>Aan de Voorzitter van de Tweede Kamer der Staten-Generaal</w:t>
      </w:r>
    </w:p>
    <w:p w:rsidRPr="00D8236D" w:rsidR="00D8236D" w:rsidP="006F2A23" w:rsidRDefault="00D8236D" w14:paraId="3D29649A" w14:textId="69D8C326">
      <w:pPr>
        <w:rPr>
          <w:rFonts w:ascii="Calibri" w:hAnsi="Calibri" w:cs="Calibri"/>
        </w:rPr>
      </w:pPr>
      <w:r w:rsidRPr="00D8236D">
        <w:rPr>
          <w:rFonts w:ascii="Calibri" w:hAnsi="Calibri" w:cs="Calibri"/>
        </w:rPr>
        <w:t>Den Haag, 30 mei 2025</w:t>
      </w:r>
    </w:p>
    <w:p w:rsidRPr="00D8236D" w:rsidR="006F2A23" w:rsidP="006F2A23" w:rsidRDefault="006F2A23" w14:paraId="0430122D" w14:textId="77777777">
      <w:pPr>
        <w:rPr>
          <w:rFonts w:ascii="Calibri" w:hAnsi="Calibri" w:cs="Calibri"/>
        </w:rPr>
      </w:pPr>
    </w:p>
    <w:p w:rsidRPr="00D8236D" w:rsidR="006F2A23" w:rsidP="006F2A23" w:rsidRDefault="006F2A23" w14:paraId="30798DD3" w14:textId="13CB956C">
      <w:pPr>
        <w:rPr>
          <w:rFonts w:ascii="Calibri" w:hAnsi="Calibri" w:cs="Calibri"/>
        </w:rPr>
      </w:pPr>
      <w:r w:rsidRPr="00D8236D">
        <w:rPr>
          <w:rFonts w:ascii="Calibri" w:hAnsi="Calibri" w:cs="Calibri"/>
        </w:rPr>
        <w:t>Het ministerie van Buitenlandse Zaken heeft op 24 februari jl. een nieuw ambtsbericht Turkije opgeleverd. Dit ambtsbericht beslaat de periode september 2023 tot en met 20 februari 2025 en geeft aanleiding om het landenbeleid op enkele punten te wijzigen. Daarover informeer ik u met deze brief.</w:t>
      </w:r>
    </w:p>
    <w:p w:rsidRPr="00D8236D" w:rsidR="006F2A23" w:rsidP="006F2A23" w:rsidRDefault="006F2A23" w14:paraId="107E0488" w14:textId="77777777">
      <w:pPr>
        <w:rPr>
          <w:rFonts w:ascii="Calibri" w:hAnsi="Calibri" w:cs="Calibri"/>
          <w:i/>
          <w:iCs/>
        </w:rPr>
      </w:pPr>
      <w:r w:rsidRPr="00D8236D">
        <w:rPr>
          <w:rFonts w:ascii="Calibri" w:hAnsi="Calibri" w:cs="Calibri"/>
          <w:i/>
          <w:iCs/>
        </w:rPr>
        <w:t>Huidige beleid</w:t>
      </w:r>
    </w:p>
    <w:p w:rsidRPr="00D8236D" w:rsidR="006F2A23" w:rsidP="006F2A23" w:rsidRDefault="006F2A23" w14:paraId="4D80874F" w14:textId="77777777">
      <w:pPr>
        <w:rPr>
          <w:rFonts w:ascii="Calibri" w:hAnsi="Calibri" w:cs="Calibri"/>
        </w:rPr>
      </w:pPr>
      <w:r w:rsidRPr="00D8236D">
        <w:rPr>
          <w:rFonts w:ascii="Calibri" w:hAnsi="Calibri" w:cs="Calibri"/>
        </w:rPr>
        <w:t xml:space="preserve">In het huidige beleid staan de volgende groepen als risicoprofiel aangemerkt: </w:t>
      </w:r>
    </w:p>
    <w:p w:rsidRPr="00D8236D" w:rsidR="006F2A23" w:rsidP="006F2A23" w:rsidRDefault="006F2A23" w14:paraId="56D3BA7D" w14:textId="77777777">
      <w:pPr>
        <w:pStyle w:val="Lijstalinea"/>
        <w:numPr>
          <w:ilvl w:val="0"/>
          <w:numId w:val="1"/>
        </w:numPr>
        <w:autoSpaceDN w:val="0"/>
        <w:spacing w:after="0" w:line="240" w:lineRule="atLeast"/>
        <w:textAlignment w:val="baseline"/>
        <w:rPr>
          <w:rFonts w:ascii="Calibri" w:hAnsi="Calibri" w:cs="Calibri"/>
        </w:rPr>
      </w:pPr>
      <w:r w:rsidRPr="00D8236D">
        <w:rPr>
          <w:rFonts w:ascii="Calibri" w:hAnsi="Calibri" w:cs="Calibri"/>
        </w:rPr>
        <w:t>personen die actief zijn in de politiek, journalistiek of op het gebied van  mensenrechten; en</w:t>
      </w:r>
    </w:p>
    <w:p w:rsidRPr="00D8236D" w:rsidR="006F2A23" w:rsidP="006F2A23" w:rsidRDefault="006F2A23" w14:paraId="13A6309E" w14:textId="77777777">
      <w:pPr>
        <w:pStyle w:val="Lijstalinea"/>
        <w:numPr>
          <w:ilvl w:val="0"/>
          <w:numId w:val="1"/>
        </w:numPr>
        <w:autoSpaceDN w:val="0"/>
        <w:spacing w:after="0" w:line="240" w:lineRule="atLeast"/>
        <w:textAlignment w:val="baseline"/>
        <w:rPr>
          <w:rFonts w:ascii="Calibri" w:hAnsi="Calibri" w:cs="Calibri"/>
        </w:rPr>
      </w:pPr>
      <w:r w:rsidRPr="00D8236D">
        <w:rPr>
          <w:rFonts w:ascii="Calibri" w:hAnsi="Calibri" w:cs="Calibri"/>
        </w:rPr>
        <w:t xml:space="preserve">(toegedichte) </w:t>
      </w:r>
      <w:proofErr w:type="spellStart"/>
      <w:r w:rsidRPr="00D8236D">
        <w:rPr>
          <w:rFonts w:ascii="Calibri" w:hAnsi="Calibri" w:cs="Calibri"/>
        </w:rPr>
        <w:t>Gülen</w:t>
      </w:r>
      <w:proofErr w:type="spellEnd"/>
      <w:r w:rsidRPr="00D8236D">
        <w:rPr>
          <w:rFonts w:ascii="Calibri" w:hAnsi="Calibri" w:cs="Calibri"/>
        </w:rPr>
        <w:t xml:space="preserve">-aanhangers; en </w:t>
      </w:r>
    </w:p>
    <w:p w:rsidRPr="00D8236D" w:rsidR="006F2A23" w:rsidP="006F2A23" w:rsidRDefault="006F2A23" w14:paraId="69A3E3C1" w14:textId="77777777">
      <w:pPr>
        <w:pStyle w:val="Lijstalinea"/>
        <w:numPr>
          <w:ilvl w:val="0"/>
          <w:numId w:val="1"/>
        </w:numPr>
        <w:autoSpaceDN w:val="0"/>
        <w:spacing w:after="0" w:line="240" w:lineRule="atLeast"/>
        <w:textAlignment w:val="baseline"/>
        <w:rPr>
          <w:rFonts w:ascii="Calibri" w:hAnsi="Calibri" w:cs="Calibri"/>
        </w:rPr>
      </w:pPr>
      <w:r w:rsidRPr="00D8236D">
        <w:rPr>
          <w:rFonts w:ascii="Calibri" w:hAnsi="Calibri" w:cs="Calibri"/>
        </w:rPr>
        <w:t xml:space="preserve">HDP-leden, en -activisten. </w:t>
      </w:r>
    </w:p>
    <w:p w:rsidRPr="00D8236D" w:rsidR="006F2A23" w:rsidP="006F2A23" w:rsidRDefault="006F2A23" w14:paraId="4F655275" w14:textId="77777777">
      <w:pPr>
        <w:rPr>
          <w:rFonts w:ascii="Calibri" w:hAnsi="Calibri" w:cs="Calibri"/>
        </w:rPr>
      </w:pPr>
    </w:p>
    <w:p w:rsidRPr="00D8236D" w:rsidR="006F2A23" w:rsidP="006F2A23" w:rsidRDefault="006F2A23" w14:paraId="7D192931" w14:textId="77777777">
      <w:pPr>
        <w:rPr>
          <w:rFonts w:ascii="Calibri" w:hAnsi="Calibri" w:cs="Calibri"/>
        </w:rPr>
      </w:pPr>
      <w:r w:rsidRPr="00D8236D">
        <w:rPr>
          <w:rFonts w:ascii="Calibri" w:hAnsi="Calibri" w:cs="Calibri"/>
        </w:rPr>
        <w:t xml:space="preserve">Met betrekking tot dienstweigering en desertie geldt het algemene beleidskader. Specifiek ten aanzien van dienstplichtige Koerden wordt in beginsel niet aangenomen dat zij een gegronde vrees hebben om in een conflict te worden ingezet tegen eigen volk of familie. </w:t>
      </w:r>
    </w:p>
    <w:p w:rsidRPr="00D8236D" w:rsidR="006F2A23" w:rsidP="006F2A23" w:rsidRDefault="006F2A23" w14:paraId="5A6FF68F" w14:textId="77777777">
      <w:pPr>
        <w:rPr>
          <w:rFonts w:ascii="Calibri" w:hAnsi="Calibri" w:cs="Calibri"/>
        </w:rPr>
      </w:pPr>
      <w:r w:rsidRPr="00D8236D">
        <w:rPr>
          <w:rFonts w:ascii="Calibri" w:hAnsi="Calibri" w:cs="Calibri"/>
        </w:rPr>
        <w:t xml:space="preserve">Ten slotte geldt in de context van Turkije dat er adequate opvangvoorzieningen voor alleenstaande minderjarige vreemdelingen aanwezig zijn in de zin van paragraaf B8/6 </w:t>
      </w:r>
      <w:proofErr w:type="spellStart"/>
      <w:r w:rsidRPr="00D8236D">
        <w:rPr>
          <w:rFonts w:ascii="Calibri" w:hAnsi="Calibri" w:cs="Calibri"/>
        </w:rPr>
        <w:t>Vc</w:t>
      </w:r>
      <w:proofErr w:type="spellEnd"/>
      <w:r w:rsidRPr="00D8236D">
        <w:rPr>
          <w:rFonts w:ascii="Calibri" w:hAnsi="Calibri" w:cs="Calibri"/>
        </w:rPr>
        <w:t xml:space="preserve">. </w:t>
      </w:r>
    </w:p>
    <w:p w:rsidRPr="00D8236D" w:rsidR="006F2A23" w:rsidP="006F2A23" w:rsidRDefault="006F2A23" w14:paraId="4355950B" w14:textId="77777777">
      <w:pPr>
        <w:rPr>
          <w:rFonts w:ascii="Calibri" w:hAnsi="Calibri" w:cs="Calibri"/>
        </w:rPr>
      </w:pPr>
      <w:r w:rsidRPr="00D8236D">
        <w:rPr>
          <w:rFonts w:ascii="Calibri" w:hAnsi="Calibri" w:cs="Calibri"/>
        </w:rPr>
        <w:t>Het huidige beleid zal ongewijzigd blijven behalve op de punten die met deze brief gewijzigd worden.</w:t>
      </w:r>
    </w:p>
    <w:p w:rsidRPr="00D8236D" w:rsidR="006F2A23" w:rsidP="006F2A23" w:rsidRDefault="006F2A23" w14:paraId="4FA0565A" w14:textId="77777777">
      <w:pPr>
        <w:rPr>
          <w:rFonts w:ascii="Calibri" w:hAnsi="Calibri" w:cs="Calibri"/>
          <w:i/>
          <w:iCs/>
        </w:rPr>
      </w:pPr>
      <w:r w:rsidRPr="00D8236D">
        <w:rPr>
          <w:rFonts w:ascii="Calibri" w:hAnsi="Calibri" w:cs="Calibri"/>
          <w:i/>
          <w:iCs/>
        </w:rPr>
        <w:t>HDP/DEM</w:t>
      </w:r>
    </w:p>
    <w:p w:rsidRPr="00D8236D" w:rsidR="006F2A23" w:rsidP="006F2A23" w:rsidRDefault="006F2A23" w14:paraId="551D99DA" w14:textId="77777777">
      <w:pPr>
        <w:rPr>
          <w:rFonts w:ascii="Calibri" w:hAnsi="Calibri" w:cs="Calibri"/>
        </w:rPr>
      </w:pPr>
      <w:r w:rsidRPr="00D8236D">
        <w:rPr>
          <w:rFonts w:ascii="Calibri" w:hAnsi="Calibri" w:cs="Calibri"/>
        </w:rPr>
        <w:t xml:space="preserve">Gedurende de verslagperiode besloot de partij </w:t>
      </w:r>
      <w:proofErr w:type="spellStart"/>
      <w:r w:rsidRPr="00D8236D">
        <w:rPr>
          <w:rFonts w:ascii="Calibri" w:hAnsi="Calibri" w:cs="Calibri"/>
          <w:i/>
          <w:iCs/>
        </w:rPr>
        <w:t>Halkların</w:t>
      </w:r>
      <w:proofErr w:type="spellEnd"/>
      <w:r w:rsidRPr="00D8236D">
        <w:rPr>
          <w:rFonts w:ascii="Calibri" w:hAnsi="Calibri" w:cs="Calibri"/>
          <w:i/>
          <w:iCs/>
        </w:rPr>
        <w:t xml:space="preserve"> </w:t>
      </w:r>
      <w:proofErr w:type="spellStart"/>
      <w:r w:rsidRPr="00D8236D">
        <w:rPr>
          <w:rFonts w:ascii="Calibri" w:hAnsi="Calibri" w:cs="Calibri"/>
          <w:i/>
          <w:iCs/>
        </w:rPr>
        <w:t>Demokratik</w:t>
      </w:r>
      <w:proofErr w:type="spellEnd"/>
      <w:r w:rsidRPr="00D8236D">
        <w:rPr>
          <w:rFonts w:ascii="Calibri" w:hAnsi="Calibri" w:cs="Calibri"/>
          <w:i/>
          <w:iCs/>
        </w:rPr>
        <w:t xml:space="preserve"> </w:t>
      </w:r>
      <w:proofErr w:type="spellStart"/>
      <w:r w:rsidRPr="00D8236D">
        <w:rPr>
          <w:rFonts w:ascii="Calibri" w:hAnsi="Calibri" w:cs="Calibri"/>
          <w:i/>
          <w:iCs/>
        </w:rPr>
        <w:t>Partisi</w:t>
      </w:r>
      <w:proofErr w:type="spellEnd"/>
      <w:r w:rsidRPr="00D8236D">
        <w:rPr>
          <w:rFonts w:ascii="Calibri" w:hAnsi="Calibri" w:cs="Calibri"/>
          <w:i/>
          <w:iCs/>
        </w:rPr>
        <w:t xml:space="preserve"> </w:t>
      </w:r>
      <w:r w:rsidRPr="00D8236D">
        <w:rPr>
          <w:rFonts w:ascii="Calibri" w:hAnsi="Calibri" w:cs="Calibri"/>
        </w:rPr>
        <w:t xml:space="preserve">(Democratische Partij van de Volkeren, HDP) om haar naam te veranderen in </w:t>
      </w:r>
      <w:proofErr w:type="spellStart"/>
      <w:r w:rsidRPr="00D8236D">
        <w:rPr>
          <w:rFonts w:ascii="Calibri" w:hAnsi="Calibri" w:cs="Calibri"/>
          <w:i/>
          <w:iCs/>
        </w:rPr>
        <w:t>Halkların</w:t>
      </w:r>
      <w:proofErr w:type="spellEnd"/>
      <w:r w:rsidRPr="00D8236D">
        <w:rPr>
          <w:rFonts w:ascii="Calibri" w:hAnsi="Calibri" w:cs="Calibri"/>
          <w:i/>
          <w:iCs/>
        </w:rPr>
        <w:t xml:space="preserve"> </w:t>
      </w:r>
      <w:proofErr w:type="spellStart"/>
      <w:r w:rsidRPr="00D8236D">
        <w:rPr>
          <w:rFonts w:ascii="Calibri" w:hAnsi="Calibri" w:cs="Calibri"/>
          <w:i/>
          <w:iCs/>
        </w:rPr>
        <w:t>Eşitlik</w:t>
      </w:r>
      <w:proofErr w:type="spellEnd"/>
      <w:r w:rsidRPr="00D8236D">
        <w:rPr>
          <w:rFonts w:ascii="Calibri" w:hAnsi="Calibri" w:cs="Calibri"/>
          <w:i/>
          <w:iCs/>
        </w:rPr>
        <w:t xml:space="preserve"> </w:t>
      </w:r>
      <w:proofErr w:type="spellStart"/>
      <w:r w:rsidRPr="00D8236D">
        <w:rPr>
          <w:rFonts w:ascii="Calibri" w:hAnsi="Calibri" w:cs="Calibri"/>
          <w:i/>
          <w:iCs/>
        </w:rPr>
        <w:t>ve</w:t>
      </w:r>
      <w:proofErr w:type="spellEnd"/>
      <w:r w:rsidRPr="00D8236D">
        <w:rPr>
          <w:rFonts w:ascii="Calibri" w:hAnsi="Calibri" w:cs="Calibri"/>
          <w:i/>
          <w:iCs/>
        </w:rPr>
        <w:t xml:space="preserve"> </w:t>
      </w:r>
      <w:proofErr w:type="spellStart"/>
      <w:r w:rsidRPr="00D8236D">
        <w:rPr>
          <w:rFonts w:ascii="Calibri" w:hAnsi="Calibri" w:cs="Calibri"/>
          <w:i/>
          <w:iCs/>
        </w:rPr>
        <w:t>Demokrasi</w:t>
      </w:r>
      <w:proofErr w:type="spellEnd"/>
      <w:r w:rsidRPr="00D8236D">
        <w:rPr>
          <w:rFonts w:ascii="Calibri" w:hAnsi="Calibri" w:cs="Calibri"/>
          <w:i/>
          <w:iCs/>
        </w:rPr>
        <w:t xml:space="preserve"> </w:t>
      </w:r>
      <w:proofErr w:type="spellStart"/>
      <w:r w:rsidRPr="00D8236D">
        <w:rPr>
          <w:rFonts w:ascii="Calibri" w:hAnsi="Calibri" w:cs="Calibri"/>
          <w:i/>
          <w:iCs/>
        </w:rPr>
        <w:t>Partisi</w:t>
      </w:r>
      <w:proofErr w:type="spellEnd"/>
      <w:r w:rsidRPr="00D8236D">
        <w:rPr>
          <w:rFonts w:ascii="Calibri" w:hAnsi="Calibri" w:cs="Calibri"/>
          <w:i/>
          <w:iCs/>
        </w:rPr>
        <w:t xml:space="preserve"> </w:t>
      </w:r>
      <w:r w:rsidRPr="00D8236D">
        <w:rPr>
          <w:rFonts w:ascii="Calibri" w:hAnsi="Calibri" w:cs="Calibri"/>
        </w:rPr>
        <w:t xml:space="preserve">(Partij van Volkeren Voor Gelijkheid en Democratie). Er is door de partij voor gekozen om deze naam af te korten als DEM. De situatie voor leden en activisten van HDP/DEM bleef in de regel gelijk gedurende de verslagperiode. Deze naamswijziging leidt er echter toe dat de beschrijving van het risicoprofiel gewijzigd zal moeten worden. Het risicoprofiel “HDP-leden en -activisten” zal daarom worden gewijzigd in “DEM-leden en -activisten (voormalig HDP)”. </w:t>
      </w:r>
    </w:p>
    <w:p w:rsidRPr="00D8236D" w:rsidR="006F2A23" w:rsidP="006F2A23" w:rsidRDefault="006F2A23" w14:paraId="6BA43442" w14:textId="77777777">
      <w:pPr>
        <w:rPr>
          <w:rFonts w:ascii="Calibri" w:hAnsi="Calibri" w:cs="Calibri"/>
        </w:rPr>
      </w:pPr>
    </w:p>
    <w:p w:rsidRPr="00D8236D" w:rsidR="006F2A23" w:rsidP="006F2A23" w:rsidRDefault="006F2A23" w14:paraId="1575AFAE" w14:textId="77777777">
      <w:pPr>
        <w:rPr>
          <w:rFonts w:ascii="Calibri" w:hAnsi="Calibri" w:cs="Calibri"/>
          <w:i/>
          <w:iCs/>
        </w:rPr>
      </w:pPr>
      <w:r w:rsidRPr="00D8236D">
        <w:rPr>
          <w:rFonts w:ascii="Calibri" w:hAnsi="Calibri" w:cs="Calibri"/>
          <w:i/>
          <w:iCs/>
        </w:rPr>
        <w:lastRenderedPageBreak/>
        <w:t>LHBTIQ+</w:t>
      </w:r>
    </w:p>
    <w:p w:rsidRPr="00D8236D" w:rsidR="006F2A23" w:rsidP="006F2A23" w:rsidRDefault="006F2A23" w14:paraId="5EE168AC" w14:textId="77777777">
      <w:pPr>
        <w:rPr>
          <w:rFonts w:ascii="Calibri" w:hAnsi="Calibri" w:cs="Calibri"/>
        </w:rPr>
      </w:pPr>
      <w:r w:rsidRPr="00D8236D">
        <w:rPr>
          <w:rFonts w:ascii="Calibri" w:hAnsi="Calibri" w:cs="Calibri"/>
        </w:rPr>
        <w:t>Uit het ambtsbericht blijkt dat het sociale klimaat voor LHBTIQ+ in Turkije net als de vorige verslagperiode slecht bleef ondanks het feit dat er sprake was van een weerbare LHBTIQ+-rechtenbeweging en van bondgenoten in het maatschappelijk debat. Uit het ambtsbericht vloeit voort dat de mate waarin bescherming ingeroepen kan worden door LHBTIQ+-personen in de praktijk beperkt was. Een onderzoek van een Turkse LHBTIQ+ organisatie waar het ambtsbericht naar verwijst, concludeerde dat homo- en transfobie wijdverbreid waren onder het justitieel apparaat. Dit nam onder andere de vorm aan van aangiftes van LHBTIQ+-personen die niet in behandeling werden genomen en de rechterlijke macht die langzaam zou handelen in gevallen waarin het een LHBTIQ+-slachtoffer betrof, maar voortvarend in gevallen waar het een LHBTIQ+-dader zou betreffen. Daar komt bovenop dat het Turkse Instituut voor Mensenrechten en Gelijkheid en de Ombudsman geen meldingen van LHBTIQ+ in behandeling nemen. Gelet op vorengaande zal ik in het beleid opnemen dat LHBTIQ+ geen bescherming kunnen verkrijgen van de autoriteiten tenzij uit het individuele dossier blijkt dat dit wel mogelijk is.</w:t>
      </w:r>
    </w:p>
    <w:p w:rsidRPr="00D8236D" w:rsidR="006F2A23" w:rsidP="006F2A23" w:rsidRDefault="006F2A23" w14:paraId="354DA232" w14:textId="77777777">
      <w:pPr>
        <w:rPr>
          <w:rFonts w:ascii="Calibri" w:hAnsi="Calibri" w:cs="Calibri"/>
        </w:rPr>
      </w:pPr>
    </w:p>
    <w:p w:rsidRPr="00D8236D" w:rsidR="006F2A23" w:rsidP="00D8236D" w:rsidRDefault="006F2A23" w14:paraId="7E542496" w14:textId="3DA6D6A9">
      <w:pPr>
        <w:pStyle w:val="Geenafstand"/>
      </w:pPr>
      <w:r w:rsidRPr="00D8236D">
        <w:t xml:space="preserve">De </w:t>
      </w:r>
      <w:r w:rsidR="00D8236D">
        <w:t>m</w:t>
      </w:r>
      <w:r w:rsidRPr="00D8236D">
        <w:t xml:space="preserve">inister van Asiel en Migratie, </w:t>
      </w:r>
    </w:p>
    <w:p w:rsidRPr="00D8236D" w:rsidR="006F2A23" w:rsidP="00D8236D" w:rsidRDefault="006F2A23" w14:paraId="35C6EDC6" w14:textId="77777777">
      <w:pPr>
        <w:pStyle w:val="Geenafstand"/>
      </w:pPr>
      <w:r w:rsidRPr="00D8236D">
        <w:t>M.H.M. Faber- van de Klashorst</w:t>
      </w:r>
    </w:p>
    <w:p w:rsidRPr="00D8236D" w:rsidR="006F2A23" w:rsidP="00D8236D" w:rsidRDefault="006F2A23" w14:paraId="2B9C8645" w14:textId="77777777">
      <w:pPr>
        <w:pStyle w:val="Geenafstand"/>
      </w:pPr>
    </w:p>
    <w:p w:rsidRPr="00D8236D" w:rsidR="006F2A23" w:rsidP="00D8236D" w:rsidRDefault="006F2A23" w14:paraId="2ED7C787" w14:textId="77777777">
      <w:pPr>
        <w:pStyle w:val="Geenafstand"/>
      </w:pPr>
    </w:p>
    <w:p w:rsidRPr="00D8236D" w:rsidR="006F2A23" w:rsidP="006F2A23" w:rsidRDefault="006F2A23" w14:paraId="270E644E" w14:textId="77777777">
      <w:pPr>
        <w:pStyle w:val="WitregelW1bodytekst"/>
        <w:rPr>
          <w:rFonts w:ascii="Calibri" w:hAnsi="Calibri" w:cs="Calibri"/>
          <w:sz w:val="22"/>
          <w:szCs w:val="22"/>
        </w:rPr>
      </w:pPr>
    </w:p>
    <w:p w:rsidRPr="00D8236D" w:rsidR="006F2A23" w:rsidP="006F2A23" w:rsidRDefault="006F2A23" w14:paraId="6E2ACB24" w14:textId="77777777">
      <w:pPr>
        <w:rPr>
          <w:rFonts w:ascii="Calibri" w:hAnsi="Calibri" w:cs="Calibri"/>
        </w:rPr>
      </w:pPr>
    </w:p>
    <w:p w:rsidRPr="00D8236D" w:rsidR="006F2A23" w:rsidP="006F2A23" w:rsidRDefault="006F2A23" w14:paraId="7AC016DD" w14:textId="77777777">
      <w:pPr>
        <w:rPr>
          <w:rFonts w:ascii="Calibri" w:hAnsi="Calibri" w:cs="Calibri"/>
        </w:rPr>
      </w:pPr>
    </w:p>
    <w:p w:rsidRPr="00D8236D" w:rsidR="006F2A23" w:rsidP="006F2A23" w:rsidRDefault="006F2A23" w14:paraId="363A26FA" w14:textId="77777777">
      <w:pPr>
        <w:rPr>
          <w:rFonts w:ascii="Calibri" w:hAnsi="Calibri" w:cs="Calibri"/>
        </w:rPr>
      </w:pPr>
    </w:p>
    <w:p w:rsidRPr="00D8236D" w:rsidR="006F2A23" w:rsidP="006F2A23" w:rsidRDefault="006F2A23" w14:paraId="6FF6270C" w14:textId="77777777">
      <w:pPr>
        <w:rPr>
          <w:rFonts w:ascii="Calibri" w:hAnsi="Calibri" w:cs="Calibri"/>
        </w:rPr>
      </w:pPr>
    </w:p>
    <w:p w:rsidRPr="00D8236D" w:rsidR="006F2A23" w:rsidP="006F2A23" w:rsidRDefault="006F2A23" w14:paraId="5144FC95" w14:textId="77777777">
      <w:pPr>
        <w:rPr>
          <w:rFonts w:ascii="Calibri" w:hAnsi="Calibri" w:cs="Calibri"/>
        </w:rPr>
      </w:pPr>
    </w:p>
    <w:p w:rsidRPr="00D8236D" w:rsidR="006F2A23" w:rsidP="006F2A23" w:rsidRDefault="006F2A23" w14:paraId="5E9AB878" w14:textId="77777777">
      <w:pPr>
        <w:rPr>
          <w:rFonts w:ascii="Calibri" w:hAnsi="Calibri" w:cs="Calibri"/>
        </w:rPr>
      </w:pPr>
    </w:p>
    <w:p w:rsidRPr="00D8236D" w:rsidR="006F2A23" w:rsidP="006F2A23" w:rsidRDefault="006F2A23" w14:paraId="70A3B359" w14:textId="77777777">
      <w:pPr>
        <w:rPr>
          <w:rFonts w:ascii="Calibri" w:hAnsi="Calibri" w:cs="Calibri"/>
        </w:rPr>
      </w:pPr>
    </w:p>
    <w:p w:rsidRPr="00D8236D" w:rsidR="006F2A23" w:rsidP="006F2A23" w:rsidRDefault="006F2A23" w14:paraId="532462C7" w14:textId="77777777">
      <w:pPr>
        <w:rPr>
          <w:rFonts w:ascii="Calibri" w:hAnsi="Calibri" w:cs="Calibri"/>
        </w:rPr>
      </w:pPr>
    </w:p>
    <w:p w:rsidRPr="00D8236D" w:rsidR="006F2A23" w:rsidP="006F2A23" w:rsidRDefault="006F2A23" w14:paraId="35EE5977" w14:textId="77777777">
      <w:pPr>
        <w:rPr>
          <w:rFonts w:ascii="Calibri" w:hAnsi="Calibri" w:cs="Calibri"/>
        </w:rPr>
      </w:pPr>
    </w:p>
    <w:p w:rsidRPr="00D8236D" w:rsidR="006F2A23" w:rsidP="006F2A23" w:rsidRDefault="006F2A23" w14:paraId="13EAF6A9" w14:textId="77777777">
      <w:pPr>
        <w:rPr>
          <w:rFonts w:ascii="Calibri" w:hAnsi="Calibri" w:cs="Calibri"/>
        </w:rPr>
      </w:pPr>
    </w:p>
    <w:p w:rsidRPr="00D8236D" w:rsidR="006F2A23" w:rsidP="006F2A23" w:rsidRDefault="006F2A23" w14:paraId="38056F5C" w14:textId="77777777">
      <w:pPr>
        <w:rPr>
          <w:rFonts w:ascii="Calibri" w:hAnsi="Calibri" w:cs="Calibri"/>
        </w:rPr>
      </w:pPr>
    </w:p>
    <w:p w:rsidRPr="00D8236D" w:rsidR="00FE0FA3" w:rsidRDefault="00FE0FA3" w14:paraId="438DFE94" w14:textId="77777777">
      <w:pPr>
        <w:rPr>
          <w:rFonts w:ascii="Calibri" w:hAnsi="Calibri" w:cs="Calibri"/>
        </w:rPr>
      </w:pPr>
    </w:p>
    <w:sectPr w:rsidRPr="00D8236D" w:rsidR="00FE0FA3" w:rsidSect="006F2A2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DD35" w14:textId="77777777" w:rsidR="006F2A23" w:rsidRDefault="006F2A23" w:rsidP="006F2A23">
      <w:pPr>
        <w:spacing w:after="0" w:line="240" w:lineRule="auto"/>
      </w:pPr>
      <w:r>
        <w:separator/>
      </w:r>
    </w:p>
  </w:endnote>
  <w:endnote w:type="continuationSeparator" w:id="0">
    <w:p w14:paraId="30B906A2" w14:textId="77777777" w:rsidR="006F2A23" w:rsidRDefault="006F2A23" w:rsidP="006F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4AC1" w14:textId="77777777" w:rsidR="006F2A23" w:rsidRPr="006F2A23" w:rsidRDefault="006F2A23" w:rsidP="006F2A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B948" w14:textId="77777777" w:rsidR="006F2A23" w:rsidRPr="006F2A23" w:rsidRDefault="006F2A23" w:rsidP="006F2A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2F98" w14:textId="77777777" w:rsidR="006F2A23" w:rsidRPr="006F2A23" w:rsidRDefault="006F2A23" w:rsidP="006F2A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1A90" w14:textId="77777777" w:rsidR="006F2A23" w:rsidRDefault="006F2A23" w:rsidP="006F2A23">
      <w:pPr>
        <w:spacing w:after="0" w:line="240" w:lineRule="auto"/>
      </w:pPr>
      <w:r>
        <w:separator/>
      </w:r>
    </w:p>
  </w:footnote>
  <w:footnote w:type="continuationSeparator" w:id="0">
    <w:p w14:paraId="3CCC2D04" w14:textId="77777777" w:rsidR="006F2A23" w:rsidRDefault="006F2A23" w:rsidP="006F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2848" w14:textId="77777777" w:rsidR="006F2A23" w:rsidRPr="006F2A23" w:rsidRDefault="006F2A23" w:rsidP="006F2A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D5FB" w14:textId="77777777" w:rsidR="006F2A23" w:rsidRPr="006F2A23" w:rsidRDefault="006F2A23" w:rsidP="006F2A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E80" w14:textId="77777777" w:rsidR="006F2A23" w:rsidRPr="006F2A23" w:rsidRDefault="006F2A23" w:rsidP="006F2A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85CE4"/>
    <w:multiLevelType w:val="hybridMultilevel"/>
    <w:tmpl w:val="AC142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023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23"/>
    <w:rsid w:val="00031FD6"/>
    <w:rsid w:val="002E3E61"/>
    <w:rsid w:val="00543F04"/>
    <w:rsid w:val="006F2A23"/>
    <w:rsid w:val="00810A68"/>
    <w:rsid w:val="00D8236D"/>
    <w:rsid w:val="00DE2A3D"/>
    <w:rsid w:val="00F20AC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996D"/>
  <w15:chartTrackingRefBased/>
  <w15:docId w15:val="{B24EAA71-0B8C-4114-96AE-B09AE267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2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2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2A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A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A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A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A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A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A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A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2A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2A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A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A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A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A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A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A23"/>
    <w:rPr>
      <w:rFonts w:eastAsiaTheme="majorEastAsia" w:cstheme="majorBidi"/>
      <w:color w:val="272727" w:themeColor="text1" w:themeTint="D8"/>
    </w:rPr>
  </w:style>
  <w:style w:type="paragraph" w:styleId="Titel">
    <w:name w:val="Title"/>
    <w:basedOn w:val="Standaard"/>
    <w:next w:val="Standaard"/>
    <w:link w:val="TitelChar"/>
    <w:uiPriority w:val="10"/>
    <w:qFormat/>
    <w:rsid w:val="006F2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A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A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A23"/>
    <w:rPr>
      <w:i/>
      <w:iCs/>
      <w:color w:val="404040" w:themeColor="text1" w:themeTint="BF"/>
    </w:rPr>
  </w:style>
  <w:style w:type="paragraph" w:styleId="Lijstalinea">
    <w:name w:val="List Paragraph"/>
    <w:basedOn w:val="Standaard"/>
    <w:uiPriority w:val="34"/>
    <w:qFormat/>
    <w:rsid w:val="006F2A23"/>
    <w:pPr>
      <w:ind w:left="720"/>
      <w:contextualSpacing/>
    </w:pPr>
  </w:style>
  <w:style w:type="character" w:styleId="Intensievebenadrukking">
    <w:name w:val="Intense Emphasis"/>
    <w:basedOn w:val="Standaardalinea-lettertype"/>
    <w:uiPriority w:val="21"/>
    <w:qFormat/>
    <w:rsid w:val="006F2A23"/>
    <w:rPr>
      <w:i/>
      <w:iCs/>
      <w:color w:val="0F4761" w:themeColor="accent1" w:themeShade="BF"/>
    </w:rPr>
  </w:style>
  <w:style w:type="paragraph" w:styleId="Duidelijkcitaat">
    <w:name w:val="Intense Quote"/>
    <w:basedOn w:val="Standaard"/>
    <w:next w:val="Standaard"/>
    <w:link w:val="DuidelijkcitaatChar"/>
    <w:uiPriority w:val="30"/>
    <w:qFormat/>
    <w:rsid w:val="006F2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A23"/>
    <w:rPr>
      <w:i/>
      <w:iCs/>
      <w:color w:val="0F4761" w:themeColor="accent1" w:themeShade="BF"/>
    </w:rPr>
  </w:style>
  <w:style w:type="character" w:styleId="Intensieveverwijzing">
    <w:name w:val="Intense Reference"/>
    <w:basedOn w:val="Standaardalinea-lettertype"/>
    <w:uiPriority w:val="32"/>
    <w:qFormat/>
    <w:rsid w:val="006F2A23"/>
    <w:rPr>
      <w:b/>
      <w:bCs/>
      <w:smallCaps/>
      <w:color w:val="0F4761" w:themeColor="accent1" w:themeShade="BF"/>
      <w:spacing w:val="5"/>
    </w:rPr>
  </w:style>
  <w:style w:type="paragraph" w:customStyle="1" w:styleId="WitregelW1bodytekst">
    <w:name w:val="Witregel W1 (bodytekst)"/>
    <w:basedOn w:val="Standaard"/>
    <w:next w:val="Standaard"/>
    <w:rsid w:val="006F2A2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F2A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A23"/>
  </w:style>
  <w:style w:type="paragraph" w:styleId="Voettekst">
    <w:name w:val="footer"/>
    <w:basedOn w:val="Standaard"/>
    <w:link w:val="VoettekstChar"/>
    <w:uiPriority w:val="99"/>
    <w:unhideWhenUsed/>
    <w:rsid w:val="006F2A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A23"/>
  </w:style>
  <w:style w:type="paragraph" w:styleId="Geenafstand">
    <w:name w:val="No Spacing"/>
    <w:uiPriority w:val="1"/>
    <w:qFormat/>
    <w:rsid w:val="00D82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2676</ap:Characters>
  <ap:DocSecurity>0</ap:DocSecurity>
  <ap:Lines>22</ap:Lines>
  <ap:Paragraphs>6</ap:Paragraphs>
  <ap:ScaleCrop>false</ap:ScaleCrop>
  <ap:LinksUpToDate>false</ap:LinksUpToDate>
  <ap:CharactersWithSpaces>3156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2025-06-04T10:28:00.0000000Z</dcterms:created>
  <dcterms:modified xsi:type="dcterms:W3CDTF">2025-06-04T10:28:00.0000000Z</dcterms:modified>
  <version/>
  <category/>
</coreProperties>
</file>