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02BB9" w:rsidP="00E36AEF" w:rsidRDefault="00402BB9" w14:paraId="58EB2C60" w14:textId="4871CA82">
      <w:pPr>
        <w:rPr>
          <w:b/>
          <w:color w:val="1F3864" w:themeColor="accent1" w:themeShade="80"/>
          <w:sz w:val="36"/>
          <w:szCs w:val="36"/>
        </w:rPr>
      </w:pPr>
    </w:p>
    <w:p w:rsidR="00402BB9" w:rsidP="00D2373A" w:rsidRDefault="00402BB9" w14:paraId="4632D254" w14:textId="77777777">
      <w:pPr>
        <w:jc w:val="center"/>
        <w:rPr>
          <w:b/>
          <w:color w:val="1F3864" w:themeColor="accent1" w:themeShade="80"/>
          <w:sz w:val="36"/>
          <w:szCs w:val="36"/>
        </w:rPr>
      </w:pPr>
    </w:p>
    <w:p w:rsidR="00D333B5" w:rsidP="00D2373A" w:rsidRDefault="00D2373A" w14:paraId="5B364222" w14:textId="77777777">
      <w:pPr>
        <w:jc w:val="center"/>
        <w:rPr>
          <w:b/>
          <w:color w:val="1F3864" w:themeColor="accent1" w:themeShade="80"/>
          <w:sz w:val="36"/>
          <w:szCs w:val="36"/>
        </w:rPr>
      </w:pPr>
      <w:r w:rsidRPr="00D2373A">
        <w:rPr>
          <w:b/>
          <w:color w:val="1F3864" w:themeColor="accent1" w:themeShade="80"/>
          <w:sz w:val="36"/>
          <w:szCs w:val="36"/>
        </w:rPr>
        <w:t xml:space="preserve">Periodieke Rapportage </w:t>
      </w:r>
    </w:p>
    <w:p w:rsidRPr="00DF1647" w:rsidR="00D2373A" w:rsidP="00D2373A" w:rsidRDefault="00D2373A" w14:paraId="0A5F0D57" w14:textId="472E6DC7">
      <w:pPr>
        <w:jc w:val="center"/>
        <w:rPr>
          <w:b/>
          <w:color w:val="1F3864" w:themeColor="accent1" w:themeShade="80"/>
          <w:sz w:val="36"/>
          <w:szCs w:val="36"/>
        </w:rPr>
      </w:pPr>
      <w:r w:rsidRPr="00DF1647">
        <w:rPr>
          <w:b/>
          <w:color w:val="1F3864" w:themeColor="accent1" w:themeShade="80"/>
          <w:sz w:val="36"/>
          <w:szCs w:val="36"/>
        </w:rPr>
        <w:t>‘Versterkte internationale rechtsorde’ (2015-2022)</w:t>
      </w:r>
    </w:p>
    <w:p w:rsidRPr="00DF1647" w:rsidR="00D2373A" w:rsidP="00D2373A" w:rsidRDefault="00D2373A" w14:paraId="39D6D263" w14:textId="77777777">
      <w:pPr>
        <w:jc w:val="center"/>
        <w:rPr>
          <w:b/>
          <w:color w:val="1F3864" w:themeColor="accent1" w:themeShade="80"/>
          <w:sz w:val="36"/>
          <w:szCs w:val="36"/>
        </w:rPr>
      </w:pPr>
    </w:p>
    <w:p w:rsidRPr="00DF1647" w:rsidR="00D2373A" w:rsidP="00D2373A" w:rsidRDefault="00D2373A" w14:paraId="717D6A4B" w14:textId="77777777">
      <w:pPr>
        <w:jc w:val="center"/>
        <w:rPr>
          <w:b/>
          <w:color w:val="1F3864" w:themeColor="accent1" w:themeShade="80"/>
          <w:sz w:val="36"/>
          <w:szCs w:val="36"/>
        </w:rPr>
      </w:pPr>
    </w:p>
    <w:p w:rsidRPr="00DF1647" w:rsidR="00D2373A" w:rsidP="00D2373A" w:rsidRDefault="00D2373A" w14:paraId="61AB645B" w14:textId="77777777">
      <w:pPr>
        <w:jc w:val="center"/>
        <w:rPr>
          <w:b/>
          <w:color w:val="1F3864" w:themeColor="accent1" w:themeShade="80"/>
          <w:sz w:val="36"/>
          <w:szCs w:val="36"/>
        </w:rPr>
      </w:pPr>
    </w:p>
    <w:p w:rsidRPr="00DF1647" w:rsidR="00D2373A" w:rsidP="00D2373A" w:rsidRDefault="00D2373A" w14:paraId="79175D89" w14:textId="77777777">
      <w:pPr>
        <w:jc w:val="center"/>
        <w:rPr>
          <w:b/>
          <w:color w:val="1F3864" w:themeColor="accent1" w:themeShade="80"/>
          <w:sz w:val="36"/>
          <w:szCs w:val="36"/>
        </w:rPr>
      </w:pPr>
    </w:p>
    <w:p w:rsidRPr="00DF1647" w:rsidR="00D2373A" w:rsidP="00D2373A" w:rsidRDefault="00D2373A" w14:paraId="0744BEAE" w14:textId="77777777">
      <w:pPr>
        <w:jc w:val="center"/>
        <w:rPr>
          <w:b/>
          <w:color w:val="1F3864" w:themeColor="accent1" w:themeShade="80"/>
          <w:sz w:val="36"/>
          <w:szCs w:val="36"/>
        </w:rPr>
      </w:pPr>
    </w:p>
    <w:p w:rsidRPr="00DF1647" w:rsidR="00D2373A" w:rsidP="00D2373A" w:rsidRDefault="00D2373A" w14:paraId="2C523B86" w14:textId="77777777">
      <w:pPr>
        <w:jc w:val="center"/>
        <w:rPr>
          <w:b/>
          <w:color w:val="1F3864" w:themeColor="accent1" w:themeShade="80"/>
          <w:sz w:val="36"/>
          <w:szCs w:val="36"/>
        </w:rPr>
      </w:pPr>
    </w:p>
    <w:p w:rsidRPr="00DF1647" w:rsidR="00D2373A" w:rsidP="00D2373A" w:rsidRDefault="00D2373A" w14:paraId="41721C51" w14:textId="77777777">
      <w:pPr>
        <w:jc w:val="center"/>
        <w:rPr>
          <w:b/>
          <w:color w:val="1F3864" w:themeColor="accent1" w:themeShade="80"/>
          <w:sz w:val="36"/>
          <w:szCs w:val="36"/>
        </w:rPr>
      </w:pPr>
    </w:p>
    <w:p w:rsidRPr="00DF1647" w:rsidR="00D2373A" w:rsidP="00D2373A" w:rsidRDefault="00D2373A" w14:paraId="449AD62E" w14:textId="77777777">
      <w:pPr>
        <w:jc w:val="center"/>
        <w:rPr>
          <w:b/>
          <w:color w:val="1F3864" w:themeColor="accent1" w:themeShade="80"/>
          <w:sz w:val="36"/>
          <w:szCs w:val="36"/>
        </w:rPr>
      </w:pPr>
    </w:p>
    <w:p w:rsidRPr="00DF1647" w:rsidR="00D2373A" w:rsidP="00D2373A" w:rsidRDefault="00D2373A" w14:paraId="0536AC68" w14:textId="77777777">
      <w:pPr>
        <w:jc w:val="center"/>
        <w:rPr>
          <w:b/>
          <w:color w:val="1F3864" w:themeColor="accent1" w:themeShade="80"/>
          <w:sz w:val="36"/>
          <w:szCs w:val="36"/>
        </w:rPr>
      </w:pPr>
    </w:p>
    <w:p w:rsidRPr="00DF1647" w:rsidR="00D2373A" w:rsidP="00D2373A" w:rsidRDefault="00D2373A" w14:paraId="42673C79" w14:textId="77777777">
      <w:pPr>
        <w:jc w:val="center"/>
        <w:rPr>
          <w:b/>
          <w:color w:val="1F3864" w:themeColor="accent1" w:themeShade="80"/>
          <w:sz w:val="36"/>
          <w:szCs w:val="36"/>
        </w:rPr>
      </w:pPr>
    </w:p>
    <w:p w:rsidRPr="00DF1647" w:rsidR="00D2373A" w:rsidP="00D2373A" w:rsidRDefault="00D2373A" w14:paraId="3AA65B4B" w14:textId="77777777">
      <w:pPr>
        <w:jc w:val="center"/>
        <w:rPr>
          <w:b/>
          <w:color w:val="1F3864" w:themeColor="accent1" w:themeShade="80"/>
          <w:sz w:val="36"/>
          <w:szCs w:val="36"/>
        </w:rPr>
      </w:pPr>
    </w:p>
    <w:p w:rsidRPr="00DF1647" w:rsidR="00D2373A" w:rsidP="00D2373A" w:rsidRDefault="00D2373A" w14:paraId="4E17A382" w14:textId="77777777">
      <w:pPr>
        <w:jc w:val="center"/>
        <w:rPr>
          <w:b/>
          <w:color w:val="1F3864" w:themeColor="accent1" w:themeShade="80"/>
          <w:sz w:val="36"/>
          <w:szCs w:val="36"/>
        </w:rPr>
      </w:pPr>
    </w:p>
    <w:p w:rsidRPr="00DF1647" w:rsidR="00314EF9" w:rsidP="00D2373A" w:rsidRDefault="00314EF9" w14:paraId="7FC5F7C2" w14:textId="77777777">
      <w:pPr>
        <w:jc w:val="center"/>
        <w:rPr>
          <w:b/>
          <w:color w:val="1F3864" w:themeColor="accent1" w:themeShade="80"/>
          <w:sz w:val="36"/>
          <w:szCs w:val="36"/>
        </w:rPr>
      </w:pPr>
    </w:p>
    <w:p w:rsidRPr="00DF1647" w:rsidR="00314EF9" w:rsidP="00D2373A" w:rsidRDefault="00314EF9" w14:paraId="7D078562" w14:textId="77777777">
      <w:pPr>
        <w:jc w:val="center"/>
        <w:rPr>
          <w:b/>
          <w:color w:val="1F3864" w:themeColor="accent1" w:themeShade="80"/>
          <w:sz w:val="36"/>
          <w:szCs w:val="36"/>
        </w:rPr>
      </w:pPr>
    </w:p>
    <w:p w:rsidRPr="00DF1647" w:rsidR="00314EF9" w:rsidP="00D2373A" w:rsidRDefault="00314EF9" w14:paraId="01EB206B" w14:textId="77777777">
      <w:pPr>
        <w:jc w:val="center"/>
        <w:rPr>
          <w:b/>
          <w:color w:val="1F3864" w:themeColor="accent1" w:themeShade="80"/>
          <w:sz w:val="36"/>
          <w:szCs w:val="36"/>
        </w:rPr>
      </w:pPr>
    </w:p>
    <w:p w:rsidRPr="00DF1647" w:rsidR="00D2373A" w:rsidP="00D2373A" w:rsidRDefault="00D2373A" w14:paraId="5E5952C0" w14:textId="6888F5D6">
      <w:pPr>
        <w:tabs>
          <w:tab w:val="left" w:pos="2078"/>
        </w:tabs>
        <w:rPr>
          <w:b/>
          <w:color w:val="1F3864" w:themeColor="accent1" w:themeShade="80"/>
          <w:sz w:val="36"/>
          <w:szCs w:val="36"/>
        </w:rPr>
      </w:pPr>
      <w:r w:rsidRPr="00DF1647">
        <w:rPr>
          <w:b/>
          <w:color w:val="1F3864" w:themeColor="accent1" w:themeShade="80"/>
          <w:sz w:val="36"/>
          <w:szCs w:val="36"/>
        </w:rPr>
        <w:tab/>
      </w:r>
    </w:p>
    <w:p w:rsidRPr="00DF1647" w:rsidR="00D2373A" w:rsidP="00D2373A" w:rsidRDefault="00174CE6" w14:paraId="231B469B" w14:textId="15D1C61B">
      <w:pPr>
        <w:spacing w:after="0"/>
        <w:rPr>
          <w:bCs/>
        </w:rPr>
      </w:pPr>
      <w:r>
        <w:rPr>
          <w:bCs/>
        </w:rPr>
        <w:t>25</w:t>
      </w:r>
      <w:r w:rsidR="00E36AEF">
        <w:rPr>
          <w:bCs/>
        </w:rPr>
        <w:t xml:space="preserve"> </w:t>
      </w:r>
      <w:r>
        <w:rPr>
          <w:bCs/>
        </w:rPr>
        <w:t>Februari</w:t>
      </w:r>
      <w:r w:rsidR="00E36AEF">
        <w:rPr>
          <w:bCs/>
        </w:rPr>
        <w:t xml:space="preserve"> </w:t>
      </w:r>
      <w:r w:rsidRPr="00DF1647" w:rsidR="00EB16E5">
        <w:rPr>
          <w:bCs/>
        </w:rPr>
        <w:t>2025</w:t>
      </w:r>
    </w:p>
    <w:p w:rsidRPr="00314EF9" w:rsidR="00D2373A" w:rsidP="00D2373A" w:rsidRDefault="00D2373A" w14:paraId="4BA8C33E" w14:textId="3043BE40">
      <w:pPr>
        <w:spacing w:after="0"/>
        <w:rPr>
          <w:bCs/>
        </w:rPr>
      </w:pPr>
      <w:r w:rsidRPr="00314EF9">
        <w:rPr>
          <w:bCs/>
        </w:rPr>
        <w:t>Directie Internationaal Onderzoek en Beleidsevaluatie</w:t>
      </w:r>
    </w:p>
    <w:p w:rsidRPr="00314EF9" w:rsidR="00D2373A" w:rsidP="00D2373A" w:rsidRDefault="00D2373A" w14:paraId="76313953" w14:textId="0AC5B3B6">
      <w:pPr>
        <w:spacing w:after="0"/>
        <w:rPr>
          <w:bCs/>
        </w:rPr>
      </w:pPr>
      <w:r w:rsidRPr="00314EF9">
        <w:rPr>
          <w:bCs/>
        </w:rPr>
        <w:t>Ministerie van Buitenlandse Zaken</w:t>
      </w:r>
    </w:p>
    <w:p w:rsidRPr="00D2373A" w:rsidR="00D2373A" w:rsidP="00194895" w:rsidRDefault="00D2373A" w14:paraId="2EB8B9C5" w14:textId="77777777">
      <w:pPr>
        <w:rPr>
          <w:b/>
          <w:color w:val="1F3864" w:themeColor="accent1" w:themeShade="80"/>
          <w:sz w:val="36"/>
          <w:szCs w:val="36"/>
        </w:rPr>
      </w:pPr>
    </w:p>
    <w:p w:rsidRPr="0045424A" w:rsidR="00ED5243" w:rsidP="0045424A" w:rsidRDefault="0045424A" w14:paraId="483E2BBE" w14:textId="2DAABE9B">
      <w:r>
        <w:rPr>
          <w:b/>
          <w:color w:val="1F3864" w:themeColor="accent1" w:themeShade="80"/>
          <w:sz w:val="24"/>
          <w:szCs w:val="24"/>
        </w:rPr>
        <w:t xml:space="preserve">1. </w:t>
      </w:r>
      <w:r w:rsidRPr="0045424A" w:rsidR="007864D3">
        <w:rPr>
          <w:b/>
          <w:color w:val="1F3864" w:themeColor="accent1" w:themeShade="80"/>
          <w:sz w:val="24"/>
          <w:szCs w:val="24"/>
        </w:rPr>
        <w:t>Inleiding</w:t>
      </w:r>
      <w:r w:rsidRPr="0045424A" w:rsidR="00DE2200">
        <w:rPr>
          <w:b/>
          <w:color w:val="1F3864" w:themeColor="accent1" w:themeShade="80"/>
          <w:sz w:val="24"/>
          <w:szCs w:val="24"/>
        </w:rPr>
        <w:t xml:space="preserve"> </w:t>
      </w:r>
    </w:p>
    <w:p w:rsidRPr="003121D0" w:rsidR="007864D3" w:rsidP="003121D0" w:rsidRDefault="007864D3" w14:paraId="633FA70D" w14:textId="035E3C45">
      <w:pPr>
        <w:pStyle w:val="ListParagraph"/>
        <w:numPr>
          <w:ilvl w:val="1"/>
          <w:numId w:val="13"/>
        </w:numPr>
        <w:spacing w:after="0"/>
        <w:rPr>
          <w:b/>
          <w:bCs/>
        </w:rPr>
      </w:pPr>
      <w:r w:rsidRPr="003121D0">
        <w:rPr>
          <w:b/>
          <w:bCs/>
        </w:rPr>
        <w:t>Inleiding</w:t>
      </w:r>
      <w:r w:rsidR="005A44CE">
        <w:rPr>
          <w:b/>
          <w:bCs/>
        </w:rPr>
        <w:t xml:space="preserve"> periodieke rapportage artikel 1</w:t>
      </w:r>
      <w:r w:rsidRPr="003121D0" w:rsidR="00DE2200">
        <w:rPr>
          <w:b/>
          <w:bCs/>
        </w:rPr>
        <w:t xml:space="preserve"> </w:t>
      </w:r>
    </w:p>
    <w:p w:rsidR="00A767EE" w:rsidP="00A767EE" w:rsidRDefault="00570508" w14:paraId="3E58D948" w14:textId="6D5AD124">
      <w:pPr>
        <w:jc w:val="both"/>
      </w:pPr>
      <w:r>
        <w:t xml:space="preserve">Deze periodieke rapportage (PR) </w:t>
      </w:r>
      <w:r w:rsidR="00C031F6">
        <w:t>biedt inzicht in</w:t>
      </w:r>
      <w:r w:rsidR="00A767EE">
        <w:t xml:space="preserve"> </w:t>
      </w:r>
      <w:r w:rsidRPr="00C031F6" w:rsidR="00C031F6">
        <w:t xml:space="preserve">de (voorwaarden voor) </w:t>
      </w:r>
      <w:r w:rsidR="00C031F6">
        <w:t>effectiviteit en</w:t>
      </w:r>
      <w:r w:rsidRPr="00C031F6" w:rsidR="00C031F6">
        <w:t xml:space="preserve"> </w:t>
      </w:r>
      <w:r w:rsidR="00C031F6">
        <w:t>efficiëntie</w:t>
      </w:r>
      <w:r w:rsidRPr="00C031F6" w:rsidR="00C031F6">
        <w:t xml:space="preserve"> van het</w:t>
      </w:r>
      <w:r w:rsidR="00C031F6">
        <w:t xml:space="preserve"> </w:t>
      </w:r>
      <w:r w:rsidRPr="00C031F6" w:rsidR="00C031F6">
        <w:t xml:space="preserve">gevoerde beleid van </w:t>
      </w:r>
      <w:bookmarkStart w:name="_Hlk185354422" w:id="0"/>
      <w:r w:rsidRPr="00C031F6" w:rsidR="00C031F6">
        <w:t xml:space="preserve">artikel 1 ‘Versterkte internationale rechtsorde’ over de periode 2015 </w:t>
      </w:r>
      <w:r w:rsidR="00582E00">
        <w:t>-</w:t>
      </w:r>
      <w:r w:rsidRPr="00C031F6" w:rsidR="00C031F6">
        <w:t xml:space="preserve"> 2022</w:t>
      </w:r>
      <w:bookmarkEnd w:id="0"/>
      <w:r w:rsidRPr="00C031F6" w:rsidR="00C031F6">
        <w:t xml:space="preserve"> van de begroting van het ministerie van Buitenlandse Zaken</w:t>
      </w:r>
      <w:r>
        <w:t xml:space="preserve"> (BZ)</w:t>
      </w:r>
      <w:r w:rsidRPr="00C031F6" w:rsidR="00C031F6">
        <w:t>.</w:t>
      </w:r>
      <w:r w:rsidRPr="00EC00C8" w:rsidR="00141A00">
        <w:rPr>
          <w:rStyle w:val="FootnoteReference"/>
        </w:rPr>
        <w:footnoteReference w:id="2"/>
      </w:r>
      <w:r w:rsidR="00C031F6">
        <w:t xml:space="preserve"> </w:t>
      </w:r>
      <w:r w:rsidRPr="00A767EE" w:rsidR="00A767EE">
        <w:t xml:space="preserve">Onder </w:t>
      </w:r>
      <w:r w:rsidR="00C031F6">
        <w:t xml:space="preserve">dit begrotingsartikel </w:t>
      </w:r>
      <w:r w:rsidRPr="00A767EE" w:rsidR="00A767EE">
        <w:t>zijn drie thema’s gespecificeerd in aparte sub-artikelen:</w:t>
      </w:r>
    </w:p>
    <w:p w:rsidR="00C031F6" w:rsidP="00C031F6" w:rsidRDefault="00C031F6" w14:paraId="79A8FA47" w14:textId="23942337">
      <w:pPr>
        <w:pStyle w:val="ListParagraph"/>
        <w:numPr>
          <w:ilvl w:val="0"/>
          <w:numId w:val="12"/>
        </w:numPr>
        <w:jc w:val="both"/>
      </w:pPr>
      <w:r w:rsidRPr="00C031F6">
        <w:t xml:space="preserve">Sub-artikel 1.1 </w:t>
      </w:r>
      <w:r w:rsidR="00990767">
        <w:t>betreft de inzet voor</w:t>
      </w:r>
      <w:r w:rsidRPr="00C031F6">
        <w:t xml:space="preserve"> goed functionerende internationale instellingen met een breed draagvlak (hieronder valt de inzet op de internationale rechtsorde)</w:t>
      </w:r>
      <w:r w:rsidR="00D47C50">
        <w:t>;</w:t>
      </w:r>
      <w:r w:rsidR="00A23374">
        <w:rPr>
          <w:rStyle w:val="FootnoteReference"/>
        </w:rPr>
        <w:footnoteReference w:id="3"/>
      </w:r>
      <w:r w:rsidRPr="00C031F6">
        <w:t xml:space="preserve"> </w:t>
      </w:r>
    </w:p>
    <w:p w:rsidR="00C031F6" w:rsidP="00C031F6" w:rsidRDefault="00C031F6" w14:paraId="1DBE7F79" w14:textId="77777777">
      <w:pPr>
        <w:pStyle w:val="ListParagraph"/>
        <w:numPr>
          <w:ilvl w:val="0"/>
          <w:numId w:val="12"/>
        </w:numPr>
        <w:jc w:val="both"/>
      </w:pPr>
      <w:r w:rsidRPr="00C031F6">
        <w:t xml:space="preserve">Sub-artikel 1.2 </w:t>
      </w:r>
      <w:r>
        <w:t xml:space="preserve">omvat de uitgaven voor </w:t>
      </w:r>
      <w:r w:rsidRPr="00C031F6">
        <w:t xml:space="preserve">de bescherming en bevordering van mensenrechten; </w:t>
      </w:r>
    </w:p>
    <w:p w:rsidR="00C031F6" w:rsidP="00C031F6" w:rsidRDefault="00C031F6" w14:paraId="0797F294" w14:textId="17203BD7">
      <w:pPr>
        <w:pStyle w:val="ListParagraph"/>
        <w:numPr>
          <w:ilvl w:val="0"/>
          <w:numId w:val="12"/>
        </w:numPr>
        <w:jc w:val="both"/>
      </w:pPr>
      <w:r w:rsidRPr="00C031F6">
        <w:t xml:space="preserve">Sub-artikel 1.3 </w:t>
      </w:r>
      <w:r w:rsidR="00D47C50">
        <w:t>betreft de inzet van</w:t>
      </w:r>
      <w:r w:rsidRPr="00C031F6">
        <w:t xml:space="preserve"> het gastlandbeleid voor internationale organisaties.</w:t>
      </w:r>
    </w:p>
    <w:p w:rsidR="007D57EC" w:rsidP="00A767EE" w:rsidRDefault="00C031F6" w14:paraId="65A520EF" w14:textId="44216ADF">
      <w:pPr>
        <w:jc w:val="both"/>
      </w:pPr>
      <w:r>
        <w:t>De</w:t>
      </w:r>
      <w:r w:rsidR="00570508">
        <w:t xml:space="preserve"> PR </w:t>
      </w:r>
      <w:r w:rsidRPr="00C031F6">
        <w:t>spits</w:t>
      </w:r>
      <w:r>
        <w:t>t zich toe</w:t>
      </w:r>
      <w:r w:rsidRPr="00C031F6">
        <w:t xml:space="preserve"> op het gevoerde beleid binnen </w:t>
      </w:r>
      <w:r w:rsidR="007D57EC">
        <w:t xml:space="preserve">de </w:t>
      </w:r>
      <w:r w:rsidRPr="00C031F6">
        <w:t>sub-artikel</w:t>
      </w:r>
      <w:r w:rsidR="007D57EC">
        <w:t>en</w:t>
      </w:r>
      <w:r w:rsidRPr="00C031F6">
        <w:t xml:space="preserve"> 1.1 en 1.2</w:t>
      </w:r>
      <w:r w:rsidR="007D57EC">
        <w:t xml:space="preserve"> en is </w:t>
      </w:r>
      <w:r w:rsidR="00A767EE">
        <w:t>gebaseerd op recent</w:t>
      </w:r>
      <w:r w:rsidR="005D4B76">
        <w:t>e</w:t>
      </w:r>
      <w:r w:rsidR="00A767EE">
        <w:t xml:space="preserve"> </w:t>
      </w:r>
      <w:r w:rsidRPr="00EC00C8" w:rsidR="007864D3">
        <w:t xml:space="preserve">evaluaties van </w:t>
      </w:r>
      <w:r w:rsidRPr="00EC00C8" w:rsidR="00AC39EF">
        <w:t xml:space="preserve">het beleid voor internationale rechtsorde </w:t>
      </w:r>
      <w:r w:rsidR="007D57EC">
        <w:t>(</w:t>
      </w:r>
      <w:r w:rsidRPr="00B13413" w:rsidR="007D57EC">
        <w:t>202</w:t>
      </w:r>
      <w:r w:rsidRPr="00B13413" w:rsidR="008B2373">
        <w:t>2</w:t>
      </w:r>
      <w:r w:rsidR="007D57EC">
        <w:t>)</w:t>
      </w:r>
      <w:r w:rsidR="007E7E71">
        <w:rPr>
          <w:rStyle w:val="FootnoteReference"/>
        </w:rPr>
        <w:footnoteReference w:id="4"/>
      </w:r>
      <w:r w:rsidR="007D57EC">
        <w:t xml:space="preserve"> </w:t>
      </w:r>
      <w:r w:rsidRPr="00EC00C8" w:rsidR="00AC39EF">
        <w:t xml:space="preserve">en het mensenrechtenbeleid </w:t>
      </w:r>
      <w:r w:rsidR="007D57EC">
        <w:t>(2024).</w:t>
      </w:r>
      <w:r w:rsidR="00CE76BB">
        <w:rPr>
          <w:rStyle w:val="FootnoteReference"/>
        </w:rPr>
        <w:footnoteReference w:id="5"/>
      </w:r>
      <w:r w:rsidR="005D4B76">
        <w:t xml:space="preserve"> Beide evaluaties zijn uitgevoerd door de Directie Internationaal Onderzoek en Beleidsevaluaties (IOB).</w:t>
      </w:r>
      <w:r w:rsidRPr="005D4B76" w:rsidR="005D4B76">
        <w:rPr>
          <w:sz w:val="18"/>
          <w:szCs w:val="18"/>
        </w:rPr>
        <w:t xml:space="preserve"> </w:t>
      </w:r>
      <w:r w:rsidR="007D57EC">
        <w:t xml:space="preserve">De uitgaven voor het gastlandbeleid (1.3) vielen </w:t>
      </w:r>
      <w:r w:rsidR="00141A00">
        <w:t>tot 2019</w:t>
      </w:r>
      <w:r w:rsidR="007D57EC">
        <w:t xml:space="preserve"> onder begrotingsartikel 4.</w:t>
      </w:r>
      <w:r w:rsidRPr="007D57EC" w:rsidR="007D57EC">
        <w:t xml:space="preserve"> De uitkomsten van de evaluatie van </w:t>
      </w:r>
      <w:r w:rsidR="00141A00">
        <w:t xml:space="preserve">dit </w:t>
      </w:r>
      <w:r w:rsidRPr="007D57EC" w:rsidR="007D57EC">
        <w:t xml:space="preserve">beleid zijn </w:t>
      </w:r>
      <w:r w:rsidR="00141A00">
        <w:t>reeds</w:t>
      </w:r>
      <w:r w:rsidR="007D57EC">
        <w:t xml:space="preserve"> </w:t>
      </w:r>
      <w:r w:rsidRPr="007D57EC" w:rsidR="007D57EC">
        <w:t>meegenomen in de beleidsdoorlichting</w:t>
      </w:r>
      <w:r w:rsidR="007D57EC">
        <w:t xml:space="preserve"> </w:t>
      </w:r>
      <w:r w:rsidR="00141A00">
        <w:t xml:space="preserve">van </w:t>
      </w:r>
      <w:r w:rsidR="007D57EC">
        <w:t xml:space="preserve">begrotingsartikel </w:t>
      </w:r>
      <w:r w:rsidR="00141A00">
        <w:t xml:space="preserve">4 </w:t>
      </w:r>
      <w:r w:rsidR="007D57EC">
        <w:t>en</w:t>
      </w:r>
      <w:r w:rsidR="00BC30E1">
        <w:t xml:space="preserve"> vormen</w:t>
      </w:r>
      <w:r w:rsidR="007D57EC">
        <w:t xml:space="preserve"> daarom</w:t>
      </w:r>
      <w:r w:rsidRPr="007D57EC" w:rsidR="007D57EC">
        <w:t xml:space="preserve"> </w:t>
      </w:r>
      <w:r w:rsidR="007D57EC">
        <w:t>geen onderdeel van deze rapportage.</w:t>
      </w:r>
      <w:r w:rsidR="007D57EC">
        <w:rPr>
          <w:rStyle w:val="FootnoteReference"/>
        </w:rPr>
        <w:footnoteReference w:id="6"/>
      </w:r>
    </w:p>
    <w:p w:rsidR="00256BB7" w:rsidP="00A767EE" w:rsidRDefault="005A0C02" w14:paraId="635484AF" w14:textId="03EF8EC6">
      <w:pPr>
        <w:jc w:val="both"/>
      </w:pPr>
      <w:r w:rsidRPr="00EC00C8">
        <w:t xml:space="preserve">Op basis van de onderliggende </w:t>
      </w:r>
      <w:r w:rsidR="0028428C">
        <w:t>evaluaties</w:t>
      </w:r>
      <w:r w:rsidRPr="00EC00C8">
        <w:t xml:space="preserve"> biedt d</w:t>
      </w:r>
      <w:r w:rsidR="00141A00">
        <w:t>it</w:t>
      </w:r>
      <w:r w:rsidRPr="00EC00C8" w:rsidR="00034A3A">
        <w:t xml:space="preserve"> </w:t>
      </w:r>
      <w:r w:rsidRPr="0028428C">
        <w:t>synthese</w:t>
      </w:r>
      <w:r w:rsidRPr="0028428C" w:rsidR="00141A00">
        <w:t>rapport</w:t>
      </w:r>
      <w:r w:rsidRPr="00EC00C8">
        <w:t xml:space="preserve"> een</w:t>
      </w:r>
      <w:r w:rsidRPr="00EC00C8" w:rsidR="00034A3A">
        <w:t xml:space="preserve"> reconstructie en een</w:t>
      </w:r>
      <w:r w:rsidRPr="00EC00C8">
        <w:t xml:space="preserve"> beoordeling van </w:t>
      </w:r>
      <w:r w:rsidR="000C5478">
        <w:t>(</w:t>
      </w:r>
      <w:r w:rsidR="004806BA">
        <w:t xml:space="preserve">de </w:t>
      </w:r>
      <w:r w:rsidR="000C5478">
        <w:t xml:space="preserve">voorwaarden voor) </w:t>
      </w:r>
      <w:r w:rsidRPr="00EC00C8">
        <w:t>de doeltreffendheid en doelmatigheid</w:t>
      </w:r>
      <w:r w:rsidRPr="00EC00C8" w:rsidR="00034A3A">
        <w:t xml:space="preserve"> </w:t>
      </w:r>
      <w:r w:rsidRPr="00EC00C8">
        <w:t>van het gehele</w:t>
      </w:r>
      <w:r w:rsidRPr="00EC00C8" w:rsidR="00034A3A">
        <w:t xml:space="preserve"> internationale rechtsordebeleid</w:t>
      </w:r>
      <w:r w:rsidR="004806BA">
        <w:t xml:space="preserve"> (artikel 1)</w:t>
      </w:r>
      <w:r w:rsidRPr="00EC00C8">
        <w:t>.</w:t>
      </w:r>
      <w:r w:rsidRPr="00EC00C8" w:rsidR="00AC39EF">
        <w:t xml:space="preserve"> </w:t>
      </w:r>
      <w:r w:rsidR="00141A00">
        <w:t xml:space="preserve">Verder gaat de rapportage in op de wijze waarop de inzet voor mensenrechten en de internationale rechtsorde waren verankerd in het bredere buitenlandbeleid. </w:t>
      </w:r>
      <w:r w:rsidR="00634EC2">
        <w:t xml:space="preserve">Nederland streefde in de geëvalueerde periode nadrukkelijk naar een </w:t>
      </w:r>
      <w:r w:rsidR="00057DDA">
        <w:t>‘</w:t>
      </w:r>
      <w:r w:rsidR="00634EC2">
        <w:t>verregaand geïntegreerd</w:t>
      </w:r>
      <w:r w:rsidR="00057DDA">
        <w:t>’</w:t>
      </w:r>
      <w:r w:rsidR="00634EC2">
        <w:t xml:space="preserve"> buitenlandbeleid met </w:t>
      </w:r>
      <w:r w:rsidR="00BC30E1">
        <w:t>‘</w:t>
      </w:r>
      <w:r w:rsidR="00634EC2">
        <w:t>aandacht voor de internationale rechtsorde en mensenrechten</w:t>
      </w:r>
      <w:r w:rsidR="00BC30E1">
        <w:t>’</w:t>
      </w:r>
      <w:r w:rsidR="00634EC2">
        <w:t>.</w:t>
      </w:r>
      <w:r w:rsidR="00057DDA">
        <w:rPr>
          <w:rStyle w:val="FootnoteReference"/>
        </w:rPr>
        <w:footnoteReference w:id="7"/>
      </w:r>
      <w:r w:rsidR="00537498">
        <w:t xml:space="preserve"> Op basis van de evaluatiebevindingen en aanbevelingen presenteert dit rapport verschillende opties om de beleidsinzet te intensiveren of juist te beperken in het geval van bezuinigingen.</w:t>
      </w:r>
    </w:p>
    <w:p w:rsidRPr="00B13413" w:rsidR="00B13413" w:rsidP="00B13413" w:rsidRDefault="001974AF" w14:paraId="7FC94BD4" w14:textId="03915A11">
      <w:pPr>
        <w:jc w:val="both"/>
      </w:pPr>
      <w:r w:rsidRPr="00A91720">
        <w:t xml:space="preserve">Binnen </w:t>
      </w:r>
      <w:r w:rsidRPr="00A91720" w:rsidR="002741CD">
        <w:t xml:space="preserve">de directie Multilaterale Instellingen en Mensenrechten (DMM) </w:t>
      </w:r>
      <w:r w:rsidRPr="00A91720">
        <w:t>formuleert en coördineert d</w:t>
      </w:r>
      <w:r w:rsidRPr="00A91720" w:rsidR="00B13413">
        <w:t>e afdeling Mensenrechten en Politieke en Juridische Zaken (DMM/MP) het beleid</w:t>
      </w:r>
      <w:r w:rsidRPr="00A91720" w:rsidR="002741CD">
        <w:t xml:space="preserve"> op het terrein van de</w:t>
      </w:r>
      <w:r w:rsidRPr="00B13413" w:rsidR="002741CD">
        <w:t xml:space="preserve"> internationale rechtsorde</w:t>
      </w:r>
      <w:r w:rsidR="002741CD">
        <w:t xml:space="preserve"> en mensenrechten</w:t>
      </w:r>
      <w:r w:rsidRPr="00B13413" w:rsidR="00B13413">
        <w:t>.</w:t>
      </w:r>
      <w:r w:rsidR="002915C2">
        <w:rPr>
          <w:rStyle w:val="FootnoteReference"/>
        </w:rPr>
        <w:footnoteReference w:id="8"/>
      </w:r>
      <w:r w:rsidRPr="00B13413" w:rsidR="00B13413">
        <w:t xml:space="preserve"> </w:t>
      </w:r>
      <w:r>
        <w:t>D</w:t>
      </w:r>
      <w:r w:rsidRPr="00B13413" w:rsidR="00B13413">
        <w:t>e</w:t>
      </w:r>
      <w:r w:rsidR="002741CD">
        <w:t>ze</w:t>
      </w:r>
      <w:r w:rsidRPr="00B13413" w:rsidR="00B13413">
        <w:t xml:space="preserve"> </w:t>
      </w:r>
      <w:r w:rsidR="004806BA">
        <w:t>periodieke rapportage</w:t>
      </w:r>
      <w:r w:rsidRPr="00B13413" w:rsidR="00B13413">
        <w:t xml:space="preserve"> </w:t>
      </w:r>
      <w:r>
        <w:t xml:space="preserve">gaat tevens in </w:t>
      </w:r>
      <w:r w:rsidRPr="00B13413" w:rsidR="00B13413">
        <w:t xml:space="preserve">op de werkzaamheden van andere directies die betrokken zijn </w:t>
      </w:r>
      <w:r w:rsidR="004806BA">
        <w:t xml:space="preserve">bij </w:t>
      </w:r>
      <w:r w:rsidRPr="00B13413" w:rsidR="00B13413">
        <w:t xml:space="preserve">de samenhang van dit begrotingsartikel met het brede buitenlandbeleid </w:t>
      </w:r>
      <w:r w:rsidR="002741CD">
        <w:t xml:space="preserve">(o.a. </w:t>
      </w:r>
      <w:r w:rsidRPr="00B13413" w:rsidR="00B13413">
        <w:t>migratie, handelsbevordering en ontwikkelings</w:t>
      </w:r>
      <w:r w:rsidR="002741CD">
        <w:t>samenwerking)</w:t>
      </w:r>
      <w:r w:rsidRPr="00B13413" w:rsidR="00B13413">
        <w:t>.</w:t>
      </w:r>
      <w:r w:rsidR="00062D7B">
        <w:rPr>
          <w:rStyle w:val="FootnoteReference"/>
        </w:rPr>
        <w:footnoteReference w:id="9"/>
      </w:r>
    </w:p>
    <w:p w:rsidRPr="003121D0" w:rsidR="000C5478" w:rsidP="003121D0" w:rsidRDefault="000C5478" w14:paraId="03DA90F5" w14:textId="47B3F5DF">
      <w:pPr>
        <w:pStyle w:val="ListParagraph"/>
        <w:numPr>
          <w:ilvl w:val="1"/>
          <w:numId w:val="13"/>
        </w:numPr>
        <w:spacing w:after="0"/>
        <w:rPr>
          <w:b/>
          <w:bCs/>
        </w:rPr>
      </w:pPr>
      <w:r w:rsidRPr="003121D0">
        <w:rPr>
          <w:b/>
          <w:bCs/>
        </w:rPr>
        <w:t xml:space="preserve">Relevantie </w:t>
      </w:r>
    </w:p>
    <w:p w:rsidR="003238DE" w:rsidP="007E7E71" w:rsidRDefault="007E7E71" w14:paraId="55BAD0C7" w14:textId="5E7A111E">
      <w:pPr>
        <w:jc w:val="both"/>
      </w:pPr>
      <w:r>
        <w:t xml:space="preserve">De inzet </w:t>
      </w:r>
      <w:r w:rsidRPr="007E7E71" w:rsidR="000C5478">
        <w:t xml:space="preserve">voor </w:t>
      </w:r>
      <w:r>
        <w:t xml:space="preserve">het ontwikkelen van </w:t>
      </w:r>
      <w:r w:rsidRPr="007E7E71" w:rsidR="000C5478">
        <w:t>de internationale rechtsorde</w:t>
      </w:r>
      <w:r w:rsidR="004806BA">
        <w:t xml:space="preserve"> </w:t>
      </w:r>
      <w:r w:rsidRPr="007E7E71" w:rsidR="000C5478">
        <w:t xml:space="preserve">en daarmee </w:t>
      </w:r>
      <w:r>
        <w:t>ook het beschermen van</w:t>
      </w:r>
      <w:r w:rsidRPr="007E7E71" w:rsidR="000C5478">
        <w:t xml:space="preserve"> de mensenrechten </w:t>
      </w:r>
      <w:r>
        <w:t xml:space="preserve">is verankerd in de Nederlandse grondwet. De titel van de IOB-evaluatie “Aan artikel 90 verplicht: naar een volwaardig beleid voor internationale rechtsorde” refereert hieraan.  </w:t>
      </w:r>
    </w:p>
    <w:p w:rsidR="00E365D7" w:rsidP="00E365D7" w:rsidRDefault="00406411" w14:paraId="77843141" w14:textId="42E45F0F">
      <w:pPr>
        <w:jc w:val="both"/>
      </w:pPr>
      <w:r>
        <w:lastRenderedPageBreak/>
        <w:t>O</w:t>
      </w:r>
      <w:r w:rsidRPr="003238DE" w:rsidR="003238DE">
        <w:t xml:space="preserve">peenvolgende kabinetten </w:t>
      </w:r>
      <w:r>
        <w:t xml:space="preserve">waren </w:t>
      </w:r>
      <w:r w:rsidRPr="003238DE" w:rsidR="003238DE">
        <w:t xml:space="preserve">het erover eens dat deze inspanningen niet alleen moreel wenselijk waren, maar ook </w:t>
      </w:r>
      <w:r w:rsidR="00BC30E1">
        <w:t xml:space="preserve">in </w:t>
      </w:r>
      <w:r w:rsidRPr="003238DE" w:rsidR="003238DE">
        <w:t xml:space="preserve">het nationale belang </w:t>
      </w:r>
      <w:r w:rsidR="00BC30E1">
        <w:t>zij</w:t>
      </w:r>
      <w:r w:rsidRPr="003238DE" w:rsidR="003238DE">
        <w:t>n. Een democratische rechtsstaat en internationale spelregels</w:t>
      </w:r>
      <w:r w:rsidR="00BC30E1">
        <w:t>,</w:t>
      </w:r>
      <w:r w:rsidRPr="003238DE" w:rsidR="003238DE">
        <w:t xml:space="preserve"> waarbinnen mensenrechten zijn gewaarborgd</w:t>
      </w:r>
      <w:r w:rsidR="00BC30E1">
        <w:t>,</w:t>
      </w:r>
      <w:r w:rsidRPr="003238DE" w:rsidR="003238DE">
        <w:t xml:space="preserve"> bieden immers </w:t>
      </w:r>
      <w:r w:rsidR="00BC30E1">
        <w:t xml:space="preserve">het </w:t>
      </w:r>
      <w:r w:rsidRPr="003238DE" w:rsidR="003238DE">
        <w:t xml:space="preserve">fundament voor mondiale stabiliteit en welvaart. Als middelgroot en op </w:t>
      </w:r>
      <w:r w:rsidRPr="003238DE" w:rsidR="003C668D">
        <w:t>exportgericht</w:t>
      </w:r>
      <w:r w:rsidRPr="003238DE" w:rsidR="003238DE">
        <w:t xml:space="preserve"> land is Nederland hier</w:t>
      </w:r>
      <w:r w:rsidR="00645D7A">
        <w:t xml:space="preserve"> rechtsreeks </w:t>
      </w:r>
      <w:r w:rsidRPr="003238DE" w:rsidR="003238DE">
        <w:t>bij gebaat.</w:t>
      </w:r>
      <w:r w:rsidR="0083594F">
        <w:t xml:space="preserve"> </w:t>
      </w:r>
      <w:r w:rsidR="00E365D7">
        <w:t>Een</w:t>
      </w:r>
      <w:r w:rsidR="00DF0AE6">
        <w:t xml:space="preserve"> handelsnatie </w:t>
      </w:r>
      <w:r w:rsidR="00E365D7">
        <w:t>als</w:t>
      </w:r>
      <w:r w:rsidR="00DF0AE6">
        <w:t xml:space="preserve"> Nederland </w:t>
      </w:r>
      <w:r w:rsidR="00E365D7">
        <w:t xml:space="preserve">kan </w:t>
      </w:r>
      <w:r w:rsidR="00DF0AE6">
        <w:t xml:space="preserve">niet zonder </w:t>
      </w:r>
      <w:r w:rsidR="00E365D7">
        <w:t xml:space="preserve">het </w:t>
      </w:r>
      <w:r w:rsidR="00DF0AE6">
        <w:t>international</w:t>
      </w:r>
      <w:r w:rsidR="00E365D7">
        <w:t>e</w:t>
      </w:r>
      <w:r w:rsidR="00DF0AE6">
        <w:t xml:space="preserve"> recht. </w:t>
      </w:r>
      <w:r w:rsidR="00E365D7">
        <w:t>Sinds 2018 is het functioneren van de internationale rechtsorde eveneens opgenomen als é</w:t>
      </w:r>
      <w:r w:rsidR="00E365D7">
        <w:rPr>
          <w:rFonts w:ascii="Arial" w:eastAsia="Arial"/>
        </w:rPr>
        <w:t>é</w:t>
      </w:r>
      <w:r w:rsidR="00E365D7">
        <w:t>n van de zes nationale veiligheidsbelangen.</w:t>
      </w:r>
      <w:r w:rsidR="00E365D7">
        <w:rPr>
          <w:rStyle w:val="FootnoteReference"/>
        </w:rPr>
        <w:footnoteReference w:id="10"/>
      </w:r>
      <w:r w:rsidR="00E365D7">
        <w:t xml:space="preserve"> </w:t>
      </w:r>
    </w:p>
    <w:p w:rsidR="00406411" w:rsidP="00406411" w:rsidRDefault="00141A00" w14:paraId="19919417" w14:textId="18299800">
      <w:pPr>
        <w:jc w:val="both"/>
      </w:pPr>
      <w:r>
        <w:t>Naast de</w:t>
      </w:r>
      <w:r w:rsidR="007B6C61">
        <w:t>ze</w:t>
      </w:r>
      <w:r>
        <w:t xml:space="preserve"> </w:t>
      </w:r>
      <w:r w:rsidR="007B6C61">
        <w:t xml:space="preserve">beleidsinhoudelijke </w:t>
      </w:r>
      <w:r>
        <w:t xml:space="preserve">relevantie, </w:t>
      </w:r>
      <w:r w:rsidR="003238DE">
        <w:t>is</w:t>
      </w:r>
      <w:r>
        <w:t xml:space="preserve"> </w:t>
      </w:r>
      <w:r w:rsidR="007717E3">
        <w:t xml:space="preserve">deze periodieke rapportage </w:t>
      </w:r>
      <w:r>
        <w:t>ook tijdsrelevant.</w:t>
      </w:r>
      <w:r w:rsidR="00406411">
        <w:t xml:space="preserve"> De </w:t>
      </w:r>
      <w:r w:rsidRPr="00406411" w:rsidR="00406411">
        <w:t>vorige IOB</w:t>
      </w:r>
      <w:r w:rsidR="00406411">
        <w:t>-</w:t>
      </w:r>
      <w:r w:rsidRPr="00406411" w:rsidR="00406411">
        <w:t>beleidsdoorlichting van</w:t>
      </w:r>
      <w:r w:rsidR="00A30C54">
        <w:t xml:space="preserve"> het mensenrechtenbeleid en de inzet voor de internationale </w:t>
      </w:r>
      <w:r w:rsidR="00006038">
        <w:t>rechtsorde</w:t>
      </w:r>
      <w:r w:rsidR="00A30C54">
        <w:t xml:space="preserve"> dateren beiden</w:t>
      </w:r>
      <w:r w:rsidRPr="00406411" w:rsidR="00406411">
        <w:t xml:space="preserve"> </w:t>
      </w:r>
      <w:r w:rsidR="00406411">
        <w:t xml:space="preserve">alweer </w:t>
      </w:r>
      <w:r w:rsidRPr="00406411" w:rsidR="00406411">
        <w:t>van 2015.</w:t>
      </w:r>
      <w:r w:rsidR="00582E00">
        <w:rPr>
          <w:rStyle w:val="FootnoteReference"/>
        </w:rPr>
        <w:footnoteReference w:id="11"/>
      </w:r>
      <w:r w:rsidR="00406411">
        <w:t xml:space="preserve"> </w:t>
      </w:r>
      <w:r w:rsidRPr="00406411" w:rsidR="00406411">
        <w:t>Alle begrotingsartikelen dienen minimaal eens in de zeven jaar te worden geëvalueerd</w:t>
      </w:r>
      <w:r w:rsidR="00406411">
        <w:t xml:space="preserve">. De huidige rapportage richt zich op de </w:t>
      </w:r>
      <w:r w:rsidR="00D46AB4">
        <w:t>beleids</w:t>
      </w:r>
      <w:r w:rsidR="00406411">
        <w:t>periode 2015</w:t>
      </w:r>
      <w:r w:rsidR="00D46AB4">
        <w:t xml:space="preserve"> – </w:t>
      </w:r>
      <w:r w:rsidR="00406411">
        <w:t xml:space="preserve">2022. </w:t>
      </w:r>
    </w:p>
    <w:p w:rsidRPr="00ED5243" w:rsidR="00437F76" w:rsidRDefault="00437F76" w14:paraId="420F8708" w14:textId="73A48241">
      <w:pPr>
        <w:rPr>
          <w:b/>
          <w:color w:val="1F3864" w:themeColor="accent1" w:themeShade="80"/>
          <w:sz w:val="24"/>
          <w:szCs w:val="24"/>
        </w:rPr>
      </w:pPr>
      <w:r w:rsidRPr="00ED5243">
        <w:rPr>
          <w:b/>
          <w:color w:val="1F3864" w:themeColor="accent1" w:themeShade="80"/>
          <w:sz w:val="24"/>
          <w:szCs w:val="24"/>
        </w:rPr>
        <w:t>2. Overzicht uitgevoerd evaluatieonderzoek</w:t>
      </w:r>
    </w:p>
    <w:p w:rsidR="00FB4CF8" w:rsidP="003C668D" w:rsidRDefault="00FB4CF8" w14:paraId="124236B6" w14:textId="77777777">
      <w:pPr>
        <w:spacing w:after="0"/>
        <w:jc w:val="both"/>
        <w:rPr>
          <w:b/>
          <w:bCs/>
        </w:rPr>
      </w:pPr>
      <w:r>
        <w:rPr>
          <w:b/>
          <w:bCs/>
        </w:rPr>
        <w:t xml:space="preserve">2.1 Doel van het onderzoek </w:t>
      </w:r>
    </w:p>
    <w:p w:rsidR="00C12A0F" w:rsidP="003C668D" w:rsidRDefault="00C12A0F" w14:paraId="02C0D21F" w14:textId="1600EA59">
      <w:pPr>
        <w:jc w:val="both"/>
      </w:pPr>
      <w:r w:rsidRPr="00C12A0F">
        <w:t xml:space="preserve">Het doel van </w:t>
      </w:r>
      <w:r w:rsidR="00274AA0">
        <w:t>de</w:t>
      </w:r>
      <w:r w:rsidRPr="00C12A0F">
        <w:t xml:space="preserve"> </w:t>
      </w:r>
      <w:r w:rsidR="00570508">
        <w:t>onderliggende IOB-</w:t>
      </w:r>
      <w:r w:rsidRPr="00C12A0F">
        <w:t>evaluaties</w:t>
      </w:r>
      <w:r w:rsidR="00402324">
        <w:t xml:space="preserve"> </w:t>
      </w:r>
      <w:r>
        <w:t xml:space="preserve">was tweeledig. In de eerste plaats dienden </w:t>
      </w:r>
      <w:r w:rsidR="0029483F">
        <w:t xml:space="preserve">ze </w:t>
      </w:r>
      <w:r>
        <w:t>ter verantwoording</w:t>
      </w:r>
      <w:r w:rsidR="00402324">
        <w:t>, onder meer aan de Tweede Kamer,</w:t>
      </w:r>
      <w:r>
        <w:t xml:space="preserve"> over de </w:t>
      </w:r>
      <w:r w:rsidR="00402324">
        <w:t>ontwikkeling en uitvoering van</w:t>
      </w:r>
      <w:r>
        <w:t xml:space="preserve"> </w:t>
      </w:r>
      <w:r w:rsidR="0029483F">
        <w:t xml:space="preserve">het </w:t>
      </w:r>
      <w:r>
        <w:t xml:space="preserve">beleid. Ten tweede was het doel lessen te </w:t>
      </w:r>
      <w:r w:rsidR="00402324">
        <w:t xml:space="preserve">trekken </w:t>
      </w:r>
      <w:r>
        <w:t>en aanbevelingen te formuleren voor toekomstig beleid.</w:t>
      </w:r>
      <w:r>
        <w:rPr>
          <w:rStyle w:val="FootnoteReference"/>
        </w:rPr>
        <w:footnoteReference w:id="12"/>
      </w:r>
      <w:r>
        <w:t xml:space="preserve"> </w:t>
      </w:r>
    </w:p>
    <w:p w:rsidR="00C12A0F" w:rsidP="003C668D" w:rsidRDefault="00006038" w14:paraId="75FB30D7" w14:textId="2A86A653">
      <w:pPr>
        <w:spacing w:after="0"/>
        <w:jc w:val="both"/>
        <w:rPr>
          <w:iCs/>
        </w:rPr>
      </w:pPr>
      <w:r>
        <w:t>De</w:t>
      </w:r>
      <w:r w:rsidR="00F77FDB">
        <w:t xml:space="preserve"> onderzoeksvr</w:t>
      </w:r>
      <w:r w:rsidR="00196E40">
        <w:t>a</w:t>
      </w:r>
      <w:r w:rsidR="00F77FDB">
        <w:t>g</w:t>
      </w:r>
      <w:r w:rsidR="00196E40">
        <w:t>en</w:t>
      </w:r>
      <w:r w:rsidR="00F77FDB">
        <w:t xml:space="preserve"> </w:t>
      </w:r>
      <w:r>
        <w:t xml:space="preserve">die centraal stonden richtten zich op </w:t>
      </w:r>
      <w:r w:rsidRPr="0029483F" w:rsidR="00F77FDB">
        <w:rPr>
          <w:bCs/>
          <w:iCs/>
        </w:rPr>
        <w:t>de v</w:t>
      </w:r>
      <w:r w:rsidRPr="0029483F" w:rsidR="00A10988">
        <w:rPr>
          <w:bCs/>
          <w:iCs/>
        </w:rPr>
        <w:t xml:space="preserve">oorwaarden voor </w:t>
      </w:r>
      <w:r w:rsidRPr="0029483F" w:rsidR="00196E40">
        <w:rPr>
          <w:bCs/>
          <w:iCs/>
        </w:rPr>
        <w:t xml:space="preserve">- </w:t>
      </w:r>
      <w:r w:rsidRPr="0029483F" w:rsidR="00A10988">
        <w:rPr>
          <w:bCs/>
          <w:iCs/>
        </w:rPr>
        <w:t>en mate van</w:t>
      </w:r>
      <w:r w:rsidRPr="0029483F" w:rsidR="00196E40">
        <w:rPr>
          <w:bCs/>
          <w:iCs/>
        </w:rPr>
        <w:t xml:space="preserve"> -</w:t>
      </w:r>
      <w:r w:rsidRPr="0029483F" w:rsidR="00A10988">
        <w:rPr>
          <w:bCs/>
          <w:iCs/>
        </w:rPr>
        <w:t xml:space="preserve"> </w:t>
      </w:r>
      <w:r w:rsidRPr="0029483F" w:rsidR="00A10988">
        <w:rPr>
          <w:bCs/>
          <w:i/>
        </w:rPr>
        <w:t>effectiviteit</w:t>
      </w:r>
      <w:r w:rsidRPr="0029483F" w:rsidR="00A10988">
        <w:rPr>
          <w:bCs/>
          <w:iCs/>
        </w:rPr>
        <w:t xml:space="preserve"> en </w:t>
      </w:r>
      <w:r w:rsidRPr="0029483F" w:rsidR="00A10988">
        <w:rPr>
          <w:bCs/>
          <w:i/>
        </w:rPr>
        <w:t>efficiëntie</w:t>
      </w:r>
      <w:r w:rsidRPr="0029483F" w:rsidR="00A10988">
        <w:rPr>
          <w:bCs/>
          <w:iCs/>
        </w:rPr>
        <w:t xml:space="preserve"> van </w:t>
      </w:r>
      <w:r w:rsidRPr="0029483F">
        <w:rPr>
          <w:bCs/>
          <w:iCs/>
        </w:rPr>
        <w:t xml:space="preserve">de </w:t>
      </w:r>
      <w:r w:rsidRPr="0029483F" w:rsidR="00A10988">
        <w:rPr>
          <w:bCs/>
          <w:iCs/>
        </w:rPr>
        <w:t>Nederlands</w:t>
      </w:r>
      <w:r w:rsidRPr="0029483F">
        <w:rPr>
          <w:bCs/>
          <w:iCs/>
        </w:rPr>
        <w:t>e bijdrage aan de internationale rechtsorde en de mensenrechten</w:t>
      </w:r>
      <w:r w:rsidRPr="0029483F" w:rsidR="00A10988">
        <w:rPr>
          <w:bCs/>
          <w:iCs/>
        </w:rPr>
        <w:t xml:space="preserve">, met aandacht voor de </w:t>
      </w:r>
      <w:r w:rsidRPr="0029483F">
        <w:rPr>
          <w:bCs/>
          <w:iCs/>
        </w:rPr>
        <w:t xml:space="preserve">samenhang met </w:t>
      </w:r>
      <w:r w:rsidRPr="0029483F" w:rsidR="00A10988">
        <w:rPr>
          <w:bCs/>
          <w:iCs/>
        </w:rPr>
        <w:t xml:space="preserve">het </w:t>
      </w:r>
      <w:r w:rsidRPr="0029483F">
        <w:rPr>
          <w:bCs/>
          <w:iCs/>
        </w:rPr>
        <w:t>bredere buitenland</w:t>
      </w:r>
      <w:r w:rsidRPr="0029483F" w:rsidR="00A10988">
        <w:rPr>
          <w:bCs/>
          <w:iCs/>
        </w:rPr>
        <w:t>beleid</w:t>
      </w:r>
      <w:r w:rsidRPr="00006038" w:rsidR="00A10988">
        <w:rPr>
          <w:i/>
        </w:rPr>
        <w:t>.</w:t>
      </w:r>
      <w:r w:rsidRPr="00006038" w:rsidR="005C12CD">
        <w:rPr>
          <w:i/>
        </w:rPr>
        <w:t xml:space="preserve"> </w:t>
      </w:r>
    </w:p>
    <w:p w:rsidR="00653016" w:rsidP="003C668D" w:rsidRDefault="00653016" w14:paraId="62364F9D" w14:textId="77777777">
      <w:pPr>
        <w:spacing w:after="0"/>
        <w:jc w:val="both"/>
        <w:rPr>
          <w:iCs/>
        </w:rPr>
      </w:pPr>
    </w:p>
    <w:p w:rsidR="00FB4CF8" w:rsidP="003C668D" w:rsidRDefault="00FB4CF8" w14:paraId="14AA9105" w14:textId="491949BB">
      <w:pPr>
        <w:spacing w:after="0"/>
        <w:jc w:val="both"/>
        <w:rPr>
          <w:b/>
          <w:bCs/>
        </w:rPr>
      </w:pPr>
      <w:r>
        <w:rPr>
          <w:b/>
          <w:bCs/>
        </w:rPr>
        <w:t>2.2 Afbakening</w:t>
      </w:r>
    </w:p>
    <w:p w:rsidR="00196E40" w:rsidP="003C668D" w:rsidRDefault="00196E40" w14:paraId="5600F0AD" w14:textId="1A99B3C0">
      <w:pPr>
        <w:spacing w:after="0"/>
        <w:jc w:val="both"/>
      </w:pPr>
      <w:r w:rsidRPr="00A23374">
        <w:t xml:space="preserve">Zoals in de inleiding vermeld </w:t>
      </w:r>
      <w:r w:rsidR="00BC30E1">
        <w:t xml:space="preserve">richt </w:t>
      </w:r>
      <w:r w:rsidRPr="00A23374">
        <w:t>d</w:t>
      </w:r>
      <w:r>
        <w:t>it</w:t>
      </w:r>
      <w:r w:rsidRPr="00A23374">
        <w:t xml:space="preserve"> synthese</w:t>
      </w:r>
      <w:r>
        <w:t>rapport</w:t>
      </w:r>
      <w:r w:rsidRPr="00A23374">
        <w:t xml:space="preserve"> </w:t>
      </w:r>
      <w:r w:rsidR="00BC30E1">
        <w:t xml:space="preserve">zich op </w:t>
      </w:r>
      <w:r>
        <w:t xml:space="preserve">de beleidsinzet voor de internationale rechtsorde (artikel 1.1) en het mensenrechtenbeleid (artikel 1.2) tijdens de </w:t>
      </w:r>
      <w:r w:rsidRPr="00407F98" w:rsidR="00407F98">
        <w:t xml:space="preserve">periode 2015 </w:t>
      </w:r>
      <w:r w:rsidR="00FC62E1">
        <w:t>–</w:t>
      </w:r>
      <w:r w:rsidRPr="00407F98" w:rsidR="00407F98">
        <w:t xml:space="preserve"> 2022.</w:t>
      </w:r>
      <w:r w:rsidRPr="00407F98" w:rsidR="00407F98">
        <w:rPr>
          <w:vertAlign w:val="superscript"/>
        </w:rPr>
        <w:footnoteReference w:id="13"/>
      </w:r>
      <w:r w:rsidR="00407F98">
        <w:t xml:space="preserve"> </w:t>
      </w:r>
    </w:p>
    <w:p w:rsidR="00196E40" w:rsidP="003C668D" w:rsidRDefault="00196E40" w14:paraId="014E5275" w14:textId="77777777">
      <w:pPr>
        <w:spacing w:after="0"/>
        <w:jc w:val="both"/>
      </w:pPr>
    </w:p>
    <w:p w:rsidR="006973D1" w:rsidP="002716F0" w:rsidRDefault="0003056D" w14:paraId="497C0004" w14:textId="5B9E2A96">
      <w:pPr>
        <w:spacing w:after="0"/>
        <w:jc w:val="both"/>
      </w:pPr>
      <w:r>
        <w:t xml:space="preserve">In </w:t>
      </w:r>
      <w:r w:rsidR="00740587">
        <w:t>de onderliggend</w:t>
      </w:r>
      <w:r w:rsidR="006973D1">
        <w:t>e</w:t>
      </w:r>
      <w:r w:rsidR="00740587">
        <w:t xml:space="preserve"> evaluaties van </w:t>
      </w:r>
      <w:r w:rsidR="00C0663C">
        <w:t xml:space="preserve">deze beleidsartikelen </w:t>
      </w:r>
      <w:r w:rsidRPr="001F1391">
        <w:t xml:space="preserve">heeft IOB </w:t>
      </w:r>
      <w:r w:rsidR="00BC30E1">
        <w:t xml:space="preserve">meerdere </w:t>
      </w:r>
      <w:r w:rsidRPr="001F1391">
        <w:t>cas</w:t>
      </w:r>
      <w:r w:rsidR="00D2373A">
        <w:t>e</w:t>
      </w:r>
      <w:r w:rsidRPr="001F1391">
        <w:t xml:space="preserve">s geselecteerd waaraan BZ naar verhouding veel capaciteit, geld en aandacht </w:t>
      </w:r>
      <w:r>
        <w:t xml:space="preserve">heeft </w:t>
      </w:r>
      <w:r w:rsidRPr="001F1391">
        <w:t>besteed</w:t>
      </w:r>
      <w:r>
        <w:t xml:space="preserve">. </w:t>
      </w:r>
      <w:r w:rsidRPr="0003056D">
        <w:t>De evaluatie</w:t>
      </w:r>
      <w:r w:rsidR="00570508">
        <w:t>s</w:t>
      </w:r>
      <w:r w:rsidRPr="0003056D">
        <w:t xml:space="preserve"> bestrijk</w:t>
      </w:r>
      <w:r w:rsidR="00570508">
        <w:t xml:space="preserve">en </w:t>
      </w:r>
      <w:r w:rsidRPr="0003056D">
        <w:t>met deze cas</w:t>
      </w:r>
      <w:r w:rsidR="00D2373A">
        <w:t>e</w:t>
      </w:r>
      <w:r w:rsidRPr="0003056D">
        <w:t>s een breed scala van de bilaterale en multilaterale onderdelen die tijdens de geëvalueerde periode prioriteit kregen bij de uitvoering van het beleid.</w:t>
      </w:r>
      <w:r w:rsidR="002716F0">
        <w:t xml:space="preserve"> </w:t>
      </w:r>
    </w:p>
    <w:p w:rsidR="006973D1" w:rsidP="002716F0" w:rsidRDefault="006973D1" w14:paraId="36167A0F" w14:textId="77777777">
      <w:pPr>
        <w:spacing w:after="0"/>
        <w:jc w:val="both"/>
      </w:pPr>
    </w:p>
    <w:p w:rsidR="0003056D" w:rsidP="002716F0" w:rsidRDefault="006973D1" w14:paraId="0CDCE3DA" w14:textId="1F6F07D0">
      <w:pPr>
        <w:spacing w:after="0"/>
        <w:jc w:val="both"/>
        <w:rPr>
          <w:rFonts w:cs="RijksoverheidSansText"/>
          <w:color w:val="000000"/>
        </w:rPr>
      </w:pPr>
      <w:r>
        <w:t xml:space="preserve">De evaluatie van </w:t>
      </w:r>
      <w:r w:rsidR="002716F0">
        <w:t xml:space="preserve">beleidscoherentie is </w:t>
      </w:r>
      <w:r>
        <w:t>beperkter opgezet</w:t>
      </w:r>
      <w:r w:rsidR="004B351E">
        <w:t xml:space="preserve"> en kwam vooral in de mensenrechtenevaluatie aanbod</w:t>
      </w:r>
      <w:r>
        <w:t xml:space="preserve">. </w:t>
      </w:r>
      <w:r w:rsidR="004B351E">
        <w:t xml:space="preserve">Hierin </w:t>
      </w:r>
      <w:r w:rsidR="002716F0">
        <w:t xml:space="preserve">onderzocht </w:t>
      </w:r>
      <w:r w:rsidR="004B351E">
        <w:t xml:space="preserve">IOB </w:t>
      </w:r>
      <w:r w:rsidR="002716F0">
        <w:t xml:space="preserve">welke </w:t>
      </w:r>
      <w:r w:rsidRPr="002716F0" w:rsidR="0003056D">
        <w:rPr>
          <w:rFonts w:cs="RijksoverheidSansText"/>
          <w:color w:val="000000"/>
        </w:rPr>
        <w:t xml:space="preserve">rol mensenrechten </w:t>
      </w:r>
      <w:r w:rsidR="002716F0">
        <w:rPr>
          <w:rFonts w:cs="RijksoverheidSansText"/>
          <w:color w:val="000000"/>
        </w:rPr>
        <w:t xml:space="preserve">speelden </w:t>
      </w:r>
      <w:r w:rsidRPr="002716F0" w:rsidR="0003056D">
        <w:rPr>
          <w:rFonts w:cs="RijksoverheidSansText"/>
          <w:color w:val="000000"/>
        </w:rPr>
        <w:t>in de BZ- en BHOS-beleidskaders voor migratie, handelsbevordering en ontwikkelingssamenwerking.</w:t>
      </w:r>
      <w:r w:rsidR="00C0663C">
        <w:rPr>
          <w:rStyle w:val="FootnoteReference"/>
          <w:rFonts w:cs="RijksoverheidSansText"/>
          <w:color w:val="000000"/>
        </w:rPr>
        <w:footnoteReference w:id="14"/>
      </w:r>
      <w:r w:rsidRPr="002716F0" w:rsidR="0003056D">
        <w:rPr>
          <w:rFonts w:cs="RijksoverheidSansText"/>
          <w:color w:val="000000"/>
        </w:rPr>
        <w:t xml:space="preserve"> </w:t>
      </w:r>
      <w:r w:rsidR="00740587">
        <w:rPr>
          <w:rFonts w:cs="RijksoverheidSansText"/>
          <w:color w:val="000000"/>
        </w:rPr>
        <w:t xml:space="preserve">Aanvullend </w:t>
      </w:r>
      <w:r w:rsidRPr="002716F0" w:rsidR="0003056D">
        <w:rPr>
          <w:rFonts w:cs="RijksoverheidSansText"/>
          <w:color w:val="000000"/>
        </w:rPr>
        <w:t>selecteer</w:t>
      </w:r>
      <w:r w:rsidR="002716F0">
        <w:rPr>
          <w:rFonts w:cs="RijksoverheidSansText"/>
          <w:color w:val="000000"/>
        </w:rPr>
        <w:t>de</w:t>
      </w:r>
      <w:r w:rsidRPr="002716F0" w:rsidR="0003056D">
        <w:rPr>
          <w:rFonts w:cs="RijksoverheidSansText"/>
          <w:color w:val="000000"/>
        </w:rPr>
        <w:t xml:space="preserve"> IOB </w:t>
      </w:r>
      <w:r>
        <w:rPr>
          <w:rFonts w:cs="RijksoverheidSansText"/>
          <w:color w:val="000000"/>
        </w:rPr>
        <w:t>een bescheiden aantal</w:t>
      </w:r>
      <w:r w:rsidR="00740587">
        <w:rPr>
          <w:rFonts w:cs="RijksoverheidSansText"/>
          <w:color w:val="000000"/>
        </w:rPr>
        <w:t xml:space="preserve"> </w:t>
      </w:r>
      <w:r w:rsidRPr="002716F0" w:rsidR="0003056D">
        <w:rPr>
          <w:rFonts w:cs="RijksoverheidSansText"/>
          <w:color w:val="000000"/>
        </w:rPr>
        <w:t>landencasussen</w:t>
      </w:r>
      <w:r w:rsidR="00740587">
        <w:rPr>
          <w:rFonts w:cs="RijksoverheidSansText"/>
          <w:color w:val="000000"/>
        </w:rPr>
        <w:t xml:space="preserve"> </w:t>
      </w:r>
      <w:r w:rsidRPr="002716F0" w:rsidR="0003056D">
        <w:rPr>
          <w:rFonts w:cs="RijksoverheidSansText"/>
          <w:color w:val="000000"/>
        </w:rPr>
        <w:t xml:space="preserve">waar sprake </w:t>
      </w:r>
      <w:r w:rsidR="002716F0">
        <w:rPr>
          <w:rFonts w:cs="RijksoverheidSansText"/>
          <w:color w:val="000000"/>
        </w:rPr>
        <w:t>wa</w:t>
      </w:r>
      <w:r w:rsidRPr="002716F0" w:rsidR="0003056D">
        <w:rPr>
          <w:rFonts w:cs="RijksoverheidSansText"/>
          <w:color w:val="000000"/>
        </w:rPr>
        <w:t xml:space="preserve">s van </w:t>
      </w:r>
      <w:r>
        <w:rPr>
          <w:rFonts w:cs="RijksoverheidSansText"/>
          <w:color w:val="000000"/>
        </w:rPr>
        <w:t xml:space="preserve">een uitdagende </w:t>
      </w:r>
      <w:r w:rsidRPr="002716F0" w:rsidR="0003056D">
        <w:rPr>
          <w:rFonts w:cs="RijksoverheidSansText"/>
          <w:color w:val="000000"/>
        </w:rPr>
        <w:t>mensenrechtensituatie</w:t>
      </w:r>
      <w:r>
        <w:rPr>
          <w:rFonts w:cs="RijksoverheidSansText"/>
          <w:color w:val="000000"/>
        </w:rPr>
        <w:t xml:space="preserve"> </w:t>
      </w:r>
      <w:r w:rsidRPr="002716F0" w:rsidR="0003056D">
        <w:rPr>
          <w:rFonts w:cs="RijksoverheidSansText"/>
          <w:color w:val="000000"/>
        </w:rPr>
        <w:t>én waar Nederland andere prioritaire beleidsdoelen nastree</w:t>
      </w:r>
      <w:r w:rsidR="00C0663C">
        <w:rPr>
          <w:rFonts w:cs="RijksoverheidSansText"/>
          <w:color w:val="000000"/>
        </w:rPr>
        <w:t>fde</w:t>
      </w:r>
      <w:r>
        <w:rPr>
          <w:rFonts w:cs="RijksoverheidSansText"/>
          <w:color w:val="000000"/>
        </w:rPr>
        <w:t xml:space="preserve"> op het gebied van migratie of handel</w:t>
      </w:r>
      <w:r w:rsidRPr="002716F0" w:rsidR="0003056D">
        <w:rPr>
          <w:rFonts w:cs="RijksoverheidSansText"/>
          <w:color w:val="000000"/>
        </w:rPr>
        <w:t>. Als gevolg van deze selectiemethode zijn de</w:t>
      </w:r>
      <w:r>
        <w:rPr>
          <w:rFonts w:cs="RijksoverheidSansText"/>
          <w:color w:val="000000"/>
        </w:rPr>
        <w:t>ze</w:t>
      </w:r>
      <w:r w:rsidRPr="002716F0" w:rsidR="0003056D">
        <w:rPr>
          <w:rFonts w:cs="RijksoverheidSansText"/>
          <w:color w:val="000000"/>
        </w:rPr>
        <w:t xml:space="preserve"> evaluatiebevindingen </w:t>
      </w:r>
      <w:r>
        <w:rPr>
          <w:rFonts w:cs="RijksoverheidSansText"/>
          <w:color w:val="000000"/>
        </w:rPr>
        <w:t xml:space="preserve">vooral </w:t>
      </w:r>
      <w:r w:rsidRPr="00D2373A" w:rsidR="0003056D">
        <w:rPr>
          <w:rFonts w:cs="RijksoverheidSansText"/>
          <w:color w:val="000000"/>
        </w:rPr>
        <w:t>illustratief</w:t>
      </w:r>
      <w:r w:rsidRPr="002716F0" w:rsidR="0003056D">
        <w:rPr>
          <w:rFonts w:cs="RijksoverheidSansText"/>
          <w:i/>
          <w:iCs/>
          <w:color w:val="000000"/>
        </w:rPr>
        <w:t xml:space="preserve"> </w:t>
      </w:r>
      <w:r w:rsidRPr="002716F0" w:rsidR="0003056D">
        <w:rPr>
          <w:rFonts w:cs="RijksoverheidSansText"/>
          <w:color w:val="000000"/>
        </w:rPr>
        <w:t xml:space="preserve">voor de wijze waarop Nederland </w:t>
      </w:r>
      <w:r w:rsidRPr="00C0663C" w:rsidR="0003056D">
        <w:rPr>
          <w:rFonts w:cs="RijksoverheidSansText"/>
          <w:i/>
          <w:iCs/>
          <w:color w:val="000000"/>
        </w:rPr>
        <w:t>in een dergelijke complexe omgeving</w:t>
      </w:r>
      <w:r w:rsidRPr="002716F0" w:rsidR="0003056D">
        <w:rPr>
          <w:rFonts w:cs="RijksoverheidSansText"/>
          <w:color w:val="000000"/>
        </w:rPr>
        <w:t xml:space="preserve"> de coherentie van het beleid vormgeeft</w:t>
      </w:r>
      <w:r w:rsidR="00E60137">
        <w:rPr>
          <w:rFonts w:cs="RijksoverheidSansText"/>
          <w:color w:val="000000"/>
        </w:rPr>
        <w:t xml:space="preserve"> en niet voor het gehele buitenlandbeleid</w:t>
      </w:r>
      <w:r w:rsidRPr="002716F0" w:rsidR="0003056D">
        <w:rPr>
          <w:rFonts w:cs="RijksoverheidSansText"/>
          <w:color w:val="000000"/>
        </w:rPr>
        <w:t>.</w:t>
      </w:r>
    </w:p>
    <w:p w:rsidRPr="002716F0" w:rsidR="00D54C28" w:rsidP="002716F0" w:rsidRDefault="00D54C28" w14:paraId="6E2E7463" w14:textId="77777777">
      <w:pPr>
        <w:spacing w:after="0"/>
        <w:jc w:val="both"/>
      </w:pPr>
    </w:p>
    <w:p w:rsidRPr="00A23374" w:rsidR="00196E40" w:rsidP="003C668D" w:rsidRDefault="0003056D" w14:paraId="69C2AC5F" w14:textId="64DD6E19">
      <w:pPr>
        <w:spacing w:after="0"/>
        <w:jc w:val="both"/>
      </w:pPr>
      <w:r w:rsidRPr="002716F0">
        <w:lastRenderedPageBreak/>
        <w:t xml:space="preserve"> </w:t>
      </w:r>
    </w:p>
    <w:p w:rsidR="00FB4CF8" w:rsidP="003C668D" w:rsidRDefault="00FB4CF8" w14:paraId="3D73F74C" w14:textId="726CB17A">
      <w:pPr>
        <w:spacing w:after="0"/>
        <w:jc w:val="both"/>
        <w:rPr>
          <w:b/>
          <w:bCs/>
        </w:rPr>
      </w:pPr>
      <w:r>
        <w:rPr>
          <w:b/>
          <w:bCs/>
        </w:rPr>
        <w:t>2.3 Methoden</w:t>
      </w:r>
    </w:p>
    <w:p w:rsidR="00372C3E" w:rsidP="00484C5D" w:rsidRDefault="00E25B2B" w14:paraId="3EA5BB96" w14:textId="31885D9C">
      <w:pPr>
        <w:pStyle w:val="Default"/>
        <w:jc w:val="both"/>
        <w:rPr>
          <w:rFonts w:asciiTheme="minorHAnsi" w:hAnsiTheme="minorHAnsi" w:cstheme="minorHAnsi"/>
          <w:sz w:val="22"/>
          <w:szCs w:val="22"/>
        </w:rPr>
      </w:pPr>
      <w:r w:rsidRPr="00372C3E">
        <w:rPr>
          <w:rFonts w:asciiTheme="minorHAnsi" w:hAnsiTheme="minorHAnsi" w:cstheme="minorHAnsi"/>
          <w:sz w:val="22"/>
          <w:szCs w:val="22"/>
        </w:rPr>
        <w:t xml:space="preserve">Tijdens de onderzoeks- en analysefase heeft IOB bevindingen uit verschillende (primaire en secundaire) bronnen samengebracht. Deze triangulatie van bronnen verhoogt de betrouwbaarheid van de onderzoeksbevindingen. In beide evaluaties is een groot aantal semigestructureerde </w:t>
      </w:r>
      <w:r w:rsidRPr="00E60137">
        <w:rPr>
          <w:rFonts w:asciiTheme="minorHAnsi" w:hAnsiTheme="minorHAnsi" w:cstheme="minorHAnsi"/>
          <w:i/>
          <w:iCs/>
          <w:sz w:val="22"/>
          <w:szCs w:val="22"/>
        </w:rPr>
        <w:t>interviews</w:t>
      </w:r>
      <w:r w:rsidRPr="00372C3E">
        <w:rPr>
          <w:rFonts w:asciiTheme="minorHAnsi" w:hAnsiTheme="minorHAnsi" w:cstheme="minorHAnsi"/>
          <w:sz w:val="22"/>
          <w:szCs w:val="22"/>
        </w:rPr>
        <w:t xml:space="preserve"> gehouden met verschillende typen respondenten.</w:t>
      </w:r>
      <w:r w:rsidRPr="00372C3E">
        <w:rPr>
          <w:rStyle w:val="FootnoteReference"/>
          <w:rFonts w:asciiTheme="minorHAnsi" w:hAnsiTheme="minorHAnsi" w:cstheme="minorHAnsi"/>
          <w:sz w:val="22"/>
          <w:szCs w:val="22"/>
        </w:rPr>
        <w:footnoteReference w:id="15"/>
      </w:r>
      <w:r w:rsidRPr="00372C3E">
        <w:rPr>
          <w:rFonts w:asciiTheme="minorHAnsi" w:hAnsiTheme="minorHAnsi" w:cstheme="minorHAnsi"/>
          <w:sz w:val="22"/>
          <w:szCs w:val="22"/>
        </w:rPr>
        <w:t xml:space="preserve"> De</w:t>
      </w:r>
      <w:r w:rsidR="00BC30E1">
        <w:rPr>
          <w:rFonts w:asciiTheme="minorHAnsi" w:hAnsiTheme="minorHAnsi" w:cstheme="minorHAnsi"/>
          <w:sz w:val="22"/>
          <w:szCs w:val="22"/>
        </w:rPr>
        <w:t xml:space="preserve"> respondenten </w:t>
      </w:r>
      <w:r w:rsidRPr="00372C3E">
        <w:rPr>
          <w:rFonts w:asciiTheme="minorHAnsi" w:hAnsiTheme="minorHAnsi" w:cstheme="minorHAnsi"/>
          <w:sz w:val="22"/>
          <w:szCs w:val="22"/>
        </w:rPr>
        <w:t xml:space="preserve">zijn geselecteerd op basis van hun kennis en betrokkenheid bij verschillende onderdelen van </w:t>
      </w:r>
      <w:r w:rsidR="004E3FDA">
        <w:rPr>
          <w:rFonts w:asciiTheme="minorHAnsi" w:hAnsiTheme="minorHAnsi" w:cstheme="minorHAnsi"/>
          <w:sz w:val="22"/>
          <w:szCs w:val="22"/>
        </w:rPr>
        <w:t xml:space="preserve">het </w:t>
      </w:r>
      <w:r w:rsidR="00E60137">
        <w:rPr>
          <w:rFonts w:asciiTheme="minorHAnsi" w:hAnsiTheme="minorHAnsi" w:cstheme="minorHAnsi"/>
          <w:sz w:val="22"/>
          <w:szCs w:val="22"/>
        </w:rPr>
        <w:t>beleid</w:t>
      </w:r>
      <w:r w:rsidRPr="00372C3E">
        <w:rPr>
          <w:rFonts w:asciiTheme="minorHAnsi" w:hAnsiTheme="minorHAnsi" w:cstheme="minorHAnsi"/>
          <w:sz w:val="22"/>
          <w:szCs w:val="22"/>
        </w:rPr>
        <w:t>. Voor elke casus interviewde IOB verschillende betrokken personen en partijen (</w:t>
      </w:r>
      <w:r w:rsidR="00BF5DC6">
        <w:rPr>
          <w:rFonts w:asciiTheme="minorHAnsi" w:hAnsiTheme="minorHAnsi" w:cstheme="minorHAnsi"/>
          <w:sz w:val="22"/>
          <w:szCs w:val="22"/>
        </w:rPr>
        <w:t xml:space="preserve">waaronder </w:t>
      </w:r>
      <w:r w:rsidRPr="00372C3E">
        <w:rPr>
          <w:rFonts w:asciiTheme="minorHAnsi" w:hAnsiTheme="minorHAnsi" w:cstheme="minorHAnsi"/>
          <w:sz w:val="22"/>
          <w:szCs w:val="22"/>
        </w:rPr>
        <w:t xml:space="preserve">medewerkers van BZ, mensenrechtenorganisaties en </w:t>
      </w:r>
      <w:r w:rsidR="003107E4">
        <w:rPr>
          <w:rFonts w:asciiTheme="minorHAnsi" w:hAnsiTheme="minorHAnsi" w:cstheme="minorHAnsi"/>
          <w:sz w:val="22"/>
          <w:szCs w:val="22"/>
        </w:rPr>
        <w:t>multilaterale organisaties</w:t>
      </w:r>
      <w:r w:rsidRPr="00372C3E">
        <w:rPr>
          <w:rFonts w:asciiTheme="minorHAnsi" w:hAnsiTheme="minorHAnsi" w:cstheme="minorHAnsi"/>
          <w:sz w:val="22"/>
          <w:szCs w:val="22"/>
        </w:rPr>
        <w:t xml:space="preserve">) </w:t>
      </w:r>
      <w:r w:rsidR="00BF5DC6">
        <w:rPr>
          <w:rFonts w:asciiTheme="minorHAnsi" w:hAnsiTheme="minorHAnsi" w:cstheme="minorHAnsi"/>
          <w:sz w:val="22"/>
          <w:szCs w:val="22"/>
        </w:rPr>
        <w:t>als</w:t>
      </w:r>
      <w:r w:rsidRPr="00372C3E">
        <w:rPr>
          <w:rFonts w:asciiTheme="minorHAnsi" w:hAnsiTheme="minorHAnsi" w:cstheme="minorHAnsi"/>
          <w:sz w:val="22"/>
          <w:szCs w:val="22"/>
        </w:rPr>
        <w:t xml:space="preserve">ook onafhankelijk experts. </w:t>
      </w:r>
    </w:p>
    <w:p w:rsidR="00E72A39" w:rsidP="00484C5D" w:rsidRDefault="00E72A39" w14:paraId="23D333A2" w14:textId="77777777">
      <w:pPr>
        <w:pStyle w:val="Default"/>
        <w:jc w:val="both"/>
        <w:rPr>
          <w:rFonts w:asciiTheme="minorHAnsi" w:hAnsiTheme="minorHAnsi" w:cstheme="minorHAnsi"/>
          <w:sz w:val="22"/>
          <w:szCs w:val="22"/>
        </w:rPr>
      </w:pPr>
    </w:p>
    <w:p w:rsidRPr="00372C3E" w:rsidR="00484C5D" w:rsidP="00484C5D" w:rsidRDefault="00E25B2B" w14:paraId="793C18CE" w14:textId="44AA71BF">
      <w:pPr>
        <w:pStyle w:val="Default"/>
        <w:jc w:val="both"/>
        <w:rPr>
          <w:rFonts w:asciiTheme="minorHAnsi" w:hAnsiTheme="minorHAnsi" w:cstheme="minorHAnsi"/>
          <w:sz w:val="22"/>
          <w:szCs w:val="22"/>
        </w:rPr>
      </w:pPr>
      <w:r w:rsidRPr="00372C3E">
        <w:rPr>
          <w:rFonts w:asciiTheme="minorHAnsi" w:hAnsiTheme="minorHAnsi" w:cstheme="minorHAnsi"/>
          <w:sz w:val="22"/>
          <w:szCs w:val="22"/>
        </w:rPr>
        <w:t xml:space="preserve">Hiermee heeft IOB zowel de </w:t>
      </w:r>
      <w:r w:rsidRPr="00372C3E">
        <w:rPr>
          <w:rFonts w:asciiTheme="minorHAnsi" w:hAnsiTheme="minorHAnsi" w:cstheme="minorHAnsi"/>
          <w:i/>
          <w:iCs/>
          <w:sz w:val="22"/>
          <w:szCs w:val="22"/>
        </w:rPr>
        <w:t xml:space="preserve">zelf gepercipieerde </w:t>
      </w:r>
      <w:r w:rsidRPr="00372C3E">
        <w:rPr>
          <w:rFonts w:asciiTheme="minorHAnsi" w:hAnsiTheme="minorHAnsi" w:cstheme="minorHAnsi"/>
          <w:sz w:val="22"/>
          <w:szCs w:val="22"/>
        </w:rPr>
        <w:t xml:space="preserve">effectiviteit onder BZ-medewerkers in kaart gebracht als de door anderen aan Nederland </w:t>
      </w:r>
      <w:r w:rsidRPr="00372C3E">
        <w:rPr>
          <w:rFonts w:asciiTheme="minorHAnsi" w:hAnsiTheme="minorHAnsi" w:cstheme="minorHAnsi"/>
          <w:i/>
          <w:iCs/>
          <w:sz w:val="22"/>
          <w:szCs w:val="22"/>
        </w:rPr>
        <w:t xml:space="preserve">toegeschreven </w:t>
      </w:r>
      <w:r w:rsidRPr="00372C3E">
        <w:rPr>
          <w:rFonts w:asciiTheme="minorHAnsi" w:hAnsiTheme="minorHAnsi" w:cstheme="minorHAnsi"/>
          <w:sz w:val="22"/>
          <w:szCs w:val="22"/>
        </w:rPr>
        <w:t xml:space="preserve">effectiviteit. </w:t>
      </w:r>
      <w:r w:rsidRPr="00372C3E" w:rsidR="00484C5D">
        <w:rPr>
          <w:rFonts w:asciiTheme="minorHAnsi" w:hAnsiTheme="minorHAnsi" w:cstheme="minorHAnsi"/>
          <w:sz w:val="22"/>
          <w:szCs w:val="22"/>
        </w:rPr>
        <w:t xml:space="preserve">Daarnaast zijn </w:t>
      </w:r>
      <w:r w:rsidRPr="0055202D" w:rsidR="00F04A93">
        <w:rPr>
          <w:rFonts w:asciiTheme="minorHAnsi" w:hAnsiTheme="minorHAnsi" w:cstheme="minorHAnsi"/>
          <w:i/>
          <w:iCs/>
          <w:sz w:val="22"/>
          <w:szCs w:val="22"/>
        </w:rPr>
        <w:t>focusgroepdiscussies</w:t>
      </w:r>
      <w:r w:rsidRPr="00372C3E" w:rsidR="00716318">
        <w:rPr>
          <w:rFonts w:asciiTheme="minorHAnsi" w:hAnsiTheme="minorHAnsi" w:cstheme="minorHAnsi"/>
          <w:sz w:val="22"/>
          <w:szCs w:val="22"/>
        </w:rPr>
        <w:t xml:space="preserve"> </w:t>
      </w:r>
      <w:r w:rsidRPr="00372C3E" w:rsidR="006E0800">
        <w:rPr>
          <w:rFonts w:asciiTheme="minorHAnsi" w:hAnsiTheme="minorHAnsi" w:cstheme="minorHAnsi"/>
          <w:sz w:val="22"/>
          <w:szCs w:val="22"/>
        </w:rPr>
        <w:t>georganiseerd en</w:t>
      </w:r>
      <w:r w:rsidRPr="00372C3E" w:rsidR="00484C5D">
        <w:rPr>
          <w:rFonts w:asciiTheme="minorHAnsi" w:hAnsiTheme="minorHAnsi" w:cstheme="minorHAnsi"/>
          <w:sz w:val="22"/>
          <w:szCs w:val="22"/>
        </w:rPr>
        <w:t xml:space="preserve"> is een</w:t>
      </w:r>
      <w:r w:rsidRPr="00372C3E" w:rsidR="00716318">
        <w:rPr>
          <w:rFonts w:asciiTheme="minorHAnsi" w:hAnsiTheme="minorHAnsi" w:cstheme="minorHAnsi"/>
          <w:sz w:val="22"/>
          <w:szCs w:val="22"/>
        </w:rPr>
        <w:t xml:space="preserve"> </w:t>
      </w:r>
      <w:r w:rsidRPr="00372C3E" w:rsidR="009359E0">
        <w:rPr>
          <w:rFonts w:asciiTheme="minorHAnsi" w:hAnsiTheme="minorHAnsi" w:cstheme="minorHAnsi"/>
          <w:sz w:val="22"/>
          <w:szCs w:val="22"/>
        </w:rPr>
        <w:t xml:space="preserve">analyse </w:t>
      </w:r>
      <w:r w:rsidRPr="00372C3E" w:rsidR="00484C5D">
        <w:rPr>
          <w:rFonts w:asciiTheme="minorHAnsi" w:hAnsiTheme="minorHAnsi" w:cstheme="minorHAnsi"/>
          <w:sz w:val="22"/>
          <w:szCs w:val="22"/>
        </w:rPr>
        <w:t xml:space="preserve">gemaakt </w:t>
      </w:r>
      <w:r w:rsidRPr="00372C3E" w:rsidR="009359E0">
        <w:rPr>
          <w:rFonts w:asciiTheme="minorHAnsi" w:hAnsiTheme="minorHAnsi" w:cstheme="minorHAnsi"/>
          <w:sz w:val="22"/>
          <w:szCs w:val="22"/>
        </w:rPr>
        <w:t xml:space="preserve">van interne </w:t>
      </w:r>
      <w:r w:rsidRPr="0055202D" w:rsidR="009359E0">
        <w:rPr>
          <w:rFonts w:asciiTheme="minorHAnsi" w:hAnsiTheme="minorHAnsi" w:cstheme="minorHAnsi"/>
          <w:i/>
          <w:iCs/>
          <w:sz w:val="22"/>
          <w:szCs w:val="22"/>
        </w:rPr>
        <w:t>documenten</w:t>
      </w:r>
      <w:r w:rsidRPr="00372C3E" w:rsidR="009359E0">
        <w:rPr>
          <w:rFonts w:asciiTheme="minorHAnsi" w:hAnsiTheme="minorHAnsi" w:cstheme="minorHAnsi"/>
          <w:sz w:val="22"/>
          <w:szCs w:val="22"/>
        </w:rPr>
        <w:t xml:space="preserve"> en correspondenti</w:t>
      </w:r>
      <w:r w:rsidRPr="00372C3E" w:rsidR="00484C5D">
        <w:rPr>
          <w:rFonts w:asciiTheme="minorHAnsi" w:hAnsiTheme="minorHAnsi" w:cstheme="minorHAnsi"/>
          <w:sz w:val="22"/>
          <w:szCs w:val="22"/>
        </w:rPr>
        <w:t>e</w:t>
      </w:r>
      <w:r w:rsidRPr="00372C3E" w:rsidR="00716318">
        <w:rPr>
          <w:rFonts w:asciiTheme="minorHAnsi" w:hAnsiTheme="minorHAnsi" w:cstheme="minorHAnsi"/>
          <w:sz w:val="22"/>
          <w:szCs w:val="22"/>
        </w:rPr>
        <w:t xml:space="preserve">. Voor de evaluatie van het mensenrechtenbeleid </w:t>
      </w:r>
      <w:r w:rsidR="0055202D">
        <w:rPr>
          <w:rFonts w:asciiTheme="minorHAnsi" w:hAnsiTheme="minorHAnsi" w:cstheme="minorHAnsi"/>
          <w:sz w:val="22"/>
          <w:szCs w:val="22"/>
        </w:rPr>
        <w:t>zijn</w:t>
      </w:r>
      <w:r w:rsidRPr="00372C3E" w:rsidR="00716318">
        <w:rPr>
          <w:rFonts w:asciiTheme="minorHAnsi" w:hAnsiTheme="minorHAnsi" w:cstheme="minorHAnsi"/>
          <w:sz w:val="22"/>
          <w:szCs w:val="22"/>
        </w:rPr>
        <w:t xml:space="preserve"> tevens </w:t>
      </w:r>
      <w:r w:rsidR="0055202D">
        <w:rPr>
          <w:rFonts w:asciiTheme="minorHAnsi" w:hAnsiTheme="minorHAnsi" w:cstheme="minorHAnsi"/>
          <w:sz w:val="22"/>
          <w:szCs w:val="22"/>
        </w:rPr>
        <w:t>online</w:t>
      </w:r>
      <w:r w:rsidRPr="00372C3E" w:rsidR="00716318">
        <w:rPr>
          <w:rFonts w:asciiTheme="minorHAnsi" w:hAnsiTheme="minorHAnsi" w:cstheme="minorHAnsi"/>
          <w:sz w:val="22"/>
          <w:szCs w:val="22"/>
        </w:rPr>
        <w:t xml:space="preserve"> </w:t>
      </w:r>
      <w:r w:rsidR="0055202D">
        <w:rPr>
          <w:rFonts w:asciiTheme="minorHAnsi" w:hAnsiTheme="minorHAnsi" w:cstheme="minorHAnsi"/>
          <w:i/>
          <w:iCs/>
          <w:sz w:val="22"/>
          <w:szCs w:val="22"/>
        </w:rPr>
        <w:t>enquêtes</w:t>
      </w:r>
      <w:r w:rsidRPr="00372C3E" w:rsidR="00716318">
        <w:rPr>
          <w:rFonts w:asciiTheme="minorHAnsi" w:hAnsiTheme="minorHAnsi" w:cstheme="minorHAnsi"/>
          <w:sz w:val="22"/>
          <w:szCs w:val="22"/>
        </w:rPr>
        <w:t xml:space="preserve"> uitgezet onder Nederlandse ambassades </w:t>
      </w:r>
      <w:r w:rsidRPr="00372C3E" w:rsidR="00144246">
        <w:rPr>
          <w:rFonts w:asciiTheme="minorHAnsi" w:hAnsiTheme="minorHAnsi" w:cstheme="minorHAnsi"/>
          <w:sz w:val="22"/>
          <w:szCs w:val="22"/>
        </w:rPr>
        <w:t>en mensenrechtenorganisatie</w:t>
      </w:r>
      <w:r w:rsidRPr="00372C3E" w:rsidR="00484C5D">
        <w:rPr>
          <w:rFonts w:asciiTheme="minorHAnsi" w:hAnsiTheme="minorHAnsi" w:cstheme="minorHAnsi"/>
          <w:sz w:val="22"/>
          <w:szCs w:val="22"/>
        </w:rPr>
        <w:t xml:space="preserve"> en zijn </w:t>
      </w:r>
      <w:r w:rsidRPr="0055202D" w:rsidR="00484C5D">
        <w:rPr>
          <w:rFonts w:asciiTheme="minorHAnsi" w:hAnsiTheme="minorHAnsi" w:cstheme="minorHAnsi"/>
          <w:i/>
          <w:iCs/>
          <w:sz w:val="22"/>
          <w:szCs w:val="22"/>
        </w:rPr>
        <w:t>bezoeken</w:t>
      </w:r>
      <w:r w:rsidRPr="00372C3E" w:rsidR="00484C5D">
        <w:rPr>
          <w:rFonts w:asciiTheme="minorHAnsi" w:hAnsiTheme="minorHAnsi" w:cstheme="minorHAnsi"/>
          <w:sz w:val="22"/>
          <w:szCs w:val="22"/>
        </w:rPr>
        <w:t xml:space="preserve"> afgelegd aan </w:t>
      </w:r>
      <w:r w:rsidR="00AC0748">
        <w:rPr>
          <w:rFonts w:asciiTheme="minorHAnsi" w:hAnsiTheme="minorHAnsi" w:cstheme="minorHAnsi"/>
          <w:sz w:val="22"/>
          <w:szCs w:val="22"/>
        </w:rPr>
        <w:t>meerdere</w:t>
      </w:r>
      <w:r w:rsidRPr="00372C3E" w:rsidR="00484C5D">
        <w:rPr>
          <w:rFonts w:asciiTheme="minorHAnsi" w:hAnsiTheme="minorHAnsi" w:cstheme="minorHAnsi"/>
          <w:sz w:val="22"/>
          <w:szCs w:val="22"/>
        </w:rPr>
        <w:t xml:space="preserve"> landen. </w:t>
      </w:r>
    </w:p>
    <w:p w:rsidRPr="00372C3E" w:rsidR="00484C5D" w:rsidP="00484C5D" w:rsidRDefault="00484C5D" w14:paraId="7335C9FF" w14:textId="77777777">
      <w:pPr>
        <w:pStyle w:val="Default"/>
        <w:jc w:val="both"/>
        <w:rPr>
          <w:rFonts w:asciiTheme="minorHAnsi" w:hAnsiTheme="minorHAnsi" w:cstheme="minorHAnsi"/>
          <w:sz w:val="22"/>
          <w:szCs w:val="22"/>
        </w:rPr>
      </w:pPr>
    </w:p>
    <w:p w:rsidR="00533817" w:rsidP="00484C5D" w:rsidRDefault="00533817" w14:paraId="783EECEA" w14:textId="4585216D">
      <w:pPr>
        <w:pStyle w:val="Default"/>
        <w:jc w:val="both"/>
        <w:rPr>
          <w:rFonts w:asciiTheme="minorHAnsi" w:hAnsiTheme="minorHAnsi" w:cstheme="minorHAnsi"/>
          <w:sz w:val="22"/>
          <w:szCs w:val="22"/>
        </w:rPr>
      </w:pPr>
      <w:r w:rsidRPr="00372C3E">
        <w:rPr>
          <w:rFonts w:asciiTheme="minorHAnsi" w:hAnsiTheme="minorHAnsi" w:cstheme="minorHAnsi"/>
          <w:sz w:val="22"/>
          <w:szCs w:val="22"/>
        </w:rPr>
        <w:t xml:space="preserve">Voor beide evaluaties liet IOB </w:t>
      </w:r>
      <w:r w:rsidR="00394A30">
        <w:rPr>
          <w:rFonts w:asciiTheme="minorHAnsi" w:hAnsiTheme="minorHAnsi" w:cstheme="minorHAnsi"/>
          <w:sz w:val="22"/>
          <w:szCs w:val="22"/>
        </w:rPr>
        <w:t>eveneens</w:t>
      </w:r>
      <w:r w:rsidRPr="00372C3E">
        <w:rPr>
          <w:rFonts w:asciiTheme="minorHAnsi" w:hAnsiTheme="minorHAnsi" w:cstheme="minorHAnsi"/>
          <w:sz w:val="22"/>
          <w:szCs w:val="22"/>
        </w:rPr>
        <w:t xml:space="preserve"> een </w:t>
      </w:r>
      <w:r w:rsidRPr="00372C3E" w:rsidR="00484C5D">
        <w:rPr>
          <w:rFonts w:asciiTheme="minorHAnsi" w:hAnsiTheme="minorHAnsi" w:cstheme="minorHAnsi"/>
          <w:sz w:val="22"/>
          <w:szCs w:val="22"/>
        </w:rPr>
        <w:t xml:space="preserve">externe </w:t>
      </w:r>
      <w:r w:rsidRPr="00394A30">
        <w:rPr>
          <w:rFonts w:asciiTheme="minorHAnsi" w:hAnsiTheme="minorHAnsi" w:cstheme="minorHAnsi"/>
          <w:i/>
          <w:iCs/>
          <w:sz w:val="22"/>
          <w:szCs w:val="22"/>
        </w:rPr>
        <w:t>literatuurstudie</w:t>
      </w:r>
      <w:r w:rsidRPr="00372C3E">
        <w:rPr>
          <w:rFonts w:asciiTheme="minorHAnsi" w:hAnsiTheme="minorHAnsi" w:cstheme="minorHAnsi"/>
          <w:sz w:val="22"/>
          <w:szCs w:val="22"/>
        </w:rPr>
        <w:t xml:space="preserve"> uitvoeren. Voor de evaluatie </w:t>
      </w:r>
      <w:r w:rsidRPr="00372C3E" w:rsidR="00484C5D">
        <w:rPr>
          <w:rFonts w:asciiTheme="minorHAnsi" w:hAnsiTheme="minorHAnsi" w:cstheme="minorHAnsi"/>
          <w:sz w:val="22"/>
          <w:szCs w:val="22"/>
        </w:rPr>
        <w:t>naar de Nederlandse inspanningen ter bevordering van de</w:t>
      </w:r>
      <w:r w:rsidRPr="00372C3E">
        <w:rPr>
          <w:rFonts w:asciiTheme="minorHAnsi" w:hAnsiTheme="minorHAnsi" w:cstheme="minorHAnsi"/>
          <w:sz w:val="22"/>
          <w:szCs w:val="22"/>
        </w:rPr>
        <w:t xml:space="preserve"> internationale rechtsorde gebeurde dit om meer inzicht te krijgen </w:t>
      </w:r>
      <w:r w:rsidRPr="00372C3E" w:rsidR="00484C5D">
        <w:rPr>
          <w:rFonts w:asciiTheme="minorHAnsi" w:hAnsiTheme="minorHAnsi" w:cstheme="minorHAnsi"/>
          <w:sz w:val="22"/>
          <w:szCs w:val="22"/>
        </w:rPr>
        <w:t xml:space="preserve">in de </w:t>
      </w:r>
      <w:r w:rsidRPr="00372C3E">
        <w:rPr>
          <w:rFonts w:asciiTheme="minorHAnsi" w:hAnsiTheme="minorHAnsi" w:cstheme="minorHAnsi"/>
          <w:sz w:val="22"/>
          <w:szCs w:val="22"/>
        </w:rPr>
        <w:t xml:space="preserve">effecten van </w:t>
      </w:r>
      <w:r w:rsidRPr="00372C3E" w:rsidR="00484C5D">
        <w:rPr>
          <w:rFonts w:asciiTheme="minorHAnsi" w:hAnsiTheme="minorHAnsi" w:cstheme="minorHAnsi"/>
          <w:sz w:val="22"/>
          <w:szCs w:val="22"/>
        </w:rPr>
        <w:t xml:space="preserve">de </w:t>
      </w:r>
      <w:r w:rsidR="00603EB1">
        <w:rPr>
          <w:rFonts w:asciiTheme="minorHAnsi" w:hAnsiTheme="minorHAnsi" w:cstheme="minorHAnsi"/>
          <w:sz w:val="22"/>
          <w:szCs w:val="22"/>
        </w:rPr>
        <w:t>(veranderende)</w:t>
      </w:r>
      <w:r w:rsidRPr="00372C3E" w:rsidDel="0058235D" w:rsidR="00484C5D">
        <w:rPr>
          <w:rFonts w:asciiTheme="minorHAnsi" w:hAnsiTheme="minorHAnsi" w:cstheme="minorHAnsi"/>
          <w:sz w:val="22"/>
          <w:szCs w:val="22"/>
        </w:rPr>
        <w:t xml:space="preserve"> </w:t>
      </w:r>
      <w:r w:rsidRPr="00372C3E" w:rsidR="00484C5D">
        <w:rPr>
          <w:rFonts w:asciiTheme="minorHAnsi" w:hAnsiTheme="minorHAnsi" w:cstheme="minorHAnsi"/>
          <w:sz w:val="22"/>
          <w:szCs w:val="22"/>
        </w:rPr>
        <w:t>internationale context op de uitvoering van het beleid</w:t>
      </w:r>
      <w:r w:rsidRPr="00372C3E">
        <w:rPr>
          <w:rFonts w:asciiTheme="minorHAnsi" w:hAnsiTheme="minorHAnsi" w:cstheme="minorHAnsi"/>
          <w:sz w:val="22"/>
          <w:szCs w:val="22"/>
        </w:rPr>
        <w:t>.</w:t>
      </w:r>
      <w:r w:rsidRPr="00372C3E">
        <w:rPr>
          <w:rStyle w:val="FootnoteReference"/>
          <w:rFonts w:asciiTheme="minorHAnsi" w:hAnsiTheme="minorHAnsi" w:cstheme="minorHAnsi"/>
          <w:sz w:val="22"/>
          <w:szCs w:val="22"/>
        </w:rPr>
        <w:footnoteReference w:id="16"/>
      </w:r>
      <w:r w:rsidRPr="00372C3E">
        <w:rPr>
          <w:rFonts w:asciiTheme="minorHAnsi" w:hAnsiTheme="minorHAnsi" w:cstheme="minorHAnsi"/>
          <w:sz w:val="22"/>
          <w:szCs w:val="22"/>
        </w:rPr>
        <w:t xml:space="preserve"> Voor de evaluatie van het mensenrechtenbeleid gebeurde dit om in kaart te brengen wat de belangrijkste mondiale en regionale trends waren en welke factoren de effectiviteit </w:t>
      </w:r>
      <w:r w:rsidRPr="00372C3E" w:rsidR="00372648">
        <w:rPr>
          <w:rFonts w:asciiTheme="minorHAnsi" w:hAnsiTheme="minorHAnsi" w:cstheme="minorHAnsi"/>
          <w:sz w:val="22"/>
          <w:szCs w:val="22"/>
        </w:rPr>
        <w:t xml:space="preserve">van het beleid </w:t>
      </w:r>
      <w:r w:rsidRPr="00372C3E" w:rsidR="00484C5D">
        <w:rPr>
          <w:rFonts w:asciiTheme="minorHAnsi" w:hAnsiTheme="minorHAnsi" w:cstheme="minorHAnsi"/>
          <w:sz w:val="22"/>
          <w:szCs w:val="22"/>
        </w:rPr>
        <w:t xml:space="preserve">in de praktijk </w:t>
      </w:r>
      <w:r w:rsidRPr="00372C3E">
        <w:rPr>
          <w:rFonts w:asciiTheme="minorHAnsi" w:hAnsiTheme="minorHAnsi" w:cstheme="minorHAnsi"/>
          <w:sz w:val="22"/>
          <w:szCs w:val="22"/>
        </w:rPr>
        <w:t>bevorderen.</w:t>
      </w:r>
      <w:r w:rsidRPr="00372C3E">
        <w:rPr>
          <w:rStyle w:val="FootnoteReference"/>
          <w:rFonts w:asciiTheme="minorHAnsi" w:hAnsiTheme="minorHAnsi" w:cstheme="minorHAnsi"/>
          <w:sz w:val="22"/>
          <w:szCs w:val="22"/>
        </w:rPr>
        <w:footnoteReference w:id="17"/>
      </w:r>
      <w:r w:rsidRPr="00372C3E">
        <w:rPr>
          <w:rFonts w:asciiTheme="minorHAnsi" w:hAnsiTheme="minorHAnsi" w:cstheme="minorHAnsi"/>
          <w:sz w:val="22"/>
          <w:szCs w:val="22"/>
        </w:rPr>
        <w:t xml:space="preserve"> </w:t>
      </w:r>
    </w:p>
    <w:p w:rsidR="009E79FB" w:rsidP="00484C5D" w:rsidRDefault="009E79FB" w14:paraId="6ABD3B81" w14:textId="77777777">
      <w:pPr>
        <w:pStyle w:val="Default"/>
        <w:jc w:val="both"/>
        <w:rPr>
          <w:rFonts w:asciiTheme="minorHAnsi" w:hAnsiTheme="minorHAnsi" w:cstheme="minorHAnsi"/>
          <w:sz w:val="22"/>
          <w:szCs w:val="22"/>
        </w:rPr>
      </w:pPr>
    </w:p>
    <w:p w:rsidRPr="009E79FB" w:rsidR="009E79FB" w:rsidP="00380B34" w:rsidRDefault="009E79FB" w14:paraId="5FADAB40" w14:textId="77777777">
      <w:pPr>
        <w:jc w:val="both"/>
        <w:rPr>
          <w:rFonts w:cs="RijksoverheidSansText"/>
          <w:color w:val="000000"/>
        </w:rPr>
      </w:pPr>
      <w:r w:rsidRPr="000873EA">
        <w:rPr>
          <w:rFonts w:cs="RijksoverheidSansText"/>
          <w:color w:val="000000"/>
        </w:rPr>
        <w:t xml:space="preserve">De kwaliteitscontrole van onderliggende studies is gestoeld op 17 IOB-kwaliteitscriteria voor evaluaties en is uitgevoerd door een </w:t>
      </w:r>
      <w:r w:rsidRPr="000873EA">
        <w:rPr>
          <w:rFonts w:cs="RijksoverheidSansText"/>
          <w:i/>
          <w:iCs/>
          <w:color w:val="000000"/>
        </w:rPr>
        <w:t>IOB-interne</w:t>
      </w:r>
      <w:r w:rsidRPr="000873EA">
        <w:rPr>
          <w:rFonts w:cs="RijksoverheidSansText"/>
          <w:color w:val="000000"/>
        </w:rPr>
        <w:t xml:space="preserve"> klankbordgroep en een </w:t>
      </w:r>
      <w:r w:rsidRPr="000873EA">
        <w:rPr>
          <w:rFonts w:cs="RijksoverheidSansText"/>
          <w:i/>
          <w:iCs/>
          <w:color w:val="000000"/>
        </w:rPr>
        <w:t xml:space="preserve">externe </w:t>
      </w:r>
      <w:r w:rsidRPr="000873EA">
        <w:rPr>
          <w:rFonts w:cs="RijksoverheidSansText"/>
          <w:color w:val="000000"/>
        </w:rPr>
        <w:t>referentiegroep met vertegenwoordigers uit de wetenschap, maatschappelijke organisaties en het ministerie van buitenlandse zaken.</w:t>
      </w:r>
      <w:r w:rsidRPr="000873EA">
        <w:rPr>
          <w:rStyle w:val="FootnoteReference"/>
          <w:rFonts w:cs="RijksoverheidSansText"/>
          <w:color w:val="000000"/>
        </w:rPr>
        <w:footnoteReference w:id="18"/>
      </w:r>
    </w:p>
    <w:p w:rsidRPr="003C668D" w:rsidR="002824BD" w:rsidP="003C668D" w:rsidRDefault="002824BD" w14:paraId="31ABF025" w14:textId="77777777">
      <w:pPr>
        <w:spacing w:after="0"/>
        <w:jc w:val="both"/>
        <w:rPr>
          <w:rFonts w:cstheme="minorHAnsi"/>
          <w:kern w:val="0"/>
        </w:rPr>
      </w:pPr>
    </w:p>
    <w:p w:rsidRPr="00ED5243" w:rsidR="003121D0" w:rsidP="003C668D" w:rsidRDefault="003121D0" w14:paraId="2FBC107C" w14:textId="45FAAF1F">
      <w:pPr>
        <w:jc w:val="both"/>
        <w:rPr>
          <w:b/>
          <w:color w:val="1F3864" w:themeColor="accent1" w:themeShade="80"/>
          <w:sz w:val="24"/>
          <w:szCs w:val="24"/>
        </w:rPr>
      </w:pPr>
      <w:r w:rsidRPr="00ED5243">
        <w:rPr>
          <w:b/>
          <w:color w:val="1F3864" w:themeColor="accent1" w:themeShade="80"/>
          <w:sz w:val="24"/>
          <w:szCs w:val="24"/>
        </w:rPr>
        <w:t>3. Nederlands beleid in een veranderende internationale context</w:t>
      </w:r>
    </w:p>
    <w:p w:rsidR="003121D0" w:rsidP="003C668D" w:rsidRDefault="003121D0" w14:paraId="0D7633EB" w14:textId="0943064C">
      <w:pPr>
        <w:spacing w:after="0"/>
        <w:jc w:val="both"/>
        <w:rPr>
          <w:b/>
          <w:bCs/>
        </w:rPr>
      </w:pPr>
      <w:r>
        <w:rPr>
          <w:b/>
          <w:bCs/>
        </w:rPr>
        <w:t>3.1. Verslechterende context</w:t>
      </w:r>
    </w:p>
    <w:p w:rsidR="00862C99" w:rsidP="00B22679" w:rsidRDefault="00862C99" w14:paraId="5F1E4754" w14:textId="18CB0051">
      <w:pPr>
        <w:tabs>
          <w:tab w:val="left" w:pos="714"/>
        </w:tabs>
        <w:spacing w:after="0"/>
        <w:jc w:val="both"/>
      </w:pPr>
      <w:r>
        <w:t>De onderliggende evaluaties</w:t>
      </w:r>
      <w:r w:rsidR="006848CF">
        <w:t xml:space="preserve"> </w:t>
      </w:r>
      <w:r w:rsidR="00BC30E1">
        <w:t xml:space="preserve">laten </w:t>
      </w:r>
      <w:r>
        <w:t xml:space="preserve">een sterk verslechterde internationale context </w:t>
      </w:r>
      <w:r w:rsidR="00A44266">
        <w:t xml:space="preserve">zien </w:t>
      </w:r>
      <w:r>
        <w:t xml:space="preserve">waarin het beleid is uitgevoerd. </w:t>
      </w:r>
      <w:r w:rsidR="00AB0049">
        <w:t>Het multilaterale stelsel</w:t>
      </w:r>
      <w:r w:rsidR="00B22679">
        <w:t xml:space="preserve"> en</w:t>
      </w:r>
      <w:r w:rsidR="00AB0049">
        <w:t xml:space="preserve"> de internationale rechtsorde </w:t>
      </w:r>
      <w:r w:rsidR="00147860">
        <w:t>stonden in de geëvalueerde periode</w:t>
      </w:r>
      <w:r w:rsidR="00AB0049">
        <w:t xml:space="preserve"> </w:t>
      </w:r>
      <w:r w:rsidR="009E74EF">
        <w:t>in toenemende mate</w:t>
      </w:r>
      <w:r w:rsidR="00AB0049">
        <w:t xml:space="preserve"> onder druk</w:t>
      </w:r>
      <w:r w:rsidR="0097572A">
        <w:t>,</w:t>
      </w:r>
      <w:r w:rsidR="0002426B">
        <w:t xml:space="preserve"> terwijl de maatschappelijke ruimte aanzienlijk kromp</w:t>
      </w:r>
      <w:r w:rsidR="00AB0049">
        <w:t xml:space="preserve">. </w:t>
      </w:r>
      <w:r w:rsidR="005C0871">
        <w:t>H</w:t>
      </w:r>
      <w:r w:rsidRPr="00B22679" w:rsidR="00407551">
        <w:t>et ‘</w:t>
      </w:r>
      <w:r w:rsidRPr="00372648" w:rsidR="00407551">
        <w:rPr>
          <w:i/>
          <w:iCs/>
        </w:rPr>
        <w:t>aanbod</w:t>
      </w:r>
      <w:r w:rsidRPr="00B22679" w:rsidR="00407551">
        <w:t>’ van burgerlijke en politieke rechten vanuit (semi)</w:t>
      </w:r>
      <w:r w:rsidR="009E74EF">
        <w:t xml:space="preserve"> </w:t>
      </w:r>
      <w:r w:rsidRPr="00B22679" w:rsidR="00407551">
        <w:t xml:space="preserve">autoritaire overheden </w:t>
      </w:r>
      <w:r w:rsidR="00B22679">
        <w:t>liep</w:t>
      </w:r>
      <w:r w:rsidRPr="00B22679" w:rsidR="00B22679">
        <w:t xml:space="preserve"> wereldwijd</w:t>
      </w:r>
      <w:r w:rsidR="00B22679">
        <w:t xml:space="preserve"> terug</w:t>
      </w:r>
      <w:r w:rsidR="005C0871">
        <w:t>.</w:t>
      </w:r>
      <w:r w:rsidR="0002426B">
        <w:t xml:space="preserve"> </w:t>
      </w:r>
      <w:r w:rsidR="005C0871">
        <w:t>Wel bleef de</w:t>
      </w:r>
      <w:r w:rsidR="00BC30E1">
        <w:t xml:space="preserve"> </w:t>
      </w:r>
      <w:r w:rsidRPr="00B22679" w:rsidR="00407551">
        <w:t>‘</w:t>
      </w:r>
      <w:r w:rsidRPr="00372648" w:rsidR="00407551">
        <w:rPr>
          <w:i/>
          <w:iCs/>
        </w:rPr>
        <w:t>vraag</w:t>
      </w:r>
      <w:r w:rsidRPr="00B22679" w:rsidR="00407551">
        <w:t>’ naar</w:t>
      </w:r>
      <w:r w:rsidR="00B22679">
        <w:t xml:space="preserve"> </w:t>
      </w:r>
      <w:r w:rsidR="009562D6">
        <w:t xml:space="preserve">(meer) </w:t>
      </w:r>
      <w:r w:rsidR="00B22679">
        <w:t>individuele vrijheden</w:t>
      </w:r>
      <w:r w:rsidRPr="00B22679" w:rsidR="00407551">
        <w:t xml:space="preserve"> </w:t>
      </w:r>
      <w:r w:rsidR="00CA5A71">
        <w:t>onder</w:t>
      </w:r>
      <w:r w:rsidRPr="00B22679" w:rsidR="00407551">
        <w:t xml:space="preserve"> burgers</w:t>
      </w:r>
      <w:r w:rsidR="005C0871">
        <w:t xml:space="preserve"> onverlet hoog</w:t>
      </w:r>
      <w:r w:rsidR="00B22679">
        <w:t xml:space="preserve">. </w:t>
      </w:r>
    </w:p>
    <w:p w:rsidR="00E2363C" w:rsidP="00B22679" w:rsidRDefault="00E2363C" w14:paraId="1336699B" w14:textId="77777777">
      <w:pPr>
        <w:tabs>
          <w:tab w:val="left" w:pos="714"/>
        </w:tabs>
        <w:spacing w:after="0"/>
        <w:jc w:val="both"/>
      </w:pPr>
    </w:p>
    <w:p w:rsidR="00975A1D" w:rsidP="00B22679" w:rsidRDefault="00A923FD" w14:paraId="5EF8EF6E" w14:textId="3ED61808">
      <w:pPr>
        <w:tabs>
          <w:tab w:val="left" w:pos="714"/>
        </w:tabs>
        <w:spacing w:after="0"/>
        <w:jc w:val="both"/>
      </w:pPr>
      <w:r>
        <w:t>De</w:t>
      </w:r>
      <w:r w:rsidR="0097572A">
        <w:t xml:space="preserve">ze </w:t>
      </w:r>
      <w:r w:rsidRPr="00D627E0" w:rsidR="0097572A">
        <w:rPr>
          <w:i/>
          <w:iCs/>
        </w:rPr>
        <w:t>externe</w:t>
      </w:r>
      <w:r w:rsidR="0097572A">
        <w:t xml:space="preserve"> factoren </w:t>
      </w:r>
      <w:r w:rsidR="00D627E0">
        <w:t>hebben</w:t>
      </w:r>
      <w:r w:rsidR="0097572A">
        <w:t xml:space="preserve"> hun weerslag </w:t>
      </w:r>
      <w:r w:rsidR="00D627E0">
        <w:t xml:space="preserve">gehad </w:t>
      </w:r>
      <w:r w:rsidR="0097572A">
        <w:t>op de uitvoerbaarheid van het Nederlands beleid</w:t>
      </w:r>
      <w:r w:rsidR="00975A1D">
        <w:t xml:space="preserve"> op het gebied van mensenrechten en de internationale rechtsorde</w:t>
      </w:r>
      <w:r w:rsidR="0097572A">
        <w:t xml:space="preserve">. </w:t>
      </w:r>
      <w:r w:rsidR="00D627E0">
        <w:t>Alleen al het behoud van</w:t>
      </w:r>
      <w:r w:rsidR="0097572A">
        <w:t xml:space="preserve"> </w:t>
      </w:r>
      <w:r w:rsidR="00E2363C">
        <w:t xml:space="preserve">bestaande </w:t>
      </w:r>
      <w:r w:rsidR="0097572A">
        <w:t xml:space="preserve">internationale afspraken en standaarden </w:t>
      </w:r>
      <w:r w:rsidR="00975A1D">
        <w:t>vereiste extra inspanningen. Om in te spelen op deze uitdagende context intensiveerde Nederland de personele en financiële inzet op deze beleidsterreinen</w:t>
      </w:r>
      <w:r w:rsidR="00A355BC">
        <w:t xml:space="preserve"> (zie 3.</w:t>
      </w:r>
      <w:r w:rsidR="00000655">
        <w:t>4</w:t>
      </w:r>
      <w:r w:rsidR="00A355BC">
        <w:t xml:space="preserve"> middelen)</w:t>
      </w:r>
      <w:r w:rsidR="00975A1D">
        <w:t xml:space="preserve">. </w:t>
      </w:r>
      <w:r w:rsidR="00A355BC">
        <w:t>Daarnaast werd</w:t>
      </w:r>
      <w:r w:rsidR="00975A1D">
        <w:t xml:space="preserve"> het versterken van de samenwerking met nieuwe partners, </w:t>
      </w:r>
      <w:r w:rsidR="00A355BC">
        <w:t xml:space="preserve">vooral </w:t>
      </w:r>
      <w:r w:rsidRPr="00975A1D" w:rsidR="00975A1D">
        <w:t>zuidelijke landen</w:t>
      </w:r>
      <w:r w:rsidR="00A355BC">
        <w:t>, een belangrijke diplomatieke doelstelling</w:t>
      </w:r>
      <w:r w:rsidRPr="00975A1D" w:rsidR="00975A1D">
        <w:t xml:space="preserve">. Het verbreden van deze </w:t>
      </w:r>
      <w:r w:rsidRPr="00975A1D" w:rsidR="00975A1D">
        <w:lastRenderedPageBreak/>
        <w:t>partnerschappen vormde een belangrijke pijler onder de strategie om gericht in te spelen op de verslechterende internationale context</w:t>
      </w:r>
      <w:r w:rsidR="00975A1D">
        <w:t xml:space="preserve"> </w:t>
      </w:r>
      <w:r w:rsidR="009562D6">
        <w:t>en</w:t>
      </w:r>
      <w:r w:rsidR="00A355BC">
        <w:t xml:space="preserve"> </w:t>
      </w:r>
      <w:r w:rsidR="00975A1D">
        <w:t xml:space="preserve">het mondiale draagvlak te </w:t>
      </w:r>
      <w:r w:rsidR="009562D6">
        <w:t>verbreden</w:t>
      </w:r>
      <w:r w:rsidR="00975A1D">
        <w:t>.</w:t>
      </w:r>
    </w:p>
    <w:p w:rsidR="00F406B8" w:rsidP="003C668D" w:rsidRDefault="00F406B8" w14:paraId="25FD691E" w14:textId="77777777">
      <w:pPr>
        <w:tabs>
          <w:tab w:val="left" w:pos="714"/>
        </w:tabs>
        <w:spacing w:after="0"/>
        <w:jc w:val="both"/>
        <w:rPr>
          <w:b/>
          <w:bCs/>
        </w:rPr>
      </w:pPr>
    </w:p>
    <w:p w:rsidRPr="00B22679" w:rsidR="00B22679" w:rsidP="003C668D" w:rsidRDefault="00B22679" w14:paraId="4D001171" w14:textId="33883527">
      <w:pPr>
        <w:tabs>
          <w:tab w:val="left" w:pos="714"/>
        </w:tabs>
        <w:spacing w:after="0"/>
        <w:jc w:val="both"/>
        <w:rPr>
          <w:b/>
          <w:bCs/>
        </w:rPr>
      </w:pPr>
      <w:r w:rsidRPr="00B22679">
        <w:rPr>
          <w:b/>
          <w:bCs/>
        </w:rPr>
        <w:t xml:space="preserve">3.2. </w:t>
      </w:r>
      <w:r w:rsidR="00A355BC">
        <w:rPr>
          <w:b/>
          <w:bCs/>
        </w:rPr>
        <w:t>D</w:t>
      </w:r>
      <w:r w:rsidRPr="00B22679">
        <w:rPr>
          <w:b/>
          <w:bCs/>
        </w:rPr>
        <w:t xml:space="preserve">oelstellingen </w:t>
      </w:r>
      <w:r w:rsidR="001C66C0">
        <w:rPr>
          <w:b/>
          <w:bCs/>
        </w:rPr>
        <w:t>van het beleid</w:t>
      </w:r>
    </w:p>
    <w:p w:rsidR="00BC30E1" w:rsidP="00462CD0" w:rsidRDefault="00372648" w14:paraId="4F43C2F0" w14:textId="60EA2CDE">
      <w:pPr>
        <w:tabs>
          <w:tab w:val="left" w:pos="714"/>
        </w:tabs>
        <w:spacing w:after="0"/>
        <w:jc w:val="both"/>
      </w:pPr>
      <w:r>
        <w:t xml:space="preserve">Het overkoepelende doel van het begrotingsartikel </w:t>
      </w:r>
      <w:r w:rsidRPr="001E41F2" w:rsidR="001E41F2">
        <w:t xml:space="preserve">1 </w:t>
      </w:r>
      <w:r>
        <w:t xml:space="preserve">is </w:t>
      </w:r>
      <w:r w:rsidR="00BC30E1">
        <w:t>‘</w:t>
      </w:r>
      <w:r>
        <w:t xml:space="preserve">het </w:t>
      </w:r>
      <w:r w:rsidRPr="001E41F2" w:rsidR="001E41F2">
        <w:t>bevorderen van een</w:t>
      </w:r>
      <w:r w:rsidR="001E41F2">
        <w:t xml:space="preserve"> </w:t>
      </w:r>
      <w:r w:rsidRPr="001E41F2" w:rsidR="001E41F2">
        <w:t>goed functionerende internationale rechtsorde</w:t>
      </w:r>
      <w:r w:rsidR="00BC30E1">
        <w:t>’</w:t>
      </w:r>
      <w:r w:rsidRPr="001E41F2" w:rsidR="001E41F2">
        <w:t xml:space="preserve">. </w:t>
      </w:r>
      <w:r w:rsidRPr="006A353D" w:rsidR="006A353D">
        <w:t xml:space="preserve">Uit de </w:t>
      </w:r>
      <w:r w:rsidR="00E57BC8">
        <w:t>internationale</w:t>
      </w:r>
      <w:r w:rsidRPr="006A353D" w:rsidR="006A353D">
        <w:t xml:space="preserve"> rechtsorde</w:t>
      </w:r>
      <w:r w:rsidR="004E3FDA">
        <w:t>-</w:t>
      </w:r>
      <w:r w:rsidR="00462CD0">
        <w:t xml:space="preserve">evaluatie </w:t>
      </w:r>
      <w:r w:rsidRPr="006A353D" w:rsidR="006A353D">
        <w:t xml:space="preserve">blijkt </w:t>
      </w:r>
      <w:r>
        <w:t>dat</w:t>
      </w:r>
      <w:r w:rsidR="000546B1">
        <w:t xml:space="preserve"> </w:t>
      </w:r>
      <w:r>
        <w:t xml:space="preserve">een </w:t>
      </w:r>
      <w:r w:rsidR="00E36882">
        <w:t>beleid</w:t>
      </w:r>
      <w:r>
        <w:t>skader waarin</w:t>
      </w:r>
      <w:r w:rsidR="00E36882">
        <w:t xml:space="preserve"> </w:t>
      </w:r>
      <w:r>
        <w:t>dit algemene doel is uitgewerkt in specifieke doelstellingen op middellange termijn (</w:t>
      </w:r>
      <w:r>
        <w:rPr>
          <w:i/>
          <w:iCs/>
        </w:rPr>
        <w:t>wat</w:t>
      </w:r>
      <w:r w:rsidRPr="00372648">
        <w:t>)</w:t>
      </w:r>
      <w:r>
        <w:rPr>
          <w:i/>
          <w:iCs/>
        </w:rPr>
        <w:t xml:space="preserve"> </w:t>
      </w:r>
      <w:r>
        <w:t>en een heldere interventiestrategie (</w:t>
      </w:r>
      <w:r>
        <w:rPr>
          <w:i/>
          <w:iCs/>
        </w:rPr>
        <w:t>hoe</w:t>
      </w:r>
      <w:r w:rsidRPr="00372648">
        <w:t>)</w:t>
      </w:r>
      <w:r w:rsidRPr="00462CD0" w:rsidR="00462CD0">
        <w:t xml:space="preserve"> </w:t>
      </w:r>
      <w:r w:rsidR="00462CD0">
        <w:t>ontbreekt</w:t>
      </w:r>
      <w:r>
        <w:t>.</w:t>
      </w:r>
      <w:r w:rsidR="009F6111">
        <w:rPr>
          <w:rStyle w:val="FootnoteReference"/>
        </w:rPr>
        <w:footnoteReference w:id="19"/>
      </w:r>
      <w:r>
        <w:t xml:space="preserve"> </w:t>
      </w:r>
    </w:p>
    <w:p w:rsidR="00BC30E1" w:rsidP="00462CD0" w:rsidRDefault="00BC30E1" w14:paraId="085F2448" w14:textId="77777777">
      <w:pPr>
        <w:tabs>
          <w:tab w:val="left" w:pos="714"/>
        </w:tabs>
        <w:spacing w:after="0"/>
        <w:jc w:val="both"/>
      </w:pPr>
    </w:p>
    <w:p w:rsidRPr="006A353D" w:rsidR="00975A1D" w:rsidP="00462CD0" w:rsidRDefault="00661FA2" w14:paraId="13CBA4D1" w14:textId="342CE2F1">
      <w:pPr>
        <w:tabs>
          <w:tab w:val="left" w:pos="714"/>
        </w:tabs>
        <w:spacing w:after="0"/>
        <w:jc w:val="both"/>
      </w:pPr>
      <w:r>
        <w:t>Tijdens</w:t>
      </w:r>
      <w:r w:rsidR="00E36882">
        <w:t xml:space="preserve"> de v</w:t>
      </w:r>
      <w:r>
        <w:t>oorbereidende</w:t>
      </w:r>
      <w:r w:rsidR="00E36882">
        <w:t xml:space="preserve"> fase van </w:t>
      </w:r>
      <w:r>
        <w:t>de</w:t>
      </w:r>
      <w:r w:rsidR="009F6111">
        <w:t xml:space="preserve"> </w:t>
      </w:r>
      <w:r w:rsidRPr="006A353D" w:rsidR="009F6111">
        <w:t>rechtsorde</w:t>
      </w:r>
      <w:r w:rsidR="009F6111">
        <w:t xml:space="preserve"> </w:t>
      </w:r>
      <w:r>
        <w:t>evaluatie</w:t>
      </w:r>
      <w:r w:rsidR="00E36882">
        <w:t xml:space="preserve"> </w:t>
      </w:r>
      <w:r w:rsidR="00E53BE3">
        <w:t>(</w:t>
      </w:r>
      <w:r w:rsidR="009F6111">
        <w:t>2021</w:t>
      </w:r>
      <w:r w:rsidR="00E53BE3">
        <w:t>)</w:t>
      </w:r>
      <w:r w:rsidR="009F6111">
        <w:t xml:space="preserve"> </w:t>
      </w:r>
      <w:r>
        <w:t xml:space="preserve">bleek dat </w:t>
      </w:r>
      <w:r w:rsidR="00E36882">
        <w:t xml:space="preserve">het beleid van de internationale rechtsorde </w:t>
      </w:r>
      <w:r w:rsidRPr="00E53BE3" w:rsidR="00E53BE3">
        <w:rPr>
          <w:i/>
          <w:iCs/>
        </w:rPr>
        <w:t>op papier</w:t>
      </w:r>
      <w:r w:rsidR="00E53BE3">
        <w:t xml:space="preserve"> </w:t>
      </w:r>
      <w:r w:rsidR="00E36882">
        <w:t>werd opgesplitst in vijf deelterreinen</w:t>
      </w:r>
      <w:r>
        <w:t xml:space="preserve">: (1) ontwikkeling van het internationaal recht, (2) strijd tegen straffeloosheid, (3) preventie, (4) vreedzame geschillenbeslechting en (5) versterking van het multilaterale stelsel. </w:t>
      </w:r>
      <w:r w:rsidR="00E53BE3">
        <w:t>Tijdens</w:t>
      </w:r>
      <w:r w:rsidRPr="00E36882" w:rsidR="00E36882">
        <w:t xml:space="preserve"> de onderzoeksfase </w:t>
      </w:r>
      <w:r w:rsidR="00E53BE3">
        <w:t>bleek</w:t>
      </w:r>
      <w:r w:rsidRPr="00E36882" w:rsidR="00E36882">
        <w:t xml:space="preserve"> dat </w:t>
      </w:r>
      <w:r w:rsidR="00462CD0">
        <w:t xml:space="preserve">deze deelterreinen de inzet </w:t>
      </w:r>
      <w:r>
        <w:t>tijdens de uitvoeringsfase van het beleid</w:t>
      </w:r>
      <w:r w:rsidR="00462CD0">
        <w:t xml:space="preserve"> niet bepaalden. In </w:t>
      </w:r>
      <w:r w:rsidRPr="00E53BE3" w:rsidR="00462CD0">
        <w:rPr>
          <w:i/>
          <w:iCs/>
        </w:rPr>
        <w:t>de praktijk</w:t>
      </w:r>
      <w:r w:rsidR="00462CD0">
        <w:t xml:space="preserve"> </w:t>
      </w:r>
      <w:r w:rsidR="00E53BE3">
        <w:t>speelde</w:t>
      </w:r>
      <w:r w:rsidR="00462CD0">
        <w:t xml:space="preserve"> BZ vooral in </w:t>
      </w:r>
      <w:r w:rsidR="006A353D">
        <w:t xml:space="preserve">op </w:t>
      </w:r>
      <w:r w:rsidR="00462CD0">
        <w:t xml:space="preserve">initiatieven die </w:t>
      </w:r>
      <w:r w:rsidR="006A353D">
        <w:t>andere</w:t>
      </w:r>
      <w:r w:rsidR="00462CD0">
        <w:t xml:space="preserve"> landen of organisaties </w:t>
      </w:r>
      <w:r w:rsidR="006474DF">
        <w:t>onder</w:t>
      </w:r>
      <w:r w:rsidR="00462CD0">
        <w:t>namen.</w:t>
      </w:r>
      <w:r w:rsidR="002B118F">
        <w:rPr>
          <w:rStyle w:val="FootnoteReference"/>
        </w:rPr>
        <w:footnoteReference w:id="20"/>
      </w:r>
      <w:r w:rsidR="00462CD0">
        <w:t xml:space="preserve"> Als gevolg van het ontbreken van een uitgewerkt beleidskader en middellange termijnvisie was </w:t>
      </w:r>
      <w:r w:rsidR="00E53BE3">
        <w:t xml:space="preserve">de </w:t>
      </w:r>
      <w:r w:rsidR="00462CD0">
        <w:t xml:space="preserve">beleidsuitvoering vooral </w:t>
      </w:r>
      <w:r w:rsidRPr="00462CD0" w:rsidR="00462CD0">
        <w:t>reactief</w:t>
      </w:r>
      <w:r w:rsidR="00462CD0">
        <w:t>.</w:t>
      </w:r>
    </w:p>
    <w:p w:rsidR="006E1EED" w:rsidP="001C66C0" w:rsidRDefault="006E1EED" w14:paraId="77CA5F01" w14:textId="77777777">
      <w:pPr>
        <w:tabs>
          <w:tab w:val="left" w:pos="714"/>
        </w:tabs>
        <w:spacing w:after="0"/>
      </w:pPr>
    </w:p>
    <w:p w:rsidR="002740DD" w:rsidP="00326E3E" w:rsidRDefault="006474DF" w14:paraId="5CFD2237" w14:textId="1B9D6E6C">
      <w:pPr>
        <w:tabs>
          <w:tab w:val="left" w:pos="714"/>
        </w:tabs>
        <w:spacing w:after="0"/>
        <w:jc w:val="both"/>
      </w:pPr>
      <w:r>
        <w:t xml:space="preserve">De </w:t>
      </w:r>
      <w:r w:rsidR="00326E3E">
        <w:t xml:space="preserve">evaluatie van het </w:t>
      </w:r>
      <w:r>
        <w:t xml:space="preserve">Nederlandse mensenrechtenbeleid </w:t>
      </w:r>
      <w:r w:rsidR="00326E3E">
        <w:t>komt tot vergelijkbare bevindingen. In de fase van beleidsontwikkeling werden wel</w:t>
      </w:r>
      <w:r w:rsidR="00BC30E1">
        <w:t>iswaar</w:t>
      </w:r>
      <w:r w:rsidR="00326E3E">
        <w:t xml:space="preserve"> duidelijke prioriteiten geformuleerd</w:t>
      </w:r>
      <w:r w:rsidR="00FC5DA8">
        <w:t>.</w:t>
      </w:r>
      <w:r w:rsidR="00BC30E1">
        <w:t xml:space="preserve"> </w:t>
      </w:r>
      <w:r w:rsidR="00FC5DA8">
        <w:t xml:space="preserve">Echter, </w:t>
      </w:r>
      <w:r w:rsidRPr="00326E3E" w:rsidR="00326E3E">
        <w:t>tijdens de uitvoeringsfase wa</w:t>
      </w:r>
      <w:r w:rsidR="00326E3E">
        <w:t>ren</w:t>
      </w:r>
      <w:r w:rsidRPr="00326E3E" w:rsidR="00326E3E">
        <w:t xml:space="preserve"> </w:t>
      </w:r>
      <w:r w:rsidR="00FC5DA8">
        <w:t>de inspanningen</w:t>
      </w:r>
      <w:r w:rsidRPr="00326E3E" w:rsidR="00FC5DA8">
        <w:t xml:space="preserve"> </w:t>
      </w:r>
      <w:r w:rsidRPr="00326E3E" w:rsidR="00326E3E">
        <w:t xml:space="preserve">niet ingebed in een beleidskader met uitgewerkte tussendoelen en verwachte resultaten. Hierdoor bestond er </w:t>
      </w:r>
      <w:r w:rsidR="00AA2BBC">
        <w:t xml:space="preserve">eveneens </w:t>
      </w:r>
      <w:r w:rsidRPr="00326E3E" w:rsidR="00326E3E">
        <w:t xml:space="preserve">een kloof tussen de abstracte beleidsdoelen </w:t>
      </w:r>
      <w:r w:rsidRPr="00326E3E" w:rsidR="00326E3E">
        <w:rPr>
          <w:i/>
          <w:iCs/>
        </w:rPr>
        <w:t>op papier</w:t>
      </w:r>
      <w:r w:rsidRPr="00326E3E" w:rsidR="00326E3E">
        <w:t xml:space="preserve"> en de dagelijkse inzet in </w:t>
      </w:r>
      <w:r w:rsidRPr="00326E3E" w:rsidR="00326E3E">
        <w:rPr>
          <w:i/>
          <w:iCs/>
        </w:rPr>
        <w:t>de praktijk</w:t>
      </w:r>
      <w:r w:rsidRPr="00326E3E" w:rsidR="00326E3E">
        <w:t xml:space="preserve">. Verschillende BZ-medewerkers hebben in interviews met IOB aangegeven dat ze het onduidelijk vonden wat Nederland </w:t>
      </w:r>
      <w:r w:rsidR="00DC24B5">
        <w:t xml:space="preserve">bij de uitvoering van het </w:t>
      </w:r>
      <w:r w:rsidR="00AA2BBC">
        <w:t xml:space="preserve">(bilaterale) </w:t>
      </w:r>
      <w:r w:rsidR="00DC24B5">
        <w:t xml:space="preserve">mensenrechtenbeleid in andere landen </w:t>
      </w:r>
      <w:r w:rsidRPr="00326E3E" w:rsidR="00326E3E">
        <w:t>wilde bereiken op de middellange termijn.</w:t>
      </w:r>
      <w:r w:rsidR="00DC24B5">
        <w:rPr>
          <w:rStyle w:val="FootnoteReference"/>
        </w:rPr>
        <w:footnoteReference w:id="21"/>
      </w:r>
      <w:r w:rsidRPr="00326E3E" w:rsidR="00326E3E">
        <w:t xml:space="preserve"> Er ontbrak ook een onderliggende beleidstheorie die expliciet maakte welke interventies konden bijdragen aan het behalen van de overkoepelende doelen. </w:t>
      </w:r>
      <w:r w:rsidR="002740DD">
        <w:t xml:space="preserve">Ook voor de inspanningen </w:t>
      </w:r>
      <w:r w:rsidR="00251B05">
        <w:t>op</w:t>
      </w:r>
      <w:r w:rsidR="002740DD">
        <w:t xml:space="preserve"> landen</w:t>
      </w:r>
      <w:r w:rsidR="00251B05">
        <w:t>niveau</w:t>
      </w:r>
      <w:r w:rsidR="002740DD">
        <w:t xml:space="preserve"> zijn de verwachtte resultaten </w:t>
      </w:r>
      <w:r w:rsidR="00AA2BBC">
        <w:t xml:space="preserve">op middellange termijn </w:t>
      </w:r>
      <w:r w:rsidR="002740DD">
        <w:t>en strategieën maar beperkt uitgewerkt.</w:t>
      </w:r>
    </w:p>
    <w:p w:rsidR="006474DF" w:rsidP="003C668D" w:rsidRDefault="006474DF" w14:paraId="14EE75DB" w14:textId="77777777">
      <w:pPr>
        <w:tabs>
          <w:tab w:val="left" w:pos="714"/>
        </w:tabs>
        <w:spacing w:after="0"/>
        <w:jc w:val="both"/>
      </w:pPr>
    </w:p>
    <w:p w:rsidR="00B22679" w:rsidP="003C668D" w:rsidRDefault="00B22679" w14:paraId="699C11F2" w14:textId="0AE38A5E">
      <w:pPr>
        <w:tabs>
          <w:tab w:val="left" w:pos="714"/>
        </w:tabs>
        <w:spacing w:after="0"/>
        <w:jc w:val="both"/>
        <w:rPr>
          <w:b/>
          <w:bCs/>
        </w:rPr>
      </w:pPr>
      <w:r w:rsidRPr="00B22679">
        <w:rPr>
          <w:b/>
          <w:bCs/>
        </w:rPr>
        <w:t>3.3.</w:t>
      </w:r>
      <w:r w:rsidR="006E1EED">
        <w:rPr>
          <w:b/>
          <w:bCs/>
        </w:rPr>
        <w:t xml:space="preserve"> </w:t>
      </w:r>
      <w:r w:rsidR="00AA2BBC">
        <w:rPr>
          <w:b/>
          <w:bCs/>
        </w:rPr>
        <w:t>Beleidsi</w:t>
      </w:r>
      <w:r w:rsidR="006E1EED">
        <w:rPr>
          <w:b/>
          <w:bCs/>
        </w:rPr>
        <w:t xml:space="preserve">nstrumenten </w:t>
      </w:r>
    </w:p>
    <w:p w:rsidR="00C73973" w:rsidP="002740DD" w:rsidRDefault="00326E3E" w14:paraId="59DEDE56" w14:textId="4A2BBAE9">
      <w:pPr>
        <w:tabs>
          <w:tab w:val="left" w:pos="714"/>
        </w:tabs>
        <w:spacing w:after="0"/>
        <w:jc w:val="both"/>
      </w:pPr>
      <w:r>
        <w:t xml:space="preserve">Voor de </w:t>
      </w:r>
      <w:r w:rsidRPr="00D966B5" w:rsidR="00D966B5">
        <w:t xml:space="preserve">uitvoering van het beleid </w:t>
      </w:r>
      <w:r>
        <w:t xml:space="preserve">heeft </w:t>
      </w:r>
      <w:r w:rsidR="00C73973">
        <w:t>BZ</w:t>
      </w:r>
      <w:r>
        <w:t xml:space="preserve"> zowel </w:t>
      </w:r>
      <w:r w:rsidR="00364460">
        <w:t>diplomatiek</w:t>
      </w:r>
      <w:r>
        <w:t>e als</w:t>
      </w:r>
      <w:r w:rsidR="00364460">
        <w:t xml:space="preserve"> financi</w:t>
      </w:r>
      <w:r>
        <w:t>ë</w:t>
      </w:r>
      <w:r w:rsidR="00364460">
        <w:t>l</w:t>
      </w:r>
      <w:r>
        <w:t>e instrumenten ingezet</w:t>
      </w:r>
      <w:r w:rsidR="00364460">
        <w:t xml:space="preserve">. </w:t>
      </w:r>
    </w:p>
    <w:p w:rsidR="00C73973" w:rsidP="002740DD" w:rsidRDefault="00C73973" w14:paraId="3CDBCAFA" w14:textId="77777777">
      <w:pPr>
        <w:tabs>
          <w:tab w:val="left" w:pos="714"/>
        </w:tabs>
        <w:spacing w:after="0"/>
        <w:jc w:val="both"/>
      </w:pPr>
    </w:p>
    <w:p w:rsidR="00BC30E1" w:rsidP="002740DD" w:rsidRDefault="00326E3E" w14:paraId="1090F2A1" w14:textId="2AE20B64">
      <w:pPr>
        <w:tabs>
          <w:tab w:val="left" w:pos="714"/>
        </w:tabs>
        <w:spacing w:after="0"/>
        <w:jc w:val="both"/>
      </w:pPr>
      <w:r>
        <w:t xml:space="preserve">Belangrijke </w:t>
      </w:r>
      <w:r w:rsidRPr="00F8508B" w:rsidR="00626ADC">
        <w:rPr>
          <w:i/>
          <w:iCs/>
        </w:rPr>
        <w:t>bilaterale</w:t>
      </w:r>
      <w:r w:rsidR="00626ADC">
        <w:t xml:space="preserve"> </w:t>
      </w:r>
      <w:r w:rsidRPr="00C73973">
        <w:rPr>
          <w:i/>
          <w:iCs/>
        </w:rPr>
        <w:t xml:space="preserve">diplomatieke </w:t>
      </w:r>
      <w:r w:rsidRPr="00C73973" w:rsidR="00ED385E">
        <w:rPr>
          <w:i/>
          <w:iCs/>
        </w:rPr>
        <w:t>instrumenten</w:t>
      </w:r>
      <w:r w:rsidR="00113BCA">
        <w:t xml:space="preserve"> die zijn geëvalueerd zijn onder andere</w:t>
      </w:r>
      <w:r w:rsidR="00A70E86">
        <w:t>:</w:t>
      </w:r>
      <w:r w:rsidR="00113BCA">
        <w:t xml:space="preserve"> </w:t>
      </w:r>
      <w:r w:rsidR="00ED385E">
        <w:t xml:space="preserve">politieke </w:t>
      </w:r>
      <w:r w:rsidR="00113BCA">
        <w:t xml:space="preserve">en </w:t>
      </w:r>
      <w:r w:rsidR="006B2EB3">
        <w:t>hoog ambtelijke</w:t>
      </w:r>
      <w:r w:rsidR="00113BCA">
        <w:t xml:space="preserve"> </w:t>
      </w:r>
      <w:r w:rsidR="00ED385E">
        <w:t xml:space="preserve">consultaties met andere landen, demarches </w:t>
      </w:r>
      <w:r w:rsidRPr="00ED385E" w:rsidR="00ED385E">
        <w:t>vanuit ambassades om mensenrechtenkwesties formeel aan te kaarten bij autoriteiten van een ander land</w:t>
      </w:r>
      <w:r w:rsidR="00ED385E">
        <w:t xml:space="preserve">, publieke verklaringen, </w:t>
      </w:r>
      <w:r w:rsidR="006B2EB3">
        <w:t xml:space="preserve">en </w:t>
      </w:r>
      <w:r w:rsidR="00ED385E">
        <w:t xml:space="preserve">een mensenrechtenprijs die </w:t>
      </w:r>
      <w:r w:rsidR="00A70E86">
        <w:t>BZ</w:t>
      </w:r>
      <w:r>
        <w:t xml:space="preserve"> </w:t>
      </w:r>
      <w:r w:rsidR="00ED385E">
        <w:t>jaarlijks uitreik</w:t>
      </w:r>
      <w:r w:rsidR="00A70E86">
        <w:t>t</w:t>
      </w:r>
      <w:r w:rsidR="00364460">
        <w:t>.</w:t>
      </w:r>
      <w:r w:rsidR="00B0084C">
        <w:t xml:space="preserve"> </w:t>
      </w:r>
    </w:p>
    <w:p w:rsidR="00BC30E1" w:rsidP="002740DD" w:rsidRDefault="00BC30E1" w14:paraId="7D398ADE" w14:textId="77777777">
      <w:pPr>
        <w:tabs>
          <w:tab w:val="left" w:pos="714"/>
        </w:tabs>
        <w:spacing w:after="0"/>
        <w:jc w:val="both"/>
      </w:pPr>
    </w:p>
    <w:p w:rsidR="00BC30E1" w:rsidP="002740DD" w:rsidRDefault="007408BA" w14:paraId="5AF0B2EF" w14:textId="6C28BCE8">
      <w:pPr>
        <w:tabs>
          <w:tab w:val="left" w:pos="714"/>
        </w:tabs>
        <w:spacing w:after="0"/>
        <w:jc w:val="both"/>
      </w:pPr>
      <w:r>
        <w:t xml:space="preserve">Daarnaast </w:t>
      </w:r>
      <w:r w:rsidR="00626ADC">
        <w:t xml:space="preserve">besteedden </w:t>
      </w:r>
      <w:r>
        <w:t xml:space="preserve">beide evaluaties </w:t>
      </w:r>
      <w:r w:rsidR="00626ADC">
        <w:t xml:space="preserve">veel aandacht aan de Nederlandse diplomatieke bijdrage aan </w:t>
      </w:r>
      <w:r w:rsidRPr="007C79BA" w:rsidR="00626ADC">
        <w:t xml:space="preserve">de </w:t>
      </w:r>
      <w:r w:rsidRPr="007C79BA" w:rsidR="00B0084C">
        <w:t xml:space="preserve">ontwikkeling </w:t>
      </w:r>
      <w:r w:rsidRPr="007C79BA" w:rsidR="00626ADC">
        <w:t>en</w:t>
      </w:r>
      <w:r w:rsidRPr="007C79BA" w:rsidR="00B0084C">
        <w:t xml:space="preserve"> uitvoering</w:t>
      </w:r>
      <w:r w:rsidR="008766F0">
        <w:rPr>
          <w:i/>
          <w:iCs/>
        </w:rPr>
        <w:t xml:space="preserve"> </w:t>
      </w:r>
      <w:r w:rsidR="00626ADC">
        <w:t>van internationale afspraken, verdragen en nieuwe instrumenten op het gebied van de internationale rechtsorde en mensenrechten</w:t>
      </w:r>
      <w:r w:rsidR="007C79BA">
        <w:t xml:space="preserve"> </w:t>
      </w:r>
      <w:r w:rsidRPr="00F8508B" w:rsidR="007C79BA">
        <w:rPr>
          <w:i/>
          <w:iCs/>
        </w:rPr>
        <w:t>in multilaterale organisaties</w:t>
      </w:r>
      <w:r w:rsidR="00626ADC">
        <w:t xml:space="preserve">. </w:t>
      </w:r>
      <w:r w:rsidR="00113BCA">
        <w:t>Casussen</w:t>
      </w:r>
      <w:r w:rsidR="00626ADC">
        <w:t xml:space="preserve"> die aan bod komen zijn </w:t>
      </w:r>
      <w:r w:rsidR="00113BCA">
        <w:t xml:space="preserve">bijvoorbeeld </w:t>
      </w:r>
      <w:r w:rsidRPr="00626ADC" w:rsidR="00626ADC">
        <w:t xml:space="preserve">de diplomatieke inspanningen om tot een EU-mensenrechtensanctieregime te </w:t>
      </w:r>
      <w:r w:rsidRPr="00626ADC" w:rsidR="006E0800">
        <w:t>komen, VN</w:t>
      </w:r>
      <w:r w:rsidRPr="00626ADC" w:rsidR="00626ADC">
        <w:t>-sancties in te stellen tegen Libische mensenhandelaren en de inzet voor een Multilateraal Verdrag Rechtshulp en Uitlevering</w:t>
      </w:r>
      <w:r w:rsidR="00626ADC">
        <w:t xml:space="preserve">. </w:t>
      </w:r>
    </w:p>
    <w:p w:rsidR="00BC30E1" w:rsidP="002740DD" w:rsidRDefault="00BC30E1" w14:paraId="305694D9" w14:textId="77777777">
      <w:pPr>
        <w:tabs>
          <w:tab w:val="left" w:pos="714"/>
        </w:tabs>
        <w:spacing w:after="0"/>
        <w:jc w:val="both"/>
      </w:pPr>
    </w:p>
    <w:p w:rsidR="00ED5243" w:rsidP="002740DD" w:rsidRDefault="00626ADC" w14:paraId="25A15117" w14:textId="218AB8C6">
      <w:pPr>
        <w:tabs>
          <w:tab w:val="left" w:pos="714"/>
        </w:tabs>
        <w:spacing w:after="0"/>
        <w:jc w:val="both"/>
      </w:pPr>
      <w:r>
        <w:t xml:space="preserve">Naast diplomatieke instrumenten heeft </w:t>
      </w:r>
      <w:r w:rsidRPr="00B0084C" w:rsidR="00B0084C">
        <w:t>Nederland</w:t>
      </w:r>
      <w:r w:rsidR="008766F0">
        <w:t xml:space="preserve"> </w:t>
      </w:r>
      <w:r w:rsidRPr="00B0084C" w:rsidR="00B0084C">
        <w:t xml:space="preserve">ook </w:t>
      </w:r>
      <w:r w:rsidR="00113BCA">
        <w:t xml:space="preserve">verschillende </w:t>
      </w:r>
      <w:r w:rsidRPr="00F8508B" w:rsidR="00EA6BE9">
        <w:rPr>
          <w:i/>
          <w:iCs/>
        </w:rPr>
        <w:t>financiële</w:t>
      </w:r>
      <w:r w:rsidR="00EA6BE9">
        <w:t xml:space="preserve"> instrumenten </w:t>
      </w:r>
      <w:r w:rsidR="00113BCA">
        <w:t xml:space="preserve">ingezet.   </w:t>
      </w:r>
      <w:r w:rsidR="00EA6BE9">
        <w:t xml:space="preserve"> </w:t>
      </w:r>
    </w:p>
    <w:p w:rsidR="00ED5243" w:rsidP="003C668D" w:rsidRDefault="00ED5243" w14:paraId="3DB30CD8" w14:textId="7B7909E7">
      <w:pPr>
        <w:tabs>
          <w:tab w:val="left" w:pos="714"/>
        </w:tabs>
        <w:spacing w:after="0"/>
        <w:jc w:val="both"/>
      </w:pPr>
      <w:r w:rsidRPr="0054633B">
        <w:t xml:space="preserve">Het </w:t>
      </w:r>
      <w:r w:rsidRPr="0054633B" w:rsidR="003C668D">
        <w:t>totaalbudget</w:t>
      </w:r>
      <w:r w:rsidRPr="0054633B">
        <w:t xml:space="preserve"> onder BZ-begrotingsa</w:t>
      </w:r>
      <w:r w:rsidRPr="0054633B" w:rsidR="00A355BC">
        <w:t>rtikel 1</w:t>
      </w:r>
      <w:r w:rsidRPr="0054633B">
        <w:t xml:space="preserve"> is </w:t>
      </w:r>
      <w:r w:rsidR="00BC30E1">
        <w:t xml:space="preserve">relatief </w:t>
      </w:r>
      <w:r w:rsidR="0054633B">
        <w:t>be</w:t>
      </w:r>
      <w:r w:rsidR="00314EF9">
        <w:t>perkt</w:t>
      </w:r>
      <w:r w:rsidR="0054633B">
        <w:t xml:space="preserve"> van omvang en omvat, inclusief de kosten van het gastlandbeleid voor internationale organisaties, zo’n </w:t>
      </w:r>
      <w:r w:rsidRPr="0054633B" w:rsidR="00A355BC">
        <w:t xml:space="preserve">2% van de algehele </w:t>
      </w:r>
      <w:r w:rsidR="0054633B">
        <w:t>BZ-</w:t>
      </w:r>
      <w:r w:rsidRPr="0054633B" w:rsidR="00A355BC">
        <w:t>begroting.</w:t>
      </w:r>
      <w:r>
        <w:t xml:space="preserve"> </w:t>
      </w:r>
      <w:r w:rsidR="0054633B">
        <w:t>Onderstaande budgettaire tabel geeft een weergave van de uitgaven voor de twee sub</w:t>
      </w:r>
      <w:r w:rsidR="006B2EB3">
        <w:t>-</w:t>
      </w:r>
      <w:r w:rsidR="0054633B">
        <w:t>artikelen die centraal staan in deze periodieke rapportage.</w:t>
      </w:r>
    </w:p>
    <w:p w:rsidR="00262286" w:rsidP="003C668D" w:rsidRDefault="00262286" w14:paraId="1E77511E" w14:textId="77777777">
      <w:pPr>
        <w:tabs>
          <w:tab w:val="left" w:pos="714"/>
        </w:tabs>
        <w:spacing w:after="0"/>
        <w:jc w:val="both"/>
      </w:pPr>
    </w:p>
    <w:p w:rsidR="0054633B" w:rsidP="003C668D" w:rsidRDefault="0054633B" w14:paraId="38677505" w14:textId="77777777">
      <w:pPr>
        <w:tabs>
          <w:tab w:val="left" w:pos="714"/>
        </w:tabs>
        <w:spacing w:after="0"/>
        <w:jc w:val="both"/>
      </w:pPr>
    </w:p>
    <w:p w:rsidRPr="006B2EB3" w:rsidR="006B2EB3" w:rsidP="006B2EB3" w:rsidRDefault="006B2EB3" w14:paraId="14412DA0" w14:textId="4B03CC2D">
      <w:pPr>
        <w:rPr>
          <w:b/>
          <w:bCs/>
          <w:caps/>
          <w:color w:val="FFFFFF" w:themeColor="background1"/>
          <w:sz w:val="20"/>
          <w:szCs w:val="24"/>
        </w:rPr>
      </w:pPr>
      <w:r>
        <w:rPr>
          <w:b/>
          <w:bCs/>
          <w:sz w:val="20"/>
          <w:szCs w:val="24"/>
        </w:rPr>
        <w:t>Uitgaven BZ-begrotingsartikel 1</w:t>
      </w:r>
      <w:r w:rsidR="00EB0335">
        <w:rPr>
          <w:b/>
          <w:bCs/>
          <w:sz w:val="20"/>
          <w:szCs w:val="24"/>
        </w:rPr>
        <w:t xml:space="preserve"> voor de periode </w:t>
      </w:r>
      <w:r>
        <w:rPr>
          <w:b/>
          <w:bCs/>
          <w:sz w:val="20"/>
          <w:szCs w:val="24"/>
        </w:rPr>
        <w:t>2015-2021</w:t>
      </w:r>
      <w:r w:rsidR="00EB0335">
        <w:rPr>
          <w:b/>
          <w:bCs/>
          <w:sz w:val="20"/>
          <w:szCs w:val="24"/>
        </w:rPr>
        <w:t xml:space="preserve"> (x </w:t>
      </w:r>
      <w:r w:rsidR="00EB0335">
        <w:rPr>
          <w:rFonts w:cstheme="minorHAnsi"/>
          <w:b/>
          <w:bCs/>
          <w:sz w:val="20"/>
          <w:szCs w:val="24"/>
        </w:rPr>
        <w:t>€</w:t>
      </w:r>
      <w:r w:rsidR="00EB0335">
        <w:rPr>
          <w:b/>
          <w:bCs/>
          <w:sz w:val="20"/>
          <w:szCs w:val="24"/>
        </w:rPr>
        <w:t>1000</w:t>
      </w:r>
      <w:r>
        <w:rPr>
          <w:b/>
          <w:bCs/>
          <w:sz w:val="20"/>
          <w:szCs w:val="24"/>
        </w:rPr>
        <w:t>)</w:t>
      </w:r>
      <w:r w:rsidR="00EB0335">
        <w:rPr>
          <w:b/>
          <w:bCs/>
          <w:sz w:val="20"/>
          <w:szCs w:val="24"/>
        </w:rPr>
        <w:t xml:space="preserve"> </w:t>
      </w:r>
    </w:p>
    <w:tbl>
      <w:tblPr>
        <w:tblStyle w:val="FINTabelstijlnormaal"/>
        <w:tblW w:w="9356" w:type="dxa"/>
        <w:tblLayout w:type="fixed"/>
        <w:tblLook w:val="04A0" w:firstRow="1" w:lastRow="0" w:firstColumn="1" w:lastColumn="0" w:noHBand="0" w:noVBand="1"/>
      </w:tblPr>
      <w:tblGrid>
        <w:gridCol w:w="9356"/>
      </w:tblGrid>
      <w:tr w:rsidRPr="006B2EB3" w:rsidR="006B2EB3" w:rsidTr="006B2EB3" w14:paraId="475E44BE"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6" w:type="dxa"/>
          </w:tcPr>
          <w:tbl>
            <w:tblPr>
              <w:tblStyle w:val="FINTabelstijlnormaal"/>
              <w:tblW w:w="9499" w:type="dxa"/>
              <w:tblLayout w:type="fixed"/>
              <w:tblLook w:val="0620" w:firstRow="1" w:lastRow="0" w:firstColumn="0" w:lastColumn="0" w:noHBand="1" w:noVBand="1"/>
            </w:tblPr>
            <w:tblGrid>
              <w:gridCol w:w="1055"/>
              <w:gridCol w:w="1055"/>
              <w:gridCol w:w="1056"/>
              <w:gridCol w:w="1055"/>
              <w:gridCol w:w="1056"/>
              <w:gridCol w:w="1055"/>
              <w:gridCol w:w="1056"/>
              <w:gridCol w:w="1055"/>
              <w:gridCol w:w="1056"/>
            </w:tblGrid>
            <w:tr w:rsidRPr="00D2373A" w:rsidR="00D2373A" w:rsidTr="004907FA" w14:paraId="0934B328" w14:textId="77777777">
              <w:trPr>
                <w:cnfStyle w:val="100000000000" w:firstRow="1" w:lastRow="0" w:firstColumn="0" w:lastColumn="0" w:oddVBand="0" w:evenVBand="0" w:oddHBand="0" w:evenHBand="0" w:firstRowFirstColumn="0" w:firstRowLastColumn="0" w:lastRowFirstColumn="0" w:lastRowLastColumn="0"/>
                <w:trHeight w:val="25"/>
              </w:trPr>
              <w:tc>
                <w:tcPr>
                  <w:tcW w:w="1055" w:type="dxa"/>
                  <w:shd w:val="clear" w:color="auto" w:fill="auto"/>
                </w:tcPr>
                <w:p w:rsidRPr="004907FA" w:rsidR="006B2EB3" w:rsidP="00597256" w:rsidRDefault="006B2EB3" w14:paraId="30377992" w14:textId="77777777">
                  <w:pPr>
                    <w:rPr>
                      <w:rFonts w:cstheme="minorHAnsi"/>
                      <w:b/>
                      <w:bCs/>
                      <w:sz w:val="22"/>
                      <w:szCs w:val="28"/>
                    </w:rPr>
                  </w:pPr>
                </w:p>
              </w:tc>
              <w:tc>
                <w:tcPr>
                  <w:tcW w:w="1055" w:type="dxa"/>
                  <w:shd w:val="clear" w:color="auto" w:fill="auto"/>
                </w:tcPr>
                <w:p w:rsidRPr="004907FA" w:rsidR="006B2EB3" w:rsidP="00597256" w:rsidRDefault="006B2EB3" w14:paraId="5B3F9A4C" w14:textId="77777777">
                  <w:pPr>
                    <w:rPr>
                      <w:rFonts w:cstheme="minorHAnsi"/>
                      <w:b/>
                      <w:bCs/>
                      <w:sz w:val="22"/>
                      <w:szCs w:val="28"/>
                    </w:rPr>
                  </w:pPr>
                  <w:r w:rsidRPr="004907FA">
                    <w:rPr>
                      <w:rFonts w:cstheme="minorHAnsi"/>
                      <w:b/>
                      <w:bCs/>
                      <w:sz w:val="22"/>
                      <w:szCs w:val="28"/>
                    </w:rPr>
                    <w:t>2015</w:t>
                  </w:r>
                </w:p>
              </w:tc>
              <w:tc>
                <w:tcPr>
                  <w:tcW w:w="1056" w:type="dxa"/>
                  <w:shd w:val="clear" w:color="auto" w:fill="auto"/>
                </w:tcPr>
                <w:p w:rsidRPr="004907FA" w:rsidR="006B2EB3" w:rsidP="00597256" w:rsidRDefault="006B2EB3" w14:paraId="320F41A8" w14:textId="77777777">
                  <w:pPr>
                    <w:rPr>
                      <w:rFonts w:cstheme="minorHAnsi"/>
                      <w:b/>
                      <w:bCs/>
                      <w:sz w:val="22"/>
                      <w:szCs w:val="28"/>
                    </w:rPr>
                  </w:pPr>
                  <w:r w:rsidRPr="004907FA">
                    <w:rPr>
                      <w:rFonts w:cstheme="minorHAnsi"/>
                      <w:b/>
                      <w:bCs/>
                      <w:sz w:val="22"/>
                      <w:szCs w:val="28"/>
                    </w:rPr>
                    <w:t>2016</w:t>
                  </w:r>
                </w:p>
              </w:tc>
              <w:tc>
                <w:tcPr>
                  <w:tcW w:w="1055" w:type="dxa"/>
                  <w:shd w:val="clear" w:color="auto" w:fill="auto"/>
                </w:tcPr>
                <w:p w:rsidRPr="004907FA" w:rsidR="006B2EB3" w:rsidP="00597256" w:rsidRDefault="006B2EB3" w14:paraId="0E56A107" w14:textId="77777777">
                  <w:pPr>
                    <w:rPr>
                      <w:rFonts w:cstheme="minorHAnsi"/>
                      <w:b/>
                      <w:bCs/>
                      <w:sz w:val="22"/>
                      <w:szCs w:val="28"/>
                    </w:rPr>
                  </w:pPr>
                  <w:r w:rsidRPr="004907FA">
                    <w:rPr>
                      <w:rFonts w:cstheme="minorHAnsi"/>
                      <w:b/>
                      <w:bCs/>
                      <w:sz w:val="22"/>
                      <w:szCs w:val="28"/>
                    </w:rPr>
                    <w:t>2017</w:t>
                  </w:r>
                </w:p>
              </w:tc>
              <w:tc>
                <w:tcPr>
                  <w:tcW w:w="1056" w:type="dxa"/>
                  <w:shd w:val="clear" w:color="auto" w:fill="auto"/>
                </w:tcPr>
                <w:p w:rsidRPr="004907FA" w:rsidR="006B2EB3" w:rsidP="00597256" w:rsidRDefault="006B2EB3" w14:paraId="2C6C3899" w14:textId="77777777">
                  <w:pPr>
                    <w:rPr>
                      <w:rFonts w:cstheme="minorHAnsi"/>
                      <w:b/>
                      <w:bCs/>
                      <w:sz w:val="22"/>
                      <w:szCs w:val="28"/>
                    </w:rPr>
                  </w:pPr>
                  <w:r w:rsidRPr="004907FA">
                    <w:rPr>
                      <w:rFonts w:cstheme="minorHAnsi"/>
                      <w:b/>
                      <w:bCs/>
                      <w:sz w:val="22"/>
                      <w:szCs w:val="28"/>
                    </w:rPr>
                    <w:t>2018</w:t>
                  </w:r>
                </w:p>
              </w:tc>
              <w:tc>
                <w:tcPr>
                  <w:tcW w:w="1055" w:type="dxa"/>
                  <w:shd w:val="clear" w:color="auto" w:fill="auto"/>
                </w:tcPr>
                <w:p w:rsidRPr="004907FA" w:rsidR="006B2EB3" w:rsidP="00597256" w:rsidRDefault="006B2EB3" w14:paraId="4EC4221E" w14:textId="77777777">
                  <w:pPr>
                    <w:rPr>
                      <w:rFonts w:cstheme="minorHAnsi"/>
                      <w:b/>
                      <w:bCs/>
                      <w:sz w:val="22"/>
                      <w:szCs w:val="28"/>
                    </w:rPr>
                  </w:pPr>
                  <w:r w:rsidRPr="004907FA">
                    <w:rPr>
                      <w:rFonts w:cstheme="minorHAnsi"/>
                      <w:b/>
                      <w:bCs/>
                      <w:sz w:val="22"/>
                      <w:szCs w:val="28"/>
                    </w:rPr>
                    <w:t>2019</w:t>
                  </w:r>
                </w:p>
              </w:tc>
              <w:tc>
                <w:tcPr>
                  <w:tcW w:w="1056" w:type="dxa"/>
                  <w:shd w:val="clear" w:color="auto" w:fill="auto"/>
                </w:tcPr>
                <w:p w:rsidRPr="004907FA" w:rsidR="006B2EB3" w:rsidP="00597256" w:rsidRDefault="006B2EB3" w14:paraId="555DBF40" w14:textId="77777777">
                  <w:pPr>
                    <w:rPr>
                      <w:rFonts w:cstheme="minorHAnsi"/>
                      <w:b/>
                      <w:bCs/>
                      <w:sz w:val="22"/>
                      <w:szCs w:val="28"/>
                    </w:rPr>
                  </w:pPr>
                  <w:r w:rsidRPr="004907FA">
                    <w:rPr>
                      <w:rFonts w:cstheme="minorHAnsi"/>
                      <w:b/>
                      <w:bCs/>
                      <w:sz w:val="22"/>
                      <w:szCs w:val="28"/>
                    </w:rPr>
                    <w:t>2020</w:t>
                  </w:r>
                </w:p>
              </w:tc>
              <w:tc>
                <w:tcPr>
                  <w:tcW w:w="1055" w:type="dxa"/>
                  <w:tcBorders>
                    <w:right w:val="single" w:color="FFFFFF" w:themeColor="background1" w:sz="4" w:space="0"/>
                  </w:tcBorders>
                  <w:shd w:val="clear" w:color="auto" w:fill="auto"/>
                </w:tcPr>
                <w:p w:rsidRPr="004907FA" w:rsidR="006B2EB3" w:rsidP="00597256" w:rsidRDefault="006B2EB3" w14:paraId="087ED8BD" w14:textId="77777777">
                  <w:pPr>
                    <w:rPr>
                      <w:rFonts w:cstheme="minorHAnsi"/>
                      <w:b/>
                      <w:bCs/>
                      <w:sz w:val="22"/>
                      <w:szCs w:val="28"/>
                    </w:rPr>
                  </w:pPr>
                  <w:r w:rsidRPr="004907FA">
                    <w:rPr>
                      <w:rFonts w:cstheme="minorHAnsi"/>
                      <w:b/>
                      <w:bCs/>
                      <w:sz w:val="22"/>
                      <w:szCs w:val="28"/>
                    </w:rPr>
                    <w:t>2021</w:t>
                  </w:r>
                </w:p>
              </w:tc>
              <w:tc>
                <w:tcPr>
                  <w:tcW w:w="1056" w:type="dxa"/>
                  <w:tcBorders>
                    <w:left w:val="single" w:color="FFFFFF" w:themeColor="background1" w:sz="4" w:space="0"/>
                  </w:tcBorders>
                  <w:shd w:val="clear" w:color="auto" w:fill="auto"/>
                </w:tcPr>
                <w:p w:rsidRPr="00D2373A" w:rsidR="006B2EB3" w:rsidP="00597256" w:rsidRDefault="004907FA" w14:paraId="054D8003" w14:textId="69A38FC1">
                  <w:pPr>
                    <w:rPr>
                      <w:rFonts w:cstheme="minorHAnsi"/>
                    </w:rPr>
                  </w:pPr>
                  <w:r w:rsidRPr="00D2373A">
                    <w:rPr>
                      <w:rFonts w:cstheme="minorHAnsi"/>
                      <w:b/>
                      <w:bCs/>
                    </w:rPr>
                    <w:t>Totaal</w:t>
                  </w:r>
                </w:p>
              </w:tc>
            </w:tr>
            <w:tr w:rsidRPr="00D2373A" w:rsidR="00D2373A" w:rsidTr="004907FA" w14:paraId="6421A857" w14:textId="77777777">
              <w:tblPrEx>
                <w:tblCellMar>
                  <w:top w:w="0" w:type="dxa"/>
                  <w:bottom w:w="28" w:type="dxa"/>
                </w:tblCellMar>
              </w:tblPrEx>
              <w:trPr>
                <w:trHeight w:val="25"/>
              </w:trPr>
              <w:tc>
                <w:tcPr>
                  <w:tcW w:w="1055" w:type="dxa"/>
                  <w:shd w:val="clear" w:color="auto" w:fill="auto"/>
                </w:tcPr>
                <w:p w:rsidRPr="00D2373A" w:rsidR="006B2EB3" w:rsidP="00597256" w:rsidRDefault="006B2EB3" w14:paraId="45C9C49F"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Art. 1.1.</w:t>
                  </w:r>
                </w:p>
              </w:tc>
              <w:tc>
                <w:tcPr>
                  <w:tcW w:w="1055" w:type="dxa"/>
                  <w:shd w:val="clear" w:color="auto" w:fill="auto"/>
                </w:tcPr>
                <w:p w:rsidRPr="00D2373A" w:rsidR="006B2EB3" w:rsidP="00597256" w:rsidRDefault="006B2EB3" w14:paraId="6888DF5A" w14:textId="74AD5E8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w:t>
                  </w:r>
                  <w:r w:rsidRPr="00D2373A" w:rsidR="00EB0335">
                    <w:rPr>
                      <w:rFonts w:asciiTheme="minorHAnsi" w:hAnsiTheme="minorHAnsi" w:cstheme="minorHAnsi"/>
                      <w:color w:val="FFFFFF" w:themeColor="background1"/>
                      <w:sz w:val="20"/>
                    </w:rPr>
                    <w:t>5</w:t>
                  </w:r>
                  <w:r w:rsidRPr="00D2373A">
                    <w:rPr>
                      <w:rFonts w:asciiTheme="minorHAnsi" w:hAnsiTheme="minorHAnsi" w:cstheme="minorHAnsi"/>
                      <w:color w:val="FFFFFF" w:themeColor="background1"/>
                      <w:sz w:val="20"/>
                    </w:rPr>
                    <w:t>.937</w:t>
                  </w:r>
                </w:p>
              </w:tc>
              <w:tc>
                <w:tcPr>
                  <w:tcW w:w="1056" w:type="dxa"/>
                  <w:shd w:val="clear" w:color="auto" w:fill="auto"/>
                </w:tcPr>
                <w:p w:rsidRPr="00D2373A" w:rsidR="006B2EB3" w:rsidP="00597256" w:rsidRDefault="006B2EB3" w14:paraId="65ED667F"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54.569</w:t>
                  </w:r>
                </w:p>
              </w:tc>
              <w:tc>
                <w:tcPr>
                  <w:tcW w:w="1055" w:type="dxa"/>
                  <w:shd w:val="clear" w:color="auto" w:fill="auto"/>
                </w:tcPr>
                <w:p w:rsidRPr="00D2373A" w:rsidR="006B2EB3" w:rsidP="00597256" w:rsidRDefault="006B2EB3" w14:paraId="5F81F811"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57.086</w:t>
                  </w:r>
                </w:p>
              </w:tc>
              <w:tc>
                <w:tcPr>
                  <w:tcW w:w="1056" w:type="dxa"/>
                  <w:shd w:val="clear" w:color="auto" w:fill="auto"/>
                </w:tcPr>
                <w:p w:rsidRPr="00D2373A" w:rsidR="006B2EB3" w:rsidP="00597256" w:rsidRDefault="006B2EB3" w14:paraId="18168D87"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58.729</w:t>
                  </w:r>
                </w:p>
              </w:tc>
              <w:tc>
                <w:tcPr>
                  <w:tcW w:w="1055" w:type="dxa"/>
                  <w:shd w:val="clear" w:color="auto" w:fill="auto"/>
                </w:tcPr>
                <w:p w:rsidRPr="00D2373A" w:rsidR="006B2EB3" w:rsidP="00597256" w:rsidRDefault="006B2EB3" w14:paraId="3440365B" w14:textId="3B6BE018">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52.5</w:t>
                  </w:r>
                  <w:r w:rsidRPr="00D2373A" w:rsidR="00EB0335">
                    <w:rPr>
                      <w:rFonts w:asciiTheme="minorHAnsi" w:hAnsiTheme="minorHAnsi" w:cstheme="minorHAnsi"/>
                      <w:color w:val="FFFFFF" w:themeColor="background1"/>
                      <w:sz w:val="20"/>
                    </w:rPr>
                    <w:t>28</w:t>
                  </w:r>
                </w:p>
              </w:tc>
              <w:tc>
                <w:tcPr>
                  <w:tcW w:w="1056" w:type="dxa"/>
                  <w:shd w:val="clear" w:color="auto" w:fill="auto"/>
                </w:tcPr>
                <w:p w:rsidRPr="00D2373A" w:rsidR="006B2EB3" w:rsidP="00597256" w:rsidRDefault="006B2EB3" w14:paraId="1E721162"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49.795</w:t>
                  </w:r>
                </w:p>
              </w:tc>
              <w:tc>
                <w:tcPr>
                  <w:tcW w:w="1055" w:type="dxa"/>
                  <w:tcBorders>
                    <w:right w:val="single" w:color="FFFFFF" w:themeColor="background1" w:sz="4" w:space="0"/>
                  </w:tcBorders>
                  <w:shd w:val="clear" w:color="auto" w:fill="auto"/>
                </w:tcPr>
                <w:p w:rsidRPr="00D2373A" w:rsidR="006B2EB3" w:rsidP="00597256" w:rsidRDefault="006B2EB3" w14:paraId="1911ABA7"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50.345</w:t>
                  </w:r>
                </w:p>
              </w:tc>
              <w:tc>
                <w:tcPr>
                  <w:tcW w:w="1056" w:type="dxa"/>
                  <w:tcBorders>
                    <w:left w:val="single" w:color="FFFFFF" w:themeColor="background1" w:sz="4" w:space="0"/>
                  </w:tcBorders>
                  <w:shd w:val="clear" w:color="auto" w:fill="auto"/>
                </w:tcPr>
                <w:p w:rsidRPr="00D2373A" w:rsidR="006B2EB3" w:rsidP="00597256" w:rsidRDefault="006B2EB3" w14:paraId="55F2F158" w14:textId="552D71E0">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37</w:t>
                  </w:r>
                  <w:r w:rsidRPr="00D2373A" w:rsidR="00EB0335">
                    <w:rPr>
                      <w:rFonts w:asciiTheme="minorHAnsi" w:hAnsiTheme="minorHAnsi" w:cstheme="minorHAnsi"/>
                      <w:b/>
                      <w:bCs/>
                      <w:color w:val="FFFFFF" w:themeColor="background1"/>
                      <w:sz w:val="20"/>
                    </w:rPr>
                    <w:t>8</w:t>
                  </w:r>
                  <w:r w:rsidRPr="00D2373A">
                    <w:rPr>
                      <w:rFonts w:asciiTheme="minorHAnsi" w:hAnsiTheme="minorHAnsi" w:cstheme="minorHAnsi"/>
                      <w:b/>
                      <w:bCs/>
                      <w:color w:val="FFFFFF" w:themeColor="background1"/>
                      <w:sz w:val="20"/>
                    </w:rPr>
                    <w:t>.9</w:t>
                  </w:r>
                  <w:r w:rsidRPr="00D2373A" w:rsidR="00EB0335">
                    <w:rPr>
                      <w:rFonts w:asciiTheme="minorHAnsi" w:hAnsiTheme="minorHAnsi" w:cstheme="minorHAnsi"/>
                      <w:b/>
                      <w:bCs/>
                      <w:color w:val="FFFFFF" w:themeColor="background1"/>
                      <w:sz w:val="20"/>
                    </w:rPr>
                    <w:t>89</w:t>
                  </w:r>
                </w:p>
              </w:tc>
            </w:tr>
            <w:tr w:rsidRPr="00D2373A" w:rsidR="00D2373A" w:rsidTr="004907FA" w14:paraId="7FF6A04A" w14:textId="77777777">
              <w:tblPrEx>
                <w:tblCellMar>
                  <w:top w:w="0" w:type="dxa"/>
                  <w:bottom w:w="28" w:type="dxa"/>
                </w:tblCellMar>
              </w:tblPrEx>
              <w:trPr>
                <w:trHeight w:val="25"/>
              </w:trPr>
              <w:tc>
                <w:tcPr>
                  <w:tcW w:w="1055" w:type="dxa"/>
                  <w:shd w:val="clear" w:color="auto" w:fill="auto"/>
                </w:tcPr>
                <w:p w:rsidRPr="00D2373A" w:rsidR="006B2EB3" w:rsidP="00597256" w:rsidRDefault="006B2EB3" w14:paraId="0E6F57B5" w14:textId="77777777">
                  <w:pPr>
                    <w:rPr>
                      <w:rFonts w:asciiTheme="minorHAnsi" w:hAnsiTheme="minorHAnsi" w:cstheme="minorHAnsi"/>
                      <w:color w:val="FFFFFF" w:themeColor="background1"/>
                      <w:sz w:val="20"/>
                    </w:rPr>
                  </w:pPr>
                </w:p>
              </w:tc>
              <w:tc>
                <w:tcPr>
                  <w:tcW w:w="1055" w:type="dxa"/>
                  <w:shd w:val="clear" w:color="auto" w:fill="auto"/>
                </w:tcPr>
                <w:p w:rsidRPr="00D2373A" w:rsidR="006B2EB3" w:rsidP="00597256" w:rsidRDefault="006B2EB3" w14:paraId="60848083" w14:textId="77777777">
                  <w:pPr>
                    <w:rPr>
                      <w:rFonts w:asciiTheme="minorHAnsi" w:hAnsiTheme="minorHAnsi" w:cstheme="minorHAnsi"/>
                      <w:color w:val="FFFFFF" w:themeColor="background1"/>
                      <w:sz w:val="20"/>
                    </w:rPr>
                  </w:pPr>
                </w:p>
              </w:tc>
              <w:tc>
                <w:tcPr>
                  <w:tcW w:w="1056" w:type="dxa"/>
                  <w:shd w:val="clear" w:color="auto" w:fill="auto"/>
                </w:tcPr>
                <w:p w:rsidRPr="00D2373A" w:rsidR="006B2EB3" w:rsidP="00597256" w:rsidRDefault="006B2EB3" w14:paraId="5642FF8D" w14:textId="77777777">
                  <w:pPr>
                    <w:rPr>
                      <w:rFonts w:asciiTheme="minorHAnsi" w:hAnsiTheme="minorHAnsi" w:cstheme="minorHAnsi"/>
                      <w:color w:val="FFFFFF" w:themeColor="background1"/>
                      <w:sz w:val="20"/>
                    </w:rPr>
                  </w:pPr>
                </w:p>
              </w:tc>
              <w:tc>
                <w:tcPr>
                  <w:tcW w:w="1055" w:type="dxa"/>
                  <w:shd w:val="clear" w:color="auto" w:fill="auto"/>
                </w:tcPr>
                <w:p w:rsidRPr="00D2373A" w:rsidR="006B2EB3" w:rsidP="00597256" w:rsidRDefault="006B2EB3" w14:paraId="63529585" w14:textId="77777777">
                  <w:pPr>
                    <w:rPr>
                      <w:rFonts w:asciiTheme="minorHAnsi" w:hAnsiTheme="minorHAnsi" w:cstheme="minorHAnsi"/>
                      <w:color w:val="FFFFFF" w:themeColor="background1"/>
                      <w:sz w:val="20"/>
                    </w:rPr>
                  </w:pPr>
                </w:p>
              </w:tc>
              <w:tc>
                <w:tcPr>
                  <w:tcW w:w="1056" w:type="dxa"/>
                  <w:shd w:val="clear" w:color="auto" w:fill="auto"/>
                </w:tcPr>
                <w:p w:rsidRPr="00D2373A" w:rsidR="006B2EB3" w:rsidP="00597256" w:rsidRDefault="006B2EB3" w14:paraId="723EEC3A" w14:textId="77777777">
                  <w:pPr>
                    <w:rPr>
                      <w:rFonts w:asciiTheme="minorHAnsi" w:hAnsiTheme="minorHAnsi" w:cstheme="minorHAnsi"/>
                      <w:color w:val="FFFFFF" w:themeColor="background1"/>
                      <w:sz w:val="20"/>
                    </w:rPr>
                  </w:pPr>
                </w:p>
              </w:tc>
              <w:tc>
                <w:tcPr>
                  <w:tcW w:w="1055" w:type="dxa"/>
                  <w:shd w:val="clear" w:color="auto" w:fill="auto"/>
                </w:tcPr>
                <w:p w:rsidRPr="00D2373A" w:rsidR="006B2EB3" w:rsidP="00597256" w:rsidRDefault="006B2EB3" w14:paraId="72F94FE6" w14:textId="77777777">
                  <w:pPr>
                    <w:rPr>
                      <w:rFonts w:asciiTheme="minorHAnsi" w:hAnsiTheme="minorHAnsi" w:cstheme="minorHAnsi"/>
                      <w:color w:val="FFFFFF" w:themeColor="background1"/>
                      <w:sz w:val="20"/>
                    </w:rPr>
                  </w:pPr>
                </w:p>
              </w:tc>
              <w:tc>
                <w:tcPr>
                  <w:tcW w:w="1056" w:type="dxa"/>
                  <w:shd w:val="clear" w:color="auto" w:fill="auto"/>
                </w:tcPr>
                <w:p w:rsidRPr="00D2373A" w:rsidR="006B2EB3" w:rsidP="00597256" w:rsidRDefault="006B2EB3" w14:paraId="617B1ADF" w14:textId="77777777">
                  <w:pPr>
                    <w:rPr>
                      <w:rFonts w:asciiTheme="minorHAnsi" w:hAnsiTheme="minorHAnsi" w:cstheme="minorHAnsi"/>
                      <w:color w:val="FFFFFF" w:themeColor="background1"/>
                      <w:sz w:val="20"/>
                    </w:rPr>
                  </w:pPr>
                </w:p>
              </w:tc>
              <w:tc>
                <w:tcPr>
                  <w:tcW w:w="1055" w:type="dxa"/>
                  <w:tcBorders>
                    <w:right w:val="single" w:color="FFFFFF" w:themeColor="background1" w:sz="4" w:space="0"/>
                  </w:tcBorders>
                  <w:shd w:val="clear" w:color="auto" w:fill="auto"/>
                </w:tcPr>
                <w:p w:rsidRPr="00D2373A" w:rsidR="006B2EB3" w:rsidP="00597256" w:rsidRDefault="006B2EB3" w14:paraId="4AC2C1A4" w14:textId="77777777">
                  <w:pPr>
                    <w:rPr>
                      <w:rFonts w:asciiTheme="minorHAnsi" w:hAnsiTheme="minorHAnsi" w:cstheme="minorHAnsi"/>
                      <w:color w:val="FFFFFF" w:themeColor="background1"/>
                      <w:sz w:val="20"/>
                    </w:rPr>
                  </w:pPr>
                </w:p>
              </w:tc>
              <w:tc>
                <w:tcPr>
                  <w:tcW w:w="1056" w:type="dxa"/>
                  <w:tcBorders>
                    <w:left w:val="single" w:color="FFFFFF" w:themeColor="background1" w:sz="4" w:space="0"/>
                  </w:tcBorders>
                  <w:shd w:val="clear" w:color="auto" w:fill="auto"/>
                </w:tcPr>
                <w:p w:rsidRPr="00D2373A" w:rsidR="006B2EB3" w:rsidP="00597256" w:rsidRDefault="006B2EB3" w14:paraId="2C8B883F" w14:textId="77777777">
                  <w:pPr>
                    <w:rPr>
                      <w:rFonts w:asciiTheme="minorHAnsi" w:hAnsiTheme="minorHAnsi" w:cstheme="minorHAnsi"/>
                      <w:b/>
                      <w:bCs/>
                      <w:color w:val="FFFFFF" w:themeColor="background1"/>
                      <w:sz w:val="20"/>
                    </w:rPr>
                  </w:pPr>
                </w:p>
              </w:tc>
            </w:tr>
            <w:tr w:rsidRPr="00D2373A" w:rsidR="00D2373A" w:rsidTr="004907FA" w14:paraId="7477AB19" w14:textId="77777777">
              <w:tblPrEx>
                <w:tblCellMar>
                  <w:top w:w="0" w:type="dxa"/>
                  <w:bottom w:w="28" w:type="dxa"/>
                </w:tblCellMar>
              </w:tblPrEx>
              <w:trPr>
                <w:trHeight w:val="25"/>
              </w:trPr>
              <w:tc>
                <w:tcPr>
                  <w:tcW w:w="1055" w:type="dxa"/>
                  <w:shd w:val="clear" w:color="auto" w:fill="auto"/>
                </w:tcPr>
                <w:p w:rsidRPr="00D2373A" w:rsidR="006B2EB3" w:rsidP="00597256" w:rsidRDefault="006B2EB3" w14:paraId="7A43F69B"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Art. 1.2.</w:t>
                  </w:r>
                </w:p>
              </w:tc>
              <w:tc>
                <w:tcPr>
                  <w:tcW w:w="1055" w:type="dxa"/>
                  <w:shd w:val="clear" w:color="auto" w:fill="auto"/>
                </w:tcPr>
                <w:p w:rsidRPr="00D2373A" w:rsidR="006B2EB3" w:rsidP="00597256" w:rsidRDefault="006B2EB3" w14:paraId="1C5892D2"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61.411</w:t>
                  </w:r>
                </w:p>
              </w:tc>
              <w:tc>
                <w:tcPr>
                  <w:tcW w:w="1056" w:type="dxa"/>
                  <w:shd w:val="clear" w:color="auto" w:fill="auto"/>
                </w:tcPr>
                <w:p w:rsidRPr="00D2373A" w:rsidR="006B2EB3" w:rsidP="00597256" w:rsidRDefault="006B2EB3" w14:paraId="0D05352B"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56.242</w:t>
                  </w:r>
                </w:p>
              </w:tc>
              <w:tc>
                <w:tcPr>
                  <w:tcW w:w="1055" w:type="dxa"/>
                  <w:shd w:val="clear" w:color="auto" w:fill="auto"/>
                </w:tcPr>
                <w:p w:rsidRPr="00D2373A" w:rsidR="006B2EB3" w:rsidP="00597256" w:rsidRDefault="006B2EB3" w14:paraId="1BD572E9"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57.733</w:t>
                  </w:r>
                </w:p>
              </w:tc>
              <w:tc>
                <w:tcPr>
                  <w:tcW w:w="1056" w:type="dxa"/>
                  <w:shd w:val="clear" w:color="auto" w:fill="auto"/>
                </w:tcPr>
                <w:p w:rsidRPr="00D2373A" w:rsidR="006B2EB3" w:rsidP="00597256" w:rsidRDefault="006B2EB3" w14:paraId="66A628A3"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61.450</w:t>
                  </w:r>
                </w:p>
              </w:tc>
              <w:tc>
                <w:tcPr>
                  <w:tcW w:w="1055" w:type="dxa"/>
                  <w:shd w:val="clear" w:color="auto" w:fill="auto"/>
                </w:tcPr>
                <w:p w:rsidRPr="00D2373A" w:rsidR="006B2EB3" w:rsidP="00597256" w:rsidRDefault="006B2EB3" w14:paraId="0F71E6CF"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66.151</w:t>
                  </w:r>
                </w:p>
              </w:tc>
              <w:tc>
                <w:tcPr>
                  <w:tcW w:w="1056" w:type="dxa"/>
                  <w:shd w:val="clear" w:color="auto" w:fill="auto"/>
                </w:tcPr>
                <w:p w:rsidRPr="00D2373A" w:rsidR="006B2EB3" w:rsidP="00597256" w:rsidRDefault="006B2EB3" w14:paraId="1FB054C4"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68.526</w:t>
                  </w:r>
                </w:p>
              </w:tc>
              <w:tc>
                <w:tcPr>
                  <w:tcW w:w="1055" w:type="dxa"/>
                  <w:tcBorders>
                    <w:right w:val="single" w:color="FFFFFF" w:themeColor="background1" w:sz="4" w:space="0"/>
                  </w:tcBorders>
                  <w:shd w:val="clear" w:color="auto" w:fill="auto"/>
                </w:tcPr>
                <w:p w:rsidRPr="00D2373A" w:rsidR="006B2EB3" w:rsidP="00597256" w:rsidRDefault="006B2EB3" w14:paraId="4AB09435" w14:textId="77777777">
                  <w:pPr>
                    <w:rPr>
                      <w:rFonts w:asciiTheme="minorHAnsi" w:hAnsiTheme="minorHAnsi" w:cstheme="minorHAnsi"/>
                      <w:color w:val="FFFFFF" w:themeColor="background1"/>
                      <w:sz w:val="20"/>
                    </w:rPr>
                  </w:pPr>
                  <w:r w:rsidRPr="00D2373A">
                    <w:rPr>
                      <w:rFonts w:asciiTheme="minorHAnsi" w:hAnsiTheme="minorHAnsi" w:cstheme="minorHAnsi"/>
                      <w:color w:val="FFFFFF" w:themeColor="background1"/>
                      <w:sz w:val="20"/>
                    </w:rPr>
                    <w:t>63.502</w:t>
                  </w:r>
                </w:p>
              </w:tc>
              <w:tc>
                <w:tcPr>
                  <w:tcW w:w="1056" w:type="dxa"/>
                  <w:tcBorders>
                    <w:left w:val="single" w:color="FFFFFF" w:themeColor="background1" w:sz="4" w:space="0"/>
                  </w:tcBorders>
                  <w:shd w:val="clear" w:color="auto" w:fill="auto"/>
                </w:tcPr>
                <w:p w:rsidRPr="00D2373A" w:rsidR="006B2EB3" w:rsidP="00597256" w:rsidRDefault="006B2EB3" w14:paraId="73328726" w14:textId="5B9AEF22">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373.555</w:t>
                  </w:r>
                </w:p>
              </w:tc>
            </w:tr>
            <w:tr w:rsidRPr="00D2373A" w:rsidR="00D2373A" w:rsidTr="004907FA" w14:paraId="3FCC9E43" w14:textId="77777777">
              <w:tblPrEx>
                <w:tblCellMar>
                  <w:top w:w="0" w:type="dxa"/>
                  <w:bottom w:w="28" w:type="dxa"/>
                </w:tblCellMar>
              </w:tblPrEx>
              <w:trPr>
                <w:trHeight w:val="25"/>
              </w:trPr>
              <w:tc>
                <w:tcPr>
                  <w:tcW w:w="1055" w:type="dxa"/>
                  <w:tcBorders>
                    <w:bottom w:val="single" w:color="FFFFFF" w:themeColor="background1" w:sz="4" w:space="0"/>
                  </w:tcBorders>
                  <w:shd w:val="clear" w:color="auto" w:fill="auto"/>
                </w:tcPr>
                <w:p w:rsidRPr="00D2373A" w:rsidR="006B2EB3" w:rsidP="00597256" w:rsidRDefault="006B2EB3" w14:paraId="2DEBC64F" w14:textId="77777777">
                  <w:pPr>
                    <w:rPr>
                      <w:rFonts w:asciiTheme="minorHAnsi" w:hAnsiTheme="minorHAnsi" w:cstheme="minorHAnsi"/>
                      <w:color w:val="FFFFFF" w:themeColor="background1"/>
                      <w:sz w:val="20"/>
                    </w:rPr>
                  </w:pPr>
                </w:p>
              </w:tc>
              <w:tc>
                <w:tcPr>
                  <w:tcW w:w="1055" w:type="dxa"/>
                  <w:tcBorders>
                    <w:bottom w:val="single" w:color="FFFFFF" w:themeColor="background1" w:sz="4" w:space="0"/>
                  </w:tcBorders>
                  <w:shd w:val="clear" w:color="auto" w:fill="auto"/>
                </w:tcPr>
                <w:p w:rsidRPr="00D2373A" w:rsidR="006B2EB3" w:rsidP="00597256" w:rsidRDefault="006B2EB3" w14:paraId="492391A6" w14:textId="77777777">
                  <w:pPr>
                    <w:rPr>
                      <w:rFonts w:asciiTheme="minorHAnsi" w:hAnsiTheme="minorHAnsi" w:cstheme="minorHAnsi"/>
                      <w:color w:val="FFFFFF" w:themeColor="background1"/>
                      <w:sz w:val="20"/>
                    </w:rPr>
                  </w:pPr>
                </w:p>
              </w:tc>
              <w:tc>
                <w:tcPr>
                  <w:tcW w:w="1056" w:type="dxa"/>
                  <w:tcBorders>
                    <w:bottom w:val="single" w:color="FFFFFF" w:themeColor="background1" w:sz="4" w:space="0"/>
                  </w:tcBorders>
                  <w:shd w:val="clear" w:color="auto" w:fill="auto"/>
                </w:tcPr>
                <w:p w:rsidRPr="00D2373A" w:rsidR="006B2EB3" w:rsidP="00597256" w:rsidRDefault="006B2EB3" w14:paraId="74977C0C" w14:textId="77777777">
                  <w:pPr>
                    <w:rPr>
                      <w:rFonts w:asciiTheme="minorHAnsi" w:hAnsiTheme="minorHAnsi" w:cstheme="minorHAnsi"/>
                      <w:color w:val="FFFFFF" w:themeColor="background1"/>
                      <w:sz w:val="20"/>
                    </w:rPr>
                  </w:pPr>
                </w:p>
              </w:tc>
              <w:tc>
                <w:tcPr>
                  <w:tcW w:w="1055" w:type="dxa"/>
                  <w:tcBorders>
                    <w:bottom w:val="single" w:color="FFFFFF" w:themeColor="background1" w:sz="4" w:space="0"/>
                  </w:tcBorders>
                  <w:shd w:val="clear" w:color="auto" w:fill="auto"/>
                </w:tcPr>
                <w:p w:rsidRPr="00D2373A" w:rsidR="006B2EB3" w:rsidP="00597256" w:rsidRDefault="006B2EB3" w14:paraId="727EC407" w14:textId="77777777">
                  <w:pPr>
                    <w:rPr>
                      <w:rFonts w:asciiTheme="minorHAnsi" w:hAnsiTheme="minorHAnsi" w:cstheme="minorHAnsi"/>
                      <w:color w:val="FFFFFF" w:themeColor="background1"/>
                      <w:sz w:val="20"/>
                    </w:rPr>
                  </w:pPr>
                </w:p>
              </w:tc>
              <w:tc>
                <w:tcPr>
                  <w:tcW w:w="1056" w:type="dxa"/>
                  <w:tcBorders>
                    <w:bottom w:val="single" w:color="FFFFFF" w:themeColor="background1" w:sz="4" w:space="0"/>
                  </w:tcBorders>
                  <w:shd w:val="clear" w:color="auto" w:fill="auto"/>
                </w:tcPr>
                <w:p w:rsidRPr="00D2373A" w:rsidR="006B2EB3" w:rsidP="00597256" w:rsidRDefault="006B2EB3" w14:paraId="04334180" w14:textId="77777777">
                  <w:pPr>
                    <w:rPr>
                      <w:rFonts w:asciiTheme="minorHAnsi" w:hAnsiTheme="minorHAnsi" w:cstheme="minorHAnsi"/>
                      <w:color w:val="FFFFFF" w:themeColor="background1"/>
                      <w:sz w:val="20"/>
                    </w:rPr>
                  </w:pPr>
                </w:p>
              </w:tc>
              <w:tc>
                <w:tcPr>
                  <w:tcW w:w="1055" w:type="dxa"/>
                  <w:tcBorders>
                    <w:bottom w:val="single" w:color="FFFFFF" w:themeColor="background1" w:sz="4" w:space="0"/>
                  </w:tcBorders>
                  <w:shd w:val="clear" w:color="auto" w:fill="auto"/>
                </w:tcPr>
                <w:p w:rsidRPr="00D2373A" w:rsidR="006B2EB3" w:rsidP="00597256" w:rsidRDefault="006B2EB3" w14:paraId="3D646FD7" w14:textId="77777777">
                  <w:pPr>
                    <w:rPr>
                      <w:rFonts w:asciiTheme="minorHAnsi" w:hAnsiTheme="minorHAnsi" w:cstheme="minorHAnsi"/>
                      <w:color w:val="FFFFFF" w:themeColor="background1"/>
                      <w:sz w:val="20"/>
                    </w:rPr>
                  </w:pPr>
                </w:p>
              </w:tc>
              <w:tc>
                <w:tcPr>
                  <w:tcW w:w="1056" w:type="dxa"/>
                  <w:tcBorders>
                    <w:bottom w:val="single" w:color="FFFFFF" w:themeColor="background1" w:sz="4" w:space="0"/>
                  </w:tcBorders>
                  <w:shd w:val="clear" w:color="auto" w:fill="auto"/>
                </w:tcPr>
                <w:p w:rsidRPr="00D2373A" w:rsidR="006B2EB3" w:rsidP="00597256" w:rsidRDefault="006B2EB3" w14:paraId="5123689E" w14:textId="77777777">
                  <w:pPr>
                    <w:rPr>
                      <w:rFonts w:asciiTheme="minorHAnsi" w:hAnsiTheme="minorHAnsi" w:cstheme="minorHAnsi"/>
                      <w:color w:val="FFFFFF" w:themeColor="background1"/>
                      <w:sz w:val="20"/>
                    </w:rPr>
                  </w:pPr>
                </w:p>
              </w:tc>
              <w:tc>
                <w:tcPr>
                  <w:tcW w:w="1055" w:type="dxa"/>
                  <w:tcBorders>
                    <w:bottom w:val="single" w:color="FFFFFF" w:themeColor="background1" w:sz="4" w:space="0"/>
                    <w:right w:val="single" w:color="FFFFFF" w:themeColor="background1" w:sz="4" w:space="0"/>
                  </w:tcBorders>
                  <w:shd w:val="clear" w:color="auto" w:fill="auto"/>
                </w:tcPr>
                <w:p w:rsidRPr="00D2373A" w:rsidR="006B2EB3" w:rsidP="00597256" w:rsidRDefault="006B2EB3" w14:paraId="5671433F" w14:textId="77777777">
                  <w:pPr>
                    <w:rPr>
                      <w:rFonts w:asciiTheme="minorHAnsi" w:hAnsiTheme="minorHAnsi" w:cstheme="minorHAnsi"/>
                      <w:color w:val="FFFFFF" w:themeColor="background1"/>
                      <w:sz w:val="20"/>
                    </w:rPr>
                  </w:pPr>
                </w:p>
              </w:tc>
              <w:tc>
                <w:tcPr>
                  <w:tcW w:w="1056" w:type="dxa"/>
                  <w:tcBorders>
                    <w:left w:val="single" w:color="FFFFFF" w:themeColor="background1" w:sz="4" w:space="0"/>
                    <w:bottom w:val="single" w:color="FFFFFF" w:themeColor="background1" w:sz="4" w:space="0"/>
                  </w:tcBorders>
                  <w:shd w:val="clear" w:color="auto" w:fill="auto"/>
                </w:tcPr>
                <w:p w:rsidRPr="00D2373A" w:rsidR="006B2EB3" w:rsidP="00597256" w:rsidRDefault="006B2EB3" w14:paraId="522DBD86" w14:textId="77777777">
                  <w:pPr>
                    <w:rPr>
                      <w:rFonts w:asciiTheme="minorHAnsi" w:hAnsiTheme="minorHAnsi" w:cstheme="minorHAnsi"/>
                      <w:color w:val="FFFFFF" w:themeColor="background1"/>
                      <w:sz w:val="20"/>
                    </w:rPr>
                  </w:pPr>
                </w:p>
              </w:tc>
            </w:tr>
            <w:tr w:rsidRPr="00D2373A" w:rsidR="00D2373A" w:rsidTr="004907FA" w14:paraId="0D65F9F2" w14:textId="77777777">
              <w:tblPrEx>
                <w:tblCellMar>
                  <w:top w:w="0" w:type="dxa"/>
                  <w:bottom w:w="28" w:type="dxa"/>
                </w:tblCellMar>
              </w:tblPrEx>
              <w:trPr>
                <w:trHeight w:val="25"/>
              </w:trPr>
              <w:tc>
                <w:tcPr>
                  <w:tcW w:w="1055" w:type="dxa"/>
                  <w:tcBorders>
                    <w:top w:val="single" w:color="FFFFFF" w:themeColor="background1" w:sz="4" w:space="0"/>
                  </w:tcBorders>
                  <w:shd w:val="clear" w:color="auto" w:fill="auto"/>
                </w:tcPr>
                <w:p w:rsidRPr="00D2373A" w:rsidR="006B2EB3" w:rsidP="00597256" w:rsidRDefault="004907FA" w14:paraId="27E04F5A" w14:textId="4DFD41CA">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T</w:t>
                  </w:r>
                  <w:r>
                    <w:rPr>
                      <w:rFonts w:asciiTheme="minorHAnsi" w:hAnsiTheme="minorHAnsi" w:cstheme="minorHAnsi"/>
                      <w:b/>
                      <w:bCs/>
                      <w:color w:val="FFFFFF" w:themeColor="background1"/>
                      <w:sz w:val="20"/>
                    </w:rPr>
                    <w:t>OTAAL</w:t>
                  </w:r>
                </w:p>
              </w:tc>
              <w:tc>
                <w:tcPr>
                  <w:tcW w:w="1055" w:type="dxa"/>
                  <w:tcBorders>
                    <w:top w:val="single" w:color="FFFFFF" w:themeColor="background1" w:sz="4" w:space="0"/>
                  </w:tcBorders>
                  <w:shd w:val="clear" w:color="auto" w:fill="auto"/>
                </w:tcPr>
                <w:p w:rsidRPr="00D2373A" w:rsidR="006B2EB3" w:rsidP="006B2EB3" w:rsidRDefault="006B2EB3" w14:paraId="6350EF75" w14:textId="22BFD06E">
                  <w:pPr>
                    <w:ind w:left="-136" w:firstLine="136"/>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w:t>
                  </w:r>
                  <w:r w:rsidRPr="00D2373A" w:rsidR="00EB0335">
                    <w:rPr>
                      <w:rFonts w:asciiTheme="minorHAnsi" w:hAnsiTheme="minorHAnsi" w:cstheme="minorHAnsi"/>
                      <w:b/>
                      <w:bCs/>
                      <w:color w:val="FFFFFF" w:themeColor="background1"/>
                      <w:sz w:val="20"/>
                    </w:rPr>
                    <w:t>7</w:t>
                  </w:r>
                  <w:r w:rsidRPr="00D2373A">
                    <w:rPr>
                      <w:rFonts w:asciiTheme="minorHAnsi" w:hAnsiTheme="minorHAnsi" w:cstheme="minorHAnsi"/>
                      <w:b/>
                      <w:bCs/>
                      <w:color w:val="FFFFFF" w:themeColor="background1"/>
                      <w:sz w:val="20"/>
                    </w:rPr>
                    <w:t>.348</w:t>
                  </w:r>
                </w:p>
              </w:tc>
              <w:tc>
                <w:tcPr>
                  <w:tcW w:w="1056" w:type="dxa"/>
                  <w:tcBorders>
                    <w:top w:val="single" w:color="FFFFFF" w:themeColor="background1" w:sz="4" w:space="0"/>
                  </w:tcBorders>
                  <w:shd w:val="clear" w:color="auto" w:fill="auto"/>
                </w:tcPr>
                <w:p w:rsidRPr="00D2373A" w:rsidR="006B2EB3" w:rsidP="00597256" w:rsidRDefault="006B2EB3" w14:paraId="32FF4B73" w14:textId="420771E3">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110.811</w:t>
                  </w:r>
                </w:p>
              </w:tc>
              <w:tc>
                <w:tcPr>
                  <w:tcW w:w="1055" w:type="dxa"/>
                  <w:tcBorders>
                    <w:top w:val="single" w:color="FFFFFF" w:themeColor="background1" w:sz="4" w:space="0"/>
                  </w:tcBorders>
                  <w:shd w:val="clear" w:color="auto" w:fill="auto"/>
                </w:tcPr>
                <w:p w:rsidRPr="00D2373A" w:rsidR="006B2EB3" w:rsidP="00597256" w:rsidRDefault="006B2EB3" w14:paraId="06FE3C7E" w14:textId="123E84B4">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114.819</w:t>
                  </w:r>
                </w:p>
              </w:tc>
              <w:tc>
                <w:tcPr>
                  <w:tcW w:w="1056" w:type="dxa"/>
                  <w:tcBorders>
                    <w:top w:val="single" w:color="FFFFFF" w:themeColor="background1" w:sz="4" w:space="0"/>
                  </w:tcBorders>
                  <w:shd w:val="clear" w:color="auto" w:fill="auto"/>
                </w:tcPr>
                <w:p w:rsidRPr="00D2373A" w:rsidR="006B2EB3" w:rsidP="00597256" w:rsidRDefault="006B2EB3" w14:paraId="62636CB6" w14:textId="56524C29">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120.179</w:t>
                  </w:r>
                </w:p>
              </w:tc>
              <w:tc>
                <w:tcPr>
                  <w:tcW w:w="1055" w:type="dxa"/>
                  <w:tcBorders>
                    <w:top w:val="single" w:color="FFFFFF" w:themeColor="background1" w:sz="4" w:space="0"/>
                  </w:tcBorders>
                  <w:shd w:val="clear" w:color="auto" w:fill="auto"/>
                </w:tcPr>
                <w:p w:rsidRPr="00D2373A" w:rsidR="006B2EB3" w:rsidP="00597256" w:rsidRDefault="006B2EB3" w14:paraId="1B4E7223" w14:textId="7DAC23DB">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118.6</w:t>
                  </w:r>
                  <w:r w:rsidRPr="00D2373A" w:rsidR="00EB0335">
                    <w:rPr>
                      <w:rFonts w:asciiTheme="minorHAnsi" w:hAnsiTheme="minorHAnsi" w:cstheme="minorHAnsi"/>
                      <w:b/>
                      <w:bCs/>
                      <w:color w:val="FFFFFF" w:themeColor="background1"/>
                      <w:sz w:val="20"/>
                    </w:rPr>
                    <w:t>79</w:t>
                  </w:r>
                </w:p>
              </w:tc>
              <w:tc>
                <w:tcPr>
                  <w:tcW w:w="1056" w:type="dxa"/>
                  <w:tcBorders>
                    <w:top w:val="single" w:color="FFFFFF" w:themeColor="background1" w:sz="4" w:space="0"/>
                  </w:tcBorders>
                  <w:shd w:val="clear" w:color="auto" w:fill="auto"/>
                </w:tcPr>
                <w:p w:rsidRPr="00D2373A" w:rsidR="006B2EB3" w:rsidP="00597256" w:rsidRDefault="006B2EB3" w14:paraId="2B7D7166" w14:textId="5A821E1A">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118.321</w:t>
                  </w:r>
                </w:p>
              </w:tc>
              <w:tc>
                <w:tcPr>
                  <w:tcW w:w="1055" w:type="dxa"/>
                  <w:tcBorders>
                    <w:top w:val="single" w:color="FFFFFF" w:themeColor="background1" w:sz="4" w:space="0"/>
                    <w:right w:val="single" w:color="FFFFFF" w:themeColor="background1" w:sz="4" w:space="0"/>
                  </w:tcBorders>
                  <w:shd w:val="clear" w:color="auto" w:fill="auto"/>
                </w:tcPr>
                <w:p w:rsidRPr="00D2373A" w:rsidR="006B2EB3" w:rsidP="00597256" w:rsidRDefault="006B2EB3" w14:paraId="067410E1" w14:textId="70778070">
                  <w:pPr>
                    <w:rPr>
                      <w:rFonts w:asciiTheme="minorHAnsi" w:hAnsiTheme="minorHAnsi" w:cstheme="minorHAnsi"/>
                      <w:b/>
                      <w:bCs/>
                      <w:color w:val="FFFFFF" w:themeColor="background1"/>
                      <w:sz w:val="20"/>
                    </w:rPr>
                  </w:pPr>
                  <w:r w:rsidRPr="00D2373A">
                    <w:rPr>
                      <w:rFonts w:asciiTheme="minorHAnsi" w:hAnsiTheme="minorHAnsi" w:cstheme="minorHAnsi"/>
                      <w:b/>
                      <w:bCs/>
                      <w:color w:val="FFFFFF" w:themeColor="background1"/>
                      <w:sz w:val="20"/>
                    </w:rPr>
                    <w:t>113.847</w:t>
                  </w:r>
                </w:p>
              </w:tc>
              <w:tc>
                <w:tcPr>
                  <w:tcW w:w="1056" w:type="dxa"/>
                  <w:tcBorders>
                    <w:top w:val="single" w:color="FFFFFF" w:themeColor="background1" w:sz="4" w:space="0"/>
                    <w:left w:val="single" w:color="FFFFFF" w:themeColor="background1" w:sz="4" w:space="0"/>
                  </w:tcBorders>
                  <w:shd w:val="clear" w:color="auto" w:fill="auto"/>
                </w:tcPr>
                <w:p w:rsidRPr="00D2373A" w:rsidR="006B2EB3" w:rsidP="00597256" w:rsidRDefault="006B2EB3" w14:paraId="2DB82B68" w14:textId="071CFDD6">
                  <w:pPr>
                    <w:rPr>
                      <w:rFonts w:asciiTheme="minorHAnsi" w:hAnsiTheme="minorHAnsi" w:cstheme="minorHAnsi"/>
                      <w:b/>
                      <w:bCs/>
                      <w:color w:val="FFFFFF" w:themeColor="background1"/>
                      <w:sz w:val="20"/>
                    </w:rPr>
                  </w:pPr>
                </w:p>
              </w:tc>
            </w:tr>
          </w:tbl>
          <w:p w:rsidRPr="00D2373A" w:rsidR="006B2EB3" w:rsidP="00597256" w:rsidRDefault="006B2EB3" w14:paraId="537840E4" w14:textId="77777777">
            <w:pPr>
              <w:rPr>
                <w:sz w:val="16"/>
                <w:szCs w:val="20"/>
                <w:lang w:val="fr-FR"/>
              </w:rPr>
            </w:pPr>
          </w:p>
        </w:tc>
      </w:tr>
    </w:tbl>
    <w:p w:rsidR="0054633B" w:rsidP="003C668D" w:rsidRDefault="0054633B" w14:paraId="3C0925AA" w14:textId="77777777">
      <w:pPr>
        <w:tabs>
          <w:tab w:val="left" w:pos="714"/>
        </w:tabs>
        <w:spacing w:after="0"/>
        <w:jc w:val="both"/>
      </w:pPr>
    </w:p>
    <w:p w:rsidR="008716E4" w:rsidP="003C668D" w:rsidRDefault="00262286" w14:paraId="02E2FBC4" w14:textId="6A275758">
      <w:pPr>
        <w:tabs>
          <w:tab w:val="left" w:pos="714"/>
        </w:tabs>
        <w:spacing w:after="0"/>
        <w:jc w:val="both"/>
      </w:pPr>
      <w:r>
        <w:t>De evaluaties besteedden aandacht het Mensenrechtenfonds en de steun aan diverse internationale initiatieven gericht op</w:t>
      </w:r>
      <w:r w:rsidRPr="002740DD">
        <w:t xml:space="preserve"> het vergaren en documenteren van bewijs over internationale </w:t>
      </w:r>
      <w:r>
        <w:t>mensenrechtenschendingen in conflictgebieden.</w:t>
      </w:r>
      <w:r w:rsidRPr="002740DD">
        <w:t xml:space="preserve"> </w:t>
      </w:r>
      <w:r w:rsidR="00E55863">
        <w:t xml:space="preserve">In aanvulling op </w:t>
      </w:r>
      <w:r>
        <w:t>deze</w:t>
      </w:r>
      <w:r w:rsidR="00E55863">
        <w:t xml:space="preserve"> financiële inzet leverde </w:t>
      </w:r>
      <w:r w:rsidRPr="00E55863" w:rsidR="00E55863">
        <w:t xml:space="preserve">de begroting voor ontwikkelingssamenwerking (OS) een aanzienlijke bijdrage aan </w:t>
      </w:r>
      <w:r w:rsidR="00E55863">
        <w:t>de uitvoering het mensenrechtenbeleid.</w:t>
      </w:r>
      <w:r w:rsidR="00314EF9">
        <w:rPr>
          <w:rStyle w:val="FootnoteReference"/>
        </w:rPr>
        <w:footnoteReference w:id="22"/>
      </w:r>
      <w:r w:rsidR="00E55863">
        <w:t xml:space="preserve"> IOB heeft deze fondsen niet inhoudelijk beoordeeld. Wel is onderzoek gedaan naar de mate van overlap tussen verschillende fondsen en de invloed die dit had op de </w:t>
      </w:r>
      <w:r w:rsidRPr="00E55863" w:rsidR="00E55863">
        <w:t>efficiënt</w:t>
      </w:r>
      <w:r w:rsidR="00E55863">
        <w:t>i</w:t>
      </w:r>
      <w:r w:rsidRPr="00E55863" w:rsidR="00E55863">
        <w:t xml:space="preserve">e </w:t>
      </w:r>
      <w:r w:rsidR="00E55863">
        <w:t xml:space="preserve">van de </w:t>
      </w:r>
      <w:r w:rsidRPr="00E55863" w:rsidR="00E55863">
        <w:t>in</w:t>
      </w:r>
      <w:r w:rsidR="00E55863">
        <w:t>ge</w:t>
      </w:r>
      <w:r w:rsidRPr="00E55863" w:rsidR="00E55863">
        <w:t>zet</w:t>
      </w:r>
      <w:r w:rsidR="00E55863">
        <w:t>te</w:t>
      </w:r>
      <w:r w:rsidRPr="00E55863" w:rsidR="00E55863">
        <w:t xml:space="preserve"> financiële middelen</w:t>
      </w:r>
      <w:r w:rsidR="00E55863">
        <w:t>.</w:t>
      </w:r>
      <w:r w:rsidR="008716E4">
        <w:t xml:space="preserve"> </w:t>
      </w:r>
    </w:p>
    <w:p w:rsidR="006C46EB" w:rsidP="003C668D" w:rsidRDefault="006C46EB" w14:paraId="0F4637B0" w14:textId="77777777">
      <w:pPr>
        <w:tabs>
          <w:tab w:val="left" w:pos="714"/>
        </w:tabs>
        <w:spacing w:after="0"/>
        <w:jc w:val="both"/>
      </w:pPr>
    </w:p>
    <w:p w:rsidRPr="00ED5243" w:rsidR="000D7096" w:rsidP="00186E15" w:rsidRDefault="003121D0" w14:paraId="082BE0B1" w14:textId="7D0359AC">
      <w:pPr>
        <w:spacing w:after="0"/>
        <w:jc w:val="both"/>
        <w:rPr>
          <w:b/>
          <w:color w:val="1F3864" w:themeColor="accent1" w:themeShade="80"/>
          <w:sz w:val="24"/>
          <w:szCs w:val="24"/>
        </w:rPr>
      </w:pPr>
      <w:r w:rsidRPr="00ED5243">
        <w:rPr>
          <w:b/>
          <w:color w:val="1F3864" w:themeColor="accent1" w:themeShade="80"/>
          <w:sz w:val="24"/>
          <w:szCs w:val="24"/>
        </w:rPr>
        <w:t>4. (Voorwaarden voor) d</w:t>
      </w:r>
      <w:r w:rsidRPr="00ED5243" w:rsidR="00777210">
        <w:rPr>
          <w:b/>
          <w:color w:val="1F3864" w:themeColor="accent1" w:themeShade="80"/>
          <w:sz w:val="24"/>
          <w:szCs w:val="24"/>
        </w:rPr>
        <w:t>oeltreffendheid</w:t>
      </w:r>
      <w:r w:rsidRPr="00ED5243" w:rsidR="00B22679">
        <w:rPr>
          <w:b/>
          <w:color w:val="1F3864" w:themeColor="accent1" w:themeShade="80"/>
          <w:sz w:val="24"/>
          <w:szCs w:val="24"/>
        </w:rPr>
        <w:t xml:space="preserve"> </w:t>
      </w:r>
      <w:r w:rsidRPr="00ED5243" w:rsidR="00777210">
        <w:rPr>
          <w:b/>
          <w:color w:val="1F3864" w:themeColor="accent1" w:themeShade="80"/>
          <w:sz w:val="24"/>
          <w:szCs w:val="24"/>
        </w:rPr>
        <w:t xml:space="preserve">en doelmatigheid </w:t>
      </w:r>
    </w:p>
    <w:p w:rsidR="00777210" w:rsidP="00154B1E" w:rsidRDefault="00777210" w14:paraId="740B59CE" w14:textId="77777777">
      <w:pPr>
        <w:spacing w:after="0"/>
        <w:rPr>
          <w:b/>
          <w:bCs/>
        </w:rPr>
      </w:pPr>
    </w:p>
    <w:p w:rsidR="00777210" w:rsidP="00154B1E" w:rsidRDefault="00DC5B26" w14:paraId="79592FF0" w14:textId="2533511A">
      <w:pPr>
        <w:spacing w:after="0"/>
        <w:rPr>
          <w:b/>
          <w:bCs/>
        </w:rPr>
      </w:pPr>
      <w:r w:rsidRPr="00DC5B26">
        <w:rPr>
          <w:b/>
          <w:bCs/>
        </w:rPr>
        <w:t xml:space="preserve">4.1. </w:t>
      </w:r>
      <w:r w:rsidRPr="00DC5B26" w:rsidR="00CC33C5">
        <w:rPr>
          <w:b/>
          <w:bCs/>
        </w:rPr>
        <w:t>Resultaten</w:t>
      </w:r>
    </w:p>
    <w:p w:rsidR="00647B96" w:rsidP="00CC33C5" w:rsidRDefault="00C53312" w14:paraId="2FC45556" w14:textId="5E7FD638">
      <w:pPr>
        <w:spacing w:after="0"/>
        <w:jc w:val="both"/>
      </w:pPr>
      <w:r>
        <w:t xml:space="preserve">Uit beide </w:t>
      </w:r>
      <w:r w:rsidR="00CC33C5">
        <w:t xml:space="preserve">evaluaties </w:t>
      </w:r>
      <w:r>
        <w:t>blijkt</w:t>
      </w:r>
      <w:r w:rsidR="00CC33C5">
        <w:t xml:space="preserve"> dat </w:t>
      </w:r>
      <w:r>
        <w:t xml:space="preserve">de </w:t>
      </w:r>
      <w:bookmarkStart w:name="_Hlk185507970" w:id="1"/>
      <w:r>
        <w:t>behaalde resultaten</w:t>
      </w:r>
      <w:r w:rsidR="00CC33C5">
        <w:t xml:space="preserve"> </w:t>
      </w:r>
      <w:r>
        <w:t xml:space="preserve">grotendeels bestonden uit de </w:t>
      </w:r>
      <w:r w:rsidR="00CC33C5">
        <w:t xml:space="preserve">uitkomsten van activiteiten </w:t>
      </w:r>
      <w:r>
        <w:t xml:space="preserve">die gericht waren </w:t>
      </w:r>
      <w:r w:rsidR="007D3125">
        <w:t xml:space="preserve">op </w:t>
      </w:r>
      <w:r w:rsidR="00CC33C5">
        <w:t xml:space="preserve">de korte termijn </w:t>
      </w:r>
      <w:r w:rsidR="00C46748">
        <w:t xml:space="preserve">(outputniveau) </w:t>
      </w:r>
      <w:r w:rsidR="00CC33C5">
        <w:t xml:space="preserve">en </w:t>
      </w:r>
      <w:r w:rsidR="00C46748">
        <w:t xml:space="preserve">diplomatieke </w:t>
      </w:r>
      <w:r w:rsidR="00CC33C5">
        <w:t>zichtbaarheid</w:t>
      </w:r>
      <w:r w:rsidR="00C46748">
        <w:t xml:space="preserve"> van </w:t>
      </w:r>
      <w:r>
        <w:t>Nederland</w:t>
      </w:r>
      <w:bookmarkEnd w:id="1"/>
      <w:r w:rsidR="00CC33C5">
        <w:t>.</w:t>
      </w:r>
      <w:r w:rsidR="007D3125">
        <w:t xml:space="preserve"> </w:t>
      </w:r>
      <w:r>
        <w:t>Zo concludeer</w:t>
      </w:r>
      <w:r w:rsidR="00E15EE0">
        <w:t>t</w:t>
      </w:r>
      <w:r>
        <w:t xml:space="preserve"> d</w:t>
      </w:r>
      <w:r w:rsidR="00647B96">
        <w:t xml:space="preserve">e </w:t>
      </w:r>
      <w:r>
        <w:t>IOB-</w:t>
      </w:r>
      <w:r w:rsidR="00647B96">
        <w:t>evaluatie</w:t>
      </w:r>
      <w:r>
        <w:t xml:space="preserve"> over de </w:t>
      </w:r>
      <w:r w:rsidR="007D3125">
        <w:t xml:space="preserve">inzet voor de </w:t>
      </w:r>
      <w:r>
        <w:t>internationale rechtsorde</w:t>
      </w:r>
      <w:r w:rsidR="00647B96">
        <w:t xml:space="preserve"> dat het creëren van </w:t>
      </w:r>
      <w:r w:rsidRPr="007D3125" w:rsidR="007D3125">
        <w:rPr>
          <w:i/>
          <w:iCs/>
        </w:rPr>
        <w:t xml:space="preserve">Nederlands </w:t>
      </w:r>
      <w:r w:rsidRPr="007D3125" w:rsidR="00647B96">
        <w:rPr>
          <w:i/>
          <w:iCs/>
        </w:rPr>
        <w:t xml:space="preserve">profiel </w:t>
      </w:r>
      <w:r w:rsidRPr="007D3125" w:rsidR="007D3125">
        <w:rPr>
          <w:i/>
          <w:iCs/>
        </w:rPr>
        <w:t>en</w:t>
      </w:r>
      <w:r w:rsidRPr="007D3125" w:rsidR="00647B96">
        <w:rPr>
          <w:i/>
          <w:iCs/>
        </w:rPr>
        <w:t xml:space="preserve"> zichtbaarheid</w:t>
      </w:r>
      <w:r w:rsidR="00647B96">
        <w:t xml:space="preserve"> de belangrijkste rol </w:t>
      </w:r>
      <w:r>
        <w:t>heeft gespeeld</w:t>
      </w:r>
      <w:r w:rsidR="00647B96">
        <w:t xml:space="preserve"> bij het bepalen van de inzet. Geïnterviewde beleidsmedewerkers g</w:t>
      </w:r>
      <w:r>
        <w:t>a</w:t>
      </w:r>
      <w:r w:rsidR="00647B96">
        <w:t xml:space="preserve">ven aan dat veel van het werk </w:t>
      </w:r>
      <w:r>
        <w:t>wa</w:t>
      </w:r>
      <w:r w:rsidR="00647B96">
        <w:t xml:space="preserve">s gefocust op publiciteit creëren voor een bewindspersoon en op de wensen uit de Tweede Kamer. </w:t>
      </w:r>
      <w:r>
        <w:t xml:space="preserve">Er werd </w:t>
      </w:r>
      <w:r w:rsidR="00647B96">
        <w:t xml:space="preserve">minder rekening gehouden met de effectiviteit en de relevantie van de inzet voor het bereiken van </w:t>
      </w:r>
      <w:r w:rsidR="007D3125">
        <w:t>(tussengelegen) doelstellingen op de langere termijn.</w:t>
      </w:r>
    </w:p>
    <w:p w:rsidR="00647B96" w:rsidP="00CC33C5" w:rsidRDefault="00647B96" w14:paraId="200F8EF7" w14:textId="77777777">
      <w:pPr>
        <w:spacing w:after="0"/>
        <w:jc w:val="both"/>
      </w:pPr>
    </w:p>
    <w:p w:rsidR="0057430B" w:rsidP="00CC33C5" w:rsidRDefault="00AC6B9F" w14:paraId="2D142912" w14:textId="09A23E6A">
      <w:pPr>
        <w:spacing w:after="0"/>
        <w:jc w:val="both"/>
      </w:pPr>
      <w:r>
        <w:t>Een vergelijkbare conclusie komt naar voren in</w:t>
      </w:r>
      <w:r w:rsidR="00EB0335">
        <w:t xml:space="preserve"> de</w:t>
      </w:r>
      <w:r>
        <w:t xml:space="preserve"> evaluatie van het mensenrechtenbeleid. M</w:t>
      </w:r>
      <w:r w:rsidRPr="00AC6B9F">
        <w:t xml:space="preserve">edewerkers </w:t>
      </w:r>
      <w:r>
        <w:t xml:space="preserve">van het ministerie van Buitenlandse Zaken én </w:t>
      </w:r>
      <w:r w:rsidRPr="00AC6B9F">
        <w:t>mensenrechtenorganisaties type</w:t>
      </w:r>
      <w:r>
        <w:t>e</w:t>
      </w:r>
      <w:r w:rsidRPr="00AC6B9F">
        <w:t>r</w:t>
      </w:r>
      <w:r>
        <w:t>d</w:t>
      </w:r>
      <w:r w:rsidRPr="00AC6B9F">
        <w:t xml:space="preserve">en de uitvoering van het beleid als </w:t>
      </w:r>
      <w:r w:rsidR="00E63523">
        <w:t>‘</w:t>
      </w:r>
      <w:r w:rsidRPr="00AC6B9F">
        <w:t xml:space="preserve">ad hoc, </w:t>
      </w:r>
      <w:r w:rsidRPr="00AC6B9F" w:rsidR="002E6E73">
        <w:t>incident</w:t>
      </w:r>
      <w:r w:rsidR="00EE027C">
        <w:t xml:space="preserve"> </w:t>
      </w:r>
      <w:r w:rsidRPr="00AC6B9F" w:rsidR="002E6E73">
        <w:t>gedreven</w:t>
      </w:r>
      <w:r w:rsidRPr="00AC6B9F">
        <w:t xml:space="preserve"> en reactief</w:t>
      </w:r>
      <w:r w:rsidR="00E63523">
        <w:t>’</w:t>
      </w:r>
      <w:r w:rsidRPr="00AC6B9F">
        <w:t>.</w:t>
      </w:r>
      <w:r>
        <w:t xml:space="preserve"> Wat </w:t>
      </w:r>
      <w:r w:rsidRPr="00AC6B9F">
        <w:t xml:space="preserve">hier heeft meegespeeld is dat BZ onder constante (politieke) druk stond om snel te reageren op ontwikkelingen in vrijwel alle uithoeken van de wereld. </w:t>
      </w:r>
      <w:r w:rsidR="00E63523">
        <w:t xml:space="preserve">Nu is </w:t>
      </w:r>
      <w:r w:rsidR="00D02331">
        <w:t xml:space="preserve">het </w:t>
      </w:r>
      <w:r w:rsidR="00E63523">
        <w:t>i</w:t>
      </w:r>
      <w:r w:rsidRPr="00AC6B9F">
        <w:t>nspelen op snel veranderende omstandigheden</w:t>
      </w:r>
      <w:r w:rsidR="00D02331">
        <w:t xml:space="preserve"> </w:t>
      </w:r>
      <w:r w:rsidRPr="00AC6B9F">
        <w:t>inherent aan een beleidsterrein als mensenrechten</w:t>
      </w:r>
      <w:r w:rsidR="00E63523">
        <w:t>, m</w:t>
      </w:r>
      <w:r w:rsidRPr="00AC6B9F">
        <w:t xml:space="preserve">aar de voortdurende ‘crisismodus’ heeft er volgens medewerkers wel toe geleid dat het mensenrechtenbeleid in de geëvalueerde periode werd gedomineerd door een </w:t>
      </w:r>
      <w:r w:rsidRPr="00AC6B9F" w:rsidR="00EE027C">
        <w:t>kort</w:t>
      </w:r>
      <w:r w:rsidR="00EE027C">
        <w:t>e</w:t>
      </w:r>
      <w:r w:rsidRPr="00AC6B9F" w:rsidR="00EE027C">
        <w:t xml:space="preserve"> termijnperspectief</w:t>
      </w:r>
      <w:r w:rsidRPr="00AC6B9F">
        <w:t xml:space="preserve">. </w:t>
      </w:r>
      <w:r w:rsidR="0057430B">
        <w:t xml:space="preserve">Zowel de meeste projecten die Nederland financierde als de diplomatieke </w:t>
      </w:r>
      <w:r w:rsidR="0057430B">
        <w:lastRenderedPageBreak/>
        <w:t xml:space="preserve">inspanningen bleken </w:t>
      </w:r>
      <w:r w:rsidR="00E63523">
        <w:t xml:space="preserve">volgens de onderliggende evaluaties </w:t>
      </w:r>
      <w:r w:rsidR="0057430B">
        <w:t xml:space="preserve">onvoldoende ingebed </w:t>
      </w:r>
      <w:r w:rsidRPr="00E33432" w:rsidR="0057430B">
        <w:t xml:space="preserve">in een beïnvloedingsstrategie gericht op het bereiken van resultaten op </w:t>
      </w:r>
      <w:r w:rsidR="00EB0335">
        <w:t xml:space="preserve">de </w:t>
      </w:r>
      <w:r w:rsidRPr="00E33432" w:rsidR="0057430B">
        <w:t>middellange termijn.</w:t>
      </w:r>
    </w:p>
    <w:p w:rsidR="00AC6B9F" w:rsidP="00CC33C5" w:rsidRDefault="00AC6B9F" w14:paraId="09CF029B" w14:textId="77777777">
      <w:pPr>
        <w:spacing w:after="0"/>
        <w:jc w:val="both"/>
      </w:pPr>
    </w:p>
    <w:p w:rsidR="00D02331" w:rsidP="0057430B" w:rsidRDefault="00D02331" w14:paraId="40AB977D" w14:textId="0ACE1BF9">
      <w:pPr>
        <w:spacing w:after="0"/>
        <w:jc w:val="both"/>
      </w:pPr>
      <w:r>
        <w:t>Alleen d</w:t>
      </w:r>
      <w:r w:rsidR="00E63523">
        <w:t xml:space="preserve">e </w:t>
      </w:r>
      <w:r w:rsidR="00AC6B9F">
        <w:t xml:space="preserve">evaluatie </w:t>
      </w:r>
      <w:r w:rsidR="00E63523">
        <w:t xml:space="preserve">van het mensenrechtenbeleid </w:t>
      </w:r>
      <w:r w:rsidR="00CB0B3C">
        <w:t xml:space="preserve">gaat </w:t>
      </w:r>
      <w:r w:rsidR="00AC6B9F">
        <w:t xml:space="preserve">in op de </w:t>
      </w:r>
      <w:r w:rsidR="0057430B">
        <w:t>efficiëntie</w:t>
      </w:r>
      <w:r w:rsidR="00AC6B9F">
        <w:t xml:space="preserve"> </w:t>
      </w:r>
      <w:r w:rsidR="0057430B">
        <w:t xml:space="preserve">(doelmatigheid) van </w:t>
      </w:r>
      <w:r>
        <w:t xml:space="preserve">de </w:t>
      </w:r>
      <w:r w:rsidR="0057430B">
        <w:t xml:space="preserve">ingezette personele en financiële middelen. </w:t>
      </w:r>
      <w:bookmarkStart w:name="_Hlk185508026" w:id="2"/>
      <w:r w:rsidRPr="0057430B" w:rsidR="0057430B">
        <w:t xml:space="preserve">De uitvoering van het </w:t>
      </w:r>
      <w:r w:rsidR="00D848F9">
        <w:t xml:space="preserve">bilaterale </w:t>
      </w:r>
      <w:r w:rsidR="0057430B">
        <w:t>mensenrechten</w:t>
      </w:r>
      <w:r w:rsidRPr="0057430B" w:rsidR="0057430B">
        <w:t xml:space="preserve">beleid </w:t>
      </w:r>
      <w:r w:rsidR="00D848F9">
        <w:t xml:space="preserve">in andere landen </w:t>
      </w:r>
      <w:r w:rsidR="0057430B">
        <w:t xml:space="preserve">was </w:t>
      </w:r>
      <w:r w:rsidRPr="0057430B" w:rsidR="0057430B">
        <w:t xml:space="preserve">versnipperd over veel </w:t>
      </w:r>
      <w:r w:rsidR="0057430B">
        <w:t xml:space="preserve">verschillende </w:t>
      </w:r>
      <w:r w:rsidRPr="0057430B" w:rsidR="0057430B">
        <w:t xml:space="preserve">landen en thema’s. Anders gezegd: </w:t>
      </w:r>
      <w:r w:rsidR="00E63523">
        <w:t>‘</w:t>
      </w:r>
      <w:r w:rsidRPr="0057430B" w:rsidR="0057430B">
        <w:t>Nederland deed overal een beetje van alles</w:t>
      </w:r>
      <w:r w:rsidR="00E63523">
        <w:t>’</w:t>
      </w:r>
      <w:r w:rsidRPr="0057430B" w:rsidR="0057430B">
        <w:t>.</w:t>
      </w:r>
      <w:r w:rsidR="0057430B">
        <w:t xml:space="preserve"> </w:t>
      </w:r>
      <w:r w:rsidRPr="0057430B" w:rsidR="0057430B">
        <w:t>Deze versnippering heeft geleid tot een zware beheerlast en hoge operationele kosten in verhouding tot de gerealiseerde output (inefficiëntie)</w:t>
      </w:r>
      <w:r w:rsidR="005E3B36">
        <w:t>.</w:t>
      </w:r>
      <w:r w:rsidRPr="0057430B" w:rsidR="0057430B">
        <w:t xml:space="preserve"> </w:t>
      </w:r>
      <w:bookmarkEnd w:id="2"/>
    </w:p>
    <w:p w:rsidR="00D739C4" w:rsidP="0057430B" w:rsidRDefault="000367EF" w14:paraId="62E68EBD" w14:textId="746B5511">
      <w:pPr>
        <w:spacing w:after="0"/>
        <w:jc w:val="both"/>
      </w:pPr>
      <w:r>
        <w:t>D</w:t>
      </w:r>
      <w:r w:rsidR="00CB0B3C">
        <w:t xml:space="preserve">aarnaast </w:t>
      </w:r>
      <w:r>
        <w:t>was</w:t>
      </w:r>
      <w:r w:rsidR="00CB0B3C">
        <w:t xml:space="preserve"> er sprake van aanzienlijke overlap tussen verschillende fondsen </w:t>
      </w:r>
      <w:r w:rsidRPr="00CB0B3C" w:rsidR="00CB0B3C">
        <w:t xml:space="preserve">waarmee </w:t>
      </w:r>
      <w:r w:rsidR="00870AAC">
        <w:t>mensenrechten</w:t>
      </w:r>
      <w:r w:rsidRPr="00CB0B3C" w:rsidR="00CB0B3C">
        <w:t xml:space="preserve">initiatieven werden </w:t>
      </w:r>
      <w:r w:rsidR="00870AAC">
        <w:t>ondersteund</w:t>
      </w:r>
      <w:r w:rsidRPr="00CB0B3C" w:rsidR="00CB0B3C">
        <w:t xml:space="preserve">. Dit heeft een efficiënte inzet van financiële middelen </w:t>
      </w:r>
      <w:r w:rsidR="00CB0B3C">
        <w:t xml:space="preserve">verder </w:t>
      </w:r>
      <w:r w:rsidRPr="00CB0B3C" w:rsidR="00CB0B3C">
        <w:t>belemmerd</w:t>
      </w:r>
      <w:r w:rsidR="00CB0B3C">
        <w:t>.</w:t>
      </w:r>
    </w:p>
    <w:p w:rsidR="00E33432" w:rsidP="00E33432" w:rsidRDefault="00E33432" w14:paraId="1A5D5CEE" w14:textId="705ABAF9">
      <w:pPr>
        <w:spacing w:after="0"/>
        <w:jc w:val="both"/>
      </w:pPr>
    </w:p>
    <w:p w:rsidR="00C46748" w:rsidP="00CC33C5" w:rsidRDefault="00DC5B26" w14:paraId="37FA92C3" w14:textId="377A98F6">
      <w:pPr>
        <w:spacing w:after="0"/>
        <w:jc w:val="both"/>
        <w:rPr>
          <w:b/>
          <w:bCs/>
        </w:rPr>
      </w:pPr>
      <w:r w:rsidRPr="00DC5B26">
        <w:rPr>
          <w:b/>
          <w:bCs/>
        </w:rPr>
        <w:t xml:space="preserve">4.2. </w:t>
      </w:r>
      <w:r w:rsidRPr="00DC5B26" w:rsidR="00C46748">
        <w:rPr>
          <w:b/>
          <w:bCs/>
        </w:rPr>
        <w:t>Factoren die het behalen van resultaten ondersteun</w:t>
      </w:r>
      <w:r w:rsidRPr="00DC5B26" w:rsidR="0057430B">
        <w:rPr>
          <w:b/>
          <w:bCs/>
        </w:rPr>
        <w:t>d</w:t>
      </w:r>
      <w:r w:rsidRPr="00DC5B26" w:rsidR="00C46748">
        <w:rPr>
          <w:b/>
          <w:bCs/>
        </w:rPr>
        <w:t xml:space="preserve">en of </w:t>
      </w:r>
      <w:r w:rsidR="008F0AFC">
        <w:rPr>
          <w:b/>
          <w:bCs/>
        </w:rPr>
        <w:t xml:space="preserve">juist </w:t>
      </w:r>
      <w:r w:rsidRPr="00DC5B26" w:rsidR="00C46748">
        <w:rPr>
          <w:b/>
          <w:bCs/>
        </w:rPr>
        <w:t>belemmer</w:t>
      </w:r>
      <w:r w:rsidRPr="00DC5B26" w:rsidR="0057430B">
        <w:rPr>
          <w:b/>
          <w:bCs/>
        </w:rPr>
        <w:t>d</w:t>
      </w:r>
      <w:r w:rsidRPr="00DC5B26" w:rsidR="00C46748">
        <w:rPr>
          <w:b/>
          <w:bCs/>
        </w:rPr>
        <w:t>en</w:t>
      </w:r>
    </w:p>
    <w:p w:rsidR="00CC33C5" w:rsidP="00CC33C5" w:rsidRDefault="00F1127D" w14:paraId="5691513B" w14:textId="123620C8">
      <w:pPr>
        <w:spacing w:after="0"/>
        <w:jc w:val="both"/>
      </w:pPr>
      <w:r>
        <w:t>D</w:t>
      </w:r>
      <w:r w:rsidR="00081684">
        <w:t xml:space="preserve">e verslechterende internationale (geopolitieke) context </w:t>
      </w:r>
      <w:r>
        <w:t xml:space="preserve">was, zoals hierboven aangegeven, een invloedrijke </w:t>
      </w:r>
      <w:r>
        <w:rPr>
          <w:i/>
          <w:iCs/>
        </w:rPr>
        <w:t xml:space="preserve">externe </w:t>
      </w:r>
      <w:r>
        <w:t>factor die het behalen van resultaten onder dit begrotingsartikel bemoeilijkte. Tegelijkertijd komen in</w:t>
      </w:r>
      <w:r w:rsidR="00094937">
        <w:t xml:space="preserve"> </w:t>
      </w:r>
      <w:r>
        <w:t>beide</w:t>
      </w:r>
      <w:r w:rsidR="00094937">
        <w:t xml:space="preserve"> evaluaties </w:t>
      </w:r>
      <w:r>
        <w:rPr>
          <w:i/>
          <w:iCs/>
        </w:rPr>
        <w:t xml:space="preserve">interne </w:t>
      </w:r>
      <w:r>
        <w:t xml:space="preserve">factoren </w:t>
      </w:r>
      <w:r w:rsidR="00BF1942">
        <w:t xml:space="preserve">naar voren die binnen </w:t>
      </w:r>
      <w:r w:rsidR="00C45DFF">
        <w:t xml:space="preserve">de </w:t>
      </w:r>
      <w:r w:rsidR="00BF1942">
        <w:t>Nederlandse invloedsfeer l</w:t>
      </w:r>
      <w:r>
        <w:t xml:space="preserve">agen en </w:t>
      </w:r>
      <w:r w:rsidR="0053707A">
        <w:t xml:space="preserve">sterk </w:t>
      </w:r>
      <w:r>
        <w:t xml:space="preserve">van invloed waren op </w:t>
      </w:r>
      <w:r w:rsidR="00556521">
        <w:t>het realiseren van de beleidsdoelstellingen.</w:t>
      </w:r>
      <w:r>
        <w:t xml:space="preserve"> </w:t>
      </w:r>
      <w:r w:rsidR="00C46748">
        <w:t xml:space="preserve"> </w:t>
      </w:r>
    </w:p>
    <w:p w:rsidR="00034602" w:rsidP="00CC33C5" w:rsidRDefault="00034602" w14:paraId="64BCF641" w14:textId="77777777">
      <w:pPr>
        <w:spacing w:after="0"/>
        <w:jc w:val="both"/>
      </w:pPr>
    </w:p>
    <w:p w:rsidRPr="00241980" w:rsidR="00E6068E" w:rsidP="00E6068E" w:rsidRDefault="00E6068E" w14:paraId="6F739B01" w14:textId="211431FF">
      <w:pPr>
        <w:pStyle w:val="ListParagraph"/>
        <w:numPr>
          <w:ilvl w:val="0"/>
          <w:numId w:val="11"/>
        </w:numPr>
        <w:spacing w:after="0"/>
        <w:rPr>
          <w:b/>
          <w:bCs/>
        </w:rPr>
      </w:pPr>
      <w:r w:rsidRPr="00241980">
        <w:rPr>
          <w:b/>
          <w:bCs/>
        </w:rPr>
        <w:t>Organisatiecapaciteit om het beleid uit te voeren</w:t>
      </w:r>
    </w:p>
    <w:p w:rsidR="00587144" w:rsidP="000D5FB2" w:rsidRDefault="00587144" w14:paraId="53ABC566" w14:textId="1D3670E4">
      <w:pPr>
        <w:spacing w:after="0"/>
        <w:jc w:val="both"/>
      </w:pPr>
      <w:r>
        <w:t xml:space="preserve">Een eerste invloedrijke </w:t>
      </w:r>
      <w:r w:rsidR="00645D7A">
        <w:t>interne</w:t>
      </w:r>
      <w:r>
        <w:t xml:space="preserve"> factor is de mate waarin ministers of ho</w:t>
      </w:r>
      <w:r w:rsidR="005E3B36">
        <w:t>o</w:t>
      </w:r>
      <w:r>
        <w:t>g</w:t>
      </w:r>
      <w:r w:rsidR="005E3B36">
        <w:t>geplaatste</w:t>
      </w:r>
      <w:r>
        <w:t xml:space="preserve"> ambtenaren bereid </w:t>
      </w:r>
      <w:r w:rsidR="00822C81">
        <w:t>waren</w:t>
      </w:r>
      <w:r>
        <w:t xml:space="preserve"> om zich </w:t>
      </w:r>
      <w:r w:rsidRPr="00587144">
        <w:rPr>
          <w:i/>
          <w:iCs/>
        </w:rPr>
        <w:t>persoonlijk</w:t>
      </w:r>
      <w:r>
        <w:t xml:space="preserve"> in</w:t>
      </w:r>
      <w:r w:rsidR="0053707A">
        <w:t xml:space="preserve"> te </w:t>
      </w:r>
      <w:r>
        <w:t xml:space="preserve">zetten voor een resultaat. </w:t>
      </w:r>
      <w:bookmarkStart w:name="_Hlk185508736" w:id="3"/>
      <w:r>
        <w:t xml:space="preserve">Actieve diplomatieke inspanningen op dit niveau </w:t>
      </w:r>
      <w:bookmarkEnd w:id="3"/>
      <w:r>
        <w:t>droegen bij aan de totstandkoming van het Europese mensenrechtensanctieregime</w:t>
      </w:r>
      <w:r w:rsidR="00822C81">
        <w:t xml:space="preserve"> en VN-onderzoek naar mensenrechtenschendingen in Jemen</w:t>
      </w:r>
      <w:r>
        <w:t xml:space="preserve">. Anderzijds </w:t>
      </w:r>
      <w:r w:rsidR="00F900F9">
        <w:t xml:space="preserve">beperkte een gebrek aan </w:t>
      </w:r>
      <w:r w:rsidR="00822C81">
        <w:t xml:space="preserve">dergelijke </w:t>
      </w:r>
      <w:r w:rsidR="00F900F9">
        <w:t xml:space="preserve">betrokkenheid bij de VN-Mensenrechtenraad de </w:t>
      </w:r>
      <w:r w:rsidR="00822C81">
        <w:t xml:space="preserve">Nederlandse </w:t>
      </w:r>
      <w:r w:rsidR="00F900F9">
        <w:t>diplomatieke slagkracht.</w:t>
      </w:r>
      <w:r>
        <w:t xml:space="preserve">  </w:t>
      </w:r>
    </w:p>
    <w:p w:rsidRPr="00587144" w:rsidR="00822C81" w:rsidP="000D5FB2" w:rsidRDefault="00822C81" w14:paraId="201E418A" w14:textId="77777777">
      <w:pPr>
        <w:spacing w:after="0"/>
        <w:jc w:val="both"/>
      </w:pPr>
    </w:p>
    <w:p w:rsidR="00F900F9" w:rsidP="008056FD" w:rsidRDefault="00F900F9" w14:paraId="20A4ABED" w14:textId="5917897C">
      <w:pPr>
        <w:spacing w:after="0"/>
        <w:jc w:val="both"/>
      </w:pPr>
      <w:r>
        <w:t xml:space="preserve">Een tweede factor </w:t>
      </w:r>
      <w:r w:rsidR="008056FD">
        <w:t xml:space="preserve">die </w:t>
      </w:r>
      <w:r>
        <w:t>een positieve invloed heeft gehad op de uitvoering van het beleid</w:t>
      </w:r>
      <w:r w:rsidRPr="008056FD" w:rsidR="008056FD">
        <w:t xml:space="preserve"> </w:t>
      </w:r>
      <w:r w:rsidR="008056FD">
        <w:t xml:space="preserve">is de samenwerking tussen Nederlandse diplomaten en </w:t>
      </w:r>
      <w:r w:rsidRPr="002822D1" w:rsidR="008056FD">
        <w:rPr>
          <w:i/>
          <w:iCs/>
        </w:rPr>
        <w:t>maatschappelijke organisaties</w:t>
      </w:r>
      <w:r>
        <w:t>.</w:t>
      </w:r>
      <w:r w:rsidRPr="001C4236">
        <w:t xml:space="preserve"> </w:t>
      </w:r>
      <w:r>
        <w:t>A</w:t>
      </w:r>
      <w:r w:rsidRPr="001C4236">
        <w:t xml:space="preserve">lleen </w:t>
      </w:r>
      <w:r>
        <w:t xml:space="preserve">internationale </w:t>
      </w:r>
      <w:r w:rsidRPr="001C4236">
        <w:t>druk volst</w:t>
      </w:r>
      <w:r>
        <w:t>ond</w:t>
      </w:r>
      <w:r w:rsidRPr="001C4236">
        <w:t xml:space="preserve"> zelden</w:t>
      </w:r>
      <w:r>
        <w:t xml:space="preserve"> om resultaten te behalen</w:t>
      </w:r>
      <w:r w:rsidRPr="001C4236">
        <w:t xml:space="preserve">. </w:t>
      </w:r>
      <w:r w:rsidR="008056FD">
        <w:t xml:space="preserve">De samenwerking met </w:t>
      </w:r>
      <w:r w:rsidR="0078172B">
        <w:t>maatschappelijke organisaties</w:t>
      </w:r>
      <w:r w:rsidR="008056FD">
        <w:t xml:space="preserve"> bleek</w:t>
      </w:r>
      <w:r w:rsidR="000770AD">
        <w:t xml:space="preserve"> bijvoorbeeld</w:t>
      </w:r>
      <w:r w:rsidR="008056FD">
        <w:t xml:space="preserve"> ‘de sleutel tot het succes’ voor het functioneren van een VN-mechanisme dat gericht was op het vergaren van bewijs van mensenrechtenschendingen in Syrië. </w:t>
      </w:r>
      <w:r>
        <w:t xml:space="preserve">Vrijwel overal </w:t>
      </w:r>
      <w:r w:rsidR="008056FD">
        <w:t>waar BZ actief was op het gebied van mensenrechten onderhield</w:t>
      </w:r>
      <w:r>
        <w:t xml:space="preserve"> Nederland een sterk netwerk met relevante maatschappelijke organisaties. Daarentegen </w:t>
      </w:r>
      <w:r w:rsidR="008056FD">
        <w:t xml:space="preserve">bleek </w:t>
      </w:r>
      <w:r>
        <w:t xml:space="preserve">de manier waarop BZ </w:t>
      </w:r>
      <w:r w:rsidR="0078172B">
        <w:t>deze</w:t>
      </w:r>
      <w:r>
        <w:t xml:space="preserve"> organisaties ondersteunde vanuit het mensenrechtenfonds in de meeste gevallen niet effectief en efficiënt</w:t>
      </w:r>
      <w:r w:rsidR="008056FD">
        <w:t>. De</w:t>
      </w:r>
      <w:r>
        <w:t xml:space="preserve"> hierboven reeds uitgelichte versnipperde aanpak</w:t>
      </w:r>
      <w:r w:rsidR="008056FD">
        <w:t xml:space="preserve"> lag hieraan ten grondslag</w:t>
      </w:r>
      <w:r>
        <w:t xml:space="preserve">. </w:t>
      </w:r>
    </w:p>
    <w:p w:rsidR="00F900F9" w:rsidP="000D5FB2" w:rsidRDefault="00F900F9" w14:paraId="09C38B01" w14:textId="77777777">
      <w:pPr>
        <w:spacing w:after="0"/>
        <w:jc w:val="both"/>
      </w:pPr>
    </w:p>
    <w:p w:rsidR="006E26A2" w:rsidP="000D5FB2" w:rsidRDefault="00147178" w14:paraId="3999E0AA" w14:textId="2B1AD11D">
      <w:pPr>
        <w:spacing w:after="0"/>
        <w:jc w:val="both"/>
      </w:pPr>
      <w:r>
        <w:t xml:space="preserve">Een derde </w:t>
      </w:r>
      <w:r w:rsidR="00645D7A">
        <w:t>interne</w:t>
      </w:r>
      <w:r>
        <w:t xml:space="preserve"> organisatorische factor die </w:t>
      </w:r>
      <w:r w:rsidR="008A6AAD">
        <w:t xml:space="preserve">- </w:t>
      </w:r>
      <w:r>
        <w:t xml:space="preserve">vooral een belemmerende </w:t>
      </w:r>
      <w:r w:rsidR="008A6AAD">
        <w:t xml:space="preserve">- </w:t>
      </w:r>
      <w:r>
        <w:t xml:space="preserve">invloed </w:t>
      </w:r>
      <w:r w:rsidR="004F67C2">
        <w:t>heeft gehad betrof</w:t>
      </w:r>
      <w:r>
        <w:t xml:space="preserve"> de personele</w:t>
      </w:r>
      <w:r w:rsidR="008A6AAD">
        <w:t xml:space="preserve"> capaciteit. </w:t>
      </w:r>
      <w:r w:rsidR="00645D7A">
        <w:t xml:space="preserve">Het Nederlandse </w:t>
      </w:r>
      <w:r w:rsidR="008A6AAD">
        <w:t xml:space="preserve">ambitieniveau onvoldoende in balans met </w:t>
      </w:r>
      <w:r w:rsidR="001976E8">
        <w:t>de</w:t>
      </w:r>
      <w:r w:rsidR="008A6AAD">
        <w:t xml:space="preserve"> beschikbar</w:t>
      </w:r>
      <w:r w:rsidR="00645D7A">
        <w:t>e</w:t>
      </w:r>
      <w:r w:rsidR="001976E8">
        <w:t xml:space="preserve"> personele capaciteit</w:t>
      </w:r>
      <w:r w:rsidR="00645D7A">
        <w:t xml:space="preserve"> binnen BZ</w:t>
      </w:r>
      <w:r w:rsidR="008A6AAD">
        <w:t xml:space="preserve">. Meer specifiek </w:t>
      </w:r>
      <w:r w:rsidR="001976E8">
        <w:t>belemmerde</w:t>
      </w:r>
      <w:r w:rsidR="008A6AAD">
        <w:t xml:space="preserve"> de </w:t>
      </w:r>
      <w:r w:rsidRPr="002822D1" w:rsidR="001976E8">
        <w:rPr>
          <w:i/>
          <w:iCs/>
        </w:rPr>
        <w:t>snelle roulatie</w:t>
      </w:r>
      <w:r w:rsidR="001976E8">
        <w:t xml:space="preserve"> van diplomaten </w:t>
      </w:r>
      <w:r w:rsidR="009B5FBC">
        <w:t xml:space="preserve">het behoud van expertise en </w:t>
      </w:r>
      <w:r w:rsidR="001976E8">
        <w:t xml:space="preserve">een effectieve uitvoering van het beleid. </w:t>
      </w:r>
      <w:r w:rsidR="00D967ED">
        <w:t xml:space="preserve">Verschillende diplomatieke en maatschappelijke partners ervaarden dit als een obstakel in de onderlinge samenwerking. </w:t>
      </w:r>
      <w:r w:rsidR="002822D1">
        <w:t xml:space="preserve">Het belemmerde het onderhouden van relevante nationale netwerken. </w:t>
      </w:r>
      <w:r w:rsidR="001976E8">
        <w:t>Verder wezen beide evaluaties op een gebrek aan relevante mensenrechtenkennis</w:t>
      </w:r>
      <w:r w:rsidR="00D967ED">
        <w:t xml:space="preserve">, </w:t>
      </w:r>
      <w:r w:rsidR="002822D1">
        <w:t>vooral</w:t>
      </w:r>
      <w:r w:rsidR="001976E8">
        <w:t xml:space="preserve"> </w:t>
      </w:r>
      <w:r w:rsidR="002822D1">
        <w:t xml:space="preserve">ook </w:t>
      </w:r>
      <w:r w:rsidR="001976E8">
        <w:t xml:space="preserve">bij medewerkers die actief waren op andere beleidsterreinen. </w:t>
      </w:r>
    </w:p>
    <w:p w:rsidR="002822D1" w:rsidP="000D5FB2" w:rsidRDefault="002822D1" w14:paraId="64C6382C" w14:textId="77777777">
      <w:pPr>
        <w:spacing w:after="0"/>
        <w:jc w:val="both"/>
      </w:pPr>
    </w:p>
    <w:p w:rsidR="001B7B9C" w:rsidP="002822D1" w:rsidRDefault="002822D1" w14:paraId="2088CA7B" w14:textId="46693EFF">
      <w:pPr>
        <w:spacing w:after="0"/>
        <w:jc w:val="both"/>
      </w:pPr>
      <w:r w:rsidRPr="00B76D48">
        <w:t xml:space="preserve">Ten slotte bleek BZ in staat om </w:t>
      </w:r>
      <w:r w:rsidRPr="00B76D48">
        <w:rPr>
          <w:i/>
          <w:iCs/>
        </w:rPr>
        <w:t>flexibel</w:t>
      </w:r>
      <w:r w:rsidRPr="00B76D48">
        <w:t xml:space="preserve"> in te spelen op kansen die zich voordeden. Door het ontbreken van een uitgewerkt beleidskader en interventiestrategie was de uitvoering van het beleid </w:t>
      </w:r>
      <w:r w:rsidRPr="00B76D48" w:rsidR="005045E5">
        <w:t xml:space="preserve">weliswaar sterk </w:t>
      </w:r>
      <w:r w:rsidRPr="00B76D48">
        <w:t>reactief.</w:t>
      </w:r>
      <w:r w:rsidRPr="00B76D48" w:rsidR="00951E2D">
        <w:t xml:space="preserve"> </w:t>
      </w:r>
      <w:r w:rsidRPr="00B76D48" w:rsidR="005045E5">
        <w:t xml:space="preserve">Maar Nederland </w:t>
      </w:r>
      <w:r w:rsidRPr="00B76D48" w:rsidR="00951E2D">
        <w:t xml:space="preserve">droeg </w:t>
      </w:r>
      <w:r w:rsidRPr="00B76D48" w:rsidR="005045E5">
        <w:t xml:space="preserve">wel gericht </w:t>
      </w:r>
      <w:r w:rsidRPr="00B76D48" w:rsidR="00951E2D">
        <w:t xml:space="preserve">bij aan </w:t>
      </w:r>
      <w:r w:rsidRPr="00B76D48">
        <w:t>aansprekende resultaten</w:t>
      </w:r>
      <w:r w:rsidRPr="00B76D48" w:rsidR="005045E5">
        <w:t xml:space="preserve"> van activiteiten die door andere landen of organisaties waren ontplooid</w:t>
      </w:r>
      <w:r w:rsidRPr="00B76D48">
        <w:t>.</w:t>
      </w:r>
    </w:p>
    <w:p w:rsidR="00B322E8" w:rsidP="002822D1" w:rsidRDefault="001B7B9C" w14:paraId="66B2E2C3" w14:textId="10D3985C">
      <w:pPr>
        <w:pStyle w:val="ListParagraph"/>
        <w:spacing w:after="0"/>
        <w:jc w:val="both"/>
      </w:pPr>
      <w:r>
        <w:lastRenderedPageBreak/>
        <w:t xml:space="preserve"> </w:t>
      </w:r>
    </w:p>
    <w:p w:rsidRPr="00241980" w:rsidR="00556521" w:rsidP="00094937" w:rsidRDefault="001C4236" w14:paraId="70CE7F76" w14:textId="67B72A30">
      <w:pPr>
        <w:pStyle w:val="ListParagraph"/>
        <w:numPr>
          <w:ilvl w:val="0"/>
          <w:numId w:val="11"/>
        </w:numPr>
        <w:spacing w:after="0"/>
        <w:jc w:val="both"/>
        <w:rPr>
          <w:b/>
          <w:bCs/>
        </w:rPr>
      </w:pPr>
      <w:r w:rsidRPr="00241980">
        <w:rPr>
          <w:b/>
          <w:bCs/>
        </w:rPr>
        <w:t xml:space="preserve">Samenhang met </w:t>
      </w:r>
      <w:r w:rsidRPr="00241980" w:rsidR="00843EF7">
        <w:rPr>
          <w:b/>
          <w:bCs/>
        </w:rPr>
        <w:t xml:space="preserve">de inzet op </w:t>
      </w:r>
      <w:r w:rsidRPr="00241980">
        <w:rPr>
          <w:b/>
          <w:bCs/>
        </w:rPr>
        <w:t>andere beleidsterreinen</w:t>
      </w:r>
    </w:p>
    <w:p w:rsidR="00556521" w:rsidP="00094937" w:rsidRDefault="00556521" w14:paraId="7D173E30" w14:textId="75547322">
      <w:pPr>
        <w:spacing w:after="0"/>
        <w:jc w:val="both"/>
      </w:pPr>
      <w:r w:rsidRPr="00556521">
        <w:t xml:space="preserve">De omvang van Artikel 1 van de BZ-begroting, met daarin </w:t>
      </w:r>
      <w:r w:rsidR="00292366">
        <w:t xml:space="preserve">onder meer </w:t>
      </w:r>
      <w:r w:rsidRPr="00556521">
        <w:t xml:space="preserve">het budget </w:t>
      </w:r>
      <w:r w:rsidR="00292366">
        <w:t>voor mensenrechten en de internationale rechtsorde</w:t>
      </w:r>
      <w:r w:rsidRPr="00556521">
        <w:t xml:space="preserve">, </w:t>
      </w:r>
      <w:r w:rsidR="00241980">
        <w:t>was</w:t>
      </w:r>
      <w:r w:rsidR="00B41020">
        <w:t xml:space="preserve"> </w:t>
      </w:r>
      <w:r w:rsidR="00F72E22">
        <w:t>bescheiden</w:t>
      </w:r>
      <w:r w:rsidR="00E0187D">
        <w:t xml:space="preserve">. </w:t>
      </w:r>
      <w:r w:rsidRPr="00292366" w:rsidR="00292366">
        <w:t xml:space="preserve">Om die reden heeft de mate waarin </w:t>
      </w:r>
      <w:r w:rsidR="00F72E22">
        <w:t xml:space="preserve">beide thema’s </w:t>
      </w:r>
      <w:r w:rsidRPr="00292366" w:rsidR="00292366">
        <w:t xml:space="preserve">zijn geïntegreerd in - en prioriteit krijgen binnen - het bredere buitenlandbeleid </w:t>
      </w:r>
      <w:r w:rsidR="00B41020">
        <w:t>aanzienlijke</w:t>
      </w:r>
      <w:r w:rsidRPr="00292366" w:rsidR="00292366">
        <w:t xml:space="preserve"> invloed op de effectiviteit van het beleid</w:t>
      </w:r>
      <w:r w:rsidR="00292366">
        <w:t xml:space="preserve"> onder dit begrotingsartikel. </w:t>
      </w:r>
    </w:p>
    <w:p w:rsidR="00F72E22" w:rsidP="00094937" w:rsidRDefault="00F72E22" w14:paraId="7D0FAAD0" w14:textId="77777777">
      <w:pPr>
        <w:spacing w:after="0"/>
        <w:jc w:val="both"/>
      </w:pPr>
    </w:p>
    <w:p w:rsidR="004F64E6" w:rsidP="00094937" w:rsidRDefault="00E0187D" w14:paraId="371270E2" w14:textId="4A09AFE3">
      <w:pPr>
        <w:spacing w:after="0"/>
        <w:jc w:val="both"/>
      </w:pPr>
      <w:r>
        <w:t xml:space="preserve">Geheel in lijn hiermee committeerde Nederland zich in opeenvolgende regeerakkoorden en verschillende beleidskaders aan een </w:t>
      </w:r>
      <w:r w:rsidRPr="00E0187D">
        <w:t>coherent buitenlandbeleid</w:t>
      </w:r>
      <w:r>
        <w:t>,</w:t>
      </w:r>
      <w:r w:rsidRPr="00E0187D">
        <w:t xml:space="preserve"> waarin </w:t>
      </w:r>
      <w:r>
        <w:t>de inzet voor de internationale rechtsorde en mensenrechten stevig waren</w:t>
      </w:r>
      <w:r w:rsidRPr="00E0187D">
        <w:t xml:space="preserve"> verankerd.</w:t>
      </w:r>
      <w:r>
        <w:t xml:space="preserve"> Het kabinet onderstreepte </w:t>
      </w:r>
      <w:r w:rsidR="00242999">
        <w:t xml:space="preserve">bovendien </w:t>
      </w:r>
      <w:r>
        <w:t>dat de bevordering van de ontwikkeling van de internationale rechtsorde ‘als een rode draad door het Nederlandse buitenlandbeleid loopt.’</w:t>
      </w:r>
      <w:r>
        <w:rPr>
          <w:rStyle w:val="FootnoteReference"/>
        </w:rPr>
        <w:footnoteReference w:id="23"/>
      </w:r>
      <w:r w:rsidR="00064A3B">
        <w:t xml:space="preserve"> </w:t>
      </w:r>
    </w:p>
    <w:p w:rsidR="004F64E6" w:rsidP="00094937" w:rsidRDefault="004F64E6" w14:paraId="5023981A" w14:textId="77777777">
      <w:pPr>
        <w:spacing w:after="0"/>
        <w:jc w:val="both"/>
      </w:pPr>
    </w:p>
    <w:p w:rsidR="00002B20" w:rsidP="00094937" w:rsidRDefault="00E63523" w14:paraId="290782F7" w14:textId="4158981A">
      <w:pPr>
        <w:spacing w:after="0"/>
        <w:jc w:val="both"/>
      </w:pPr>
      <w:r>
        <w:t xml:space="preserve">Desondanks </w:t>
      </w:r>
      <w:r w:rsidR="002E4ECB">
        <w:t xml:space="preserve">constateert IOB in beide evaluaties een gebrek aan coherentie. </w:t>
      </w:r>
      <w:r w:rsidR="0099573B">
        <w:t>Zo toont</w:t>
      </w:r>
      <w:r w:rsidR="002E4ECB">
        <w:t xml:space="preserve"> </w:t>
      </w:r>
      <w:r w:rsidR="0099573B">
        <w:t xml:space="preserve">de </w:t>
      </w:r>
      <w:r w:rsidR="002E4ECB">
        <w:t xml:space="preserve">mensenrechtenevaluatie aan dat </w:t>
      </w:r>
      <w:r w:rsidRPr="00002B20" w:rsidR="0099573B">
        <w:t xml:space="preserve">Nederland </w:t>
      </w:r>
      <w:r w:rsidRPr="0099573B" w:rsidR="0099573B">
        <w:t>selectief</w:t>
      </w:r>
      <w:r w:rsidRPr="00002B20" w:rsidR="0099573B">
        <w:t xml:space="preserve"> heeft ingezet op het bevorderen van coherentie tussen mensenrechten en andere beleidsterreinen van het buitenlandbeleid.</w:t>
      </w:r>
      <w:r w:rsidR="0099573B">
        <w:t xml:space="preserve"> Illustratief hiervoor was dat d</w:t>
      </w:r>
      <w:r w:rsidRPr="0099573B" w:rsidR="0099573B">
        <w:t xml:space="preserve">e mensenrechteninzet meer naar de achtergrond verdwenen naarmate de </w:t>
      </w:r>
      <w:r w:rsidR="004F64E6">
        <w:t xml:space="preserve">Europese en bilaterale </w:t>
      </w:r>
      <w:r w:rsidRPr="0099573B" w:rsidR="0099573B">
        <w:t>samenwerking met verschillende Noord- Afrikaanse landen (Marokko, Tunesië, Egypte en Libië) nadrukkelijker in het teken kwam te staan van opkomende migratiebelangen</w:t>
      </w:r>
      <w:r w:rsidR="0099573B">
        <w:t xml:space="preserve">. </w:t>
      </w:r>
      <w:r w:rsidR="00594B95">
        <w:t>U</w:t>
      </w:r>
      <w:r w:rsidR="00064A3B">
        <w:t xml:space="preserve">it </w:t>
      </w:r>
      <w:r w:rsidR="00594B95">
        <w:t>bei</w:t>
      </w:r>
      <w:r w:rsidR="0099573B">
        <w:t xml:space="preserve">de evaluatie </w:t>
      </w:r>
      <w:r w:rsidR="00064A3B">
        <w:t>blijkt</w:t>
      </w:r>
      <w:r w:rsidR="0099573B">
        <w:t xml:space="preserve"> </w:t>
      </w:r>
      <w:r w:rsidR="00594B95">
        <w:t xml:space="preserve">ook </w:t>
      </w:r>
      <w:r w:rsidR="0099573B">
        <w:t xml:space="preserve">een </w:t>
      </w:r>
      <w:r w:rsidR="003019AC">
        <w:t xml:space="preserve">gebrek aan </w:t>
      </w:r>
      <w:r w:rsidR="00594B95">
        <w:t xml:space="preserve">sturing op </w:t>
      </w:r>
      <w:r w:rsidR="003019AC">
        <w:t>coherentie</w:t>
      </w:r>
      <w:r w:rsidR="0099573B">
        <w:t>, vooral</w:t>
      </w:r>
      <w:r w:rsidR="003019AC">
        <w:t xml:space="preserve"> tussen directies die zich bezighouden </w:t>
      </w:r>
      <w:r w:rsidR="0099573B">
        <w:t xml:space="preserve">met ontwikkelingssamenwerking </w:t>
      </w:r>
      <w:r w:rsidR="003019AC">
        <w:t>en directies die gericht zijn op politieke zaken.</w:t>
      </w:r>
      <w:r w:rsidR="0099573B">
        <w:t xml:space="preserve"> </w:t>
      </w:r>
      <w:r w:rsidR="00E33432">
        <w:t>Verder</w:t>
      </w:r>
      <w:r w:rsidR="0099573B">
        <w:t xml:space="preserve"> kwam naar voren dat</w:t>
      </w:r>
      <w:r w:rsidR="00E33432">
        <w:t xml:space="preserve"> </w:t>
      </w:r>
      <w:r w:rsidR="0099573B">
        <w:t>de s</w:t>
      </w:r>
      <w:r w:rsidR="00E33432">
        <w:t xml:space="preserve">amenwerking </w:t>
      </w:r>
      <w:r w:rsidR="0099573B">
        <w:t xml:space="preserve">tussen BZ en </w:t>
      </w:r>
      <w:r w:rsidR="00E33432">
        <w:t>andere departementen suboptimaal</w:t>
      </w:r>
      <w:r w:rsidR="0099573B">
        <w:t xml:space="preserve"> verliep</w:t>
      </w:r>
      <w:r w:rsidR="00E33432">
        <w:t>.</w:t>
      </w:r>
      <w:r w:rsidR="00797EEA">
        <w:t xml:space="preserve"> Ten slotte bleek dat de selectieve inspanningen tot gevolg hadden dat Zuidelijke landen de Nederlandse inspanningen </w:t>
      </w:r>
      <w:r w:rsidR="007834A6">
        <w:t xml:space="preserve">op </w:t>
      </w:r>
      <w:r w:rsidR="00594B95">
        <w:t xml:space="preserve">het gebied van mensenrechten en de rechtsorde </w:t>
      </w:r>
      <w:r w:rsidR="00797EEA">
        <w:t>minder geloofwaardig vonden.</w:t>
      </w:r>
    </w:p>
    <w:p w:rsidR="00E011CA" w:rsidP="00094937" w:rsidRDefault="00E011CA" w14:paraId="6B2FE158" w14:textId="77777777">
      <w:pPr>
        <w:spacing w:after="0"/>
        <w:jc w:val="both"/>
      </w:pPr>
    </w:p>
    <w:p w:rsidR="00E011CA" w:rsidP="00094937" w:rsidRDefault="00E011CA" w14:paraId="372C4594" w14:textId="4F7B4993">
      <w:pPr>
        <w:spacing w:after="0"/>
        <w:jc w:val="both"/>
      </w:pPr>
      <w:r>
        <w:t>Concluderend</w:t>
      </w:r>
      <w:r w:rsidR="00970E7D">
        <w:t>:</w:t>
      </w:r>
      <w:r>
        <w:t xml:space="preserve"> </w:t>
      </w:r>
      <w:r w:rsidR="00D834E2">
        <w:t xml:space="preserve">op basis van de onderliggende evaluaties </w:t>
      </w:r>
      <w:r>
        <w:t xml:space="preserve">worden gesteld dat </w:t>
      </w:r>
      <w:bookmarkStart w:name="_Hlk185508190" w:id="4"/>
      <w:r>
        <w:t>de potentiële ondersteunende invloed van de factor ‘beleids</w:t>
      </w:r>
      <w:r w:rsidR="00064A3B">
        <w:t>coherentie</w:t>
      </w:r>
      <w:r>
        <w:t xml:space="preserve">’ in de praktijk beperkt is gerealiseerd. </w:t>
      </w:r>
      <w:bookmarkEnd w:id="4"/>
    </w:p>
    <w:p w:rsidR="00E011CA" w:rsidP="00094937" w:rsidRDefault="00E011CA" w14:paraId="4A9C161E" w14:textId="77777777">
      <w:pPr>
        <w:spacing w:after="0"/>
        <w:jc w:val="both"/>
      </w:pPr>
    </w:p>
    <w:p w:rsidRPr="00241980" w:rsidR="00E33432" w:rsidP="007219C2" w:rsidRDefault="003109F9" w14:paraId="059D8A6A" w14:textId="552598AD">
      <w:pPr>
        <w:pStyle w:val="ListParagraph"/>
        <w:numPr>
          <w:ilvl w:val="0"/>
          <w:numId w:val="11"/>
        </w:numPr>
        <w:spacing w:after="0"/>
        <w:rPr>
          <w:b/>
          <w:bCs/>
        </w:rPr>
      </w:pPr>
      <w:r w:rsidRPr="00241980">
        <w:rPr>
          <w:b/>
          <w:bCs/>
        </w:rPr>
        <w:t>Inspelen op</w:t>
      </w:r>
      <w:r w:rsidR="005F4545">
        <w:rPr>
          <w:b/>
          <w:bCs/>
        </w:rPr>
        <w:t xml:space="preserve"> de</w:t>
      </w:r>
      <w:r w:rsidRPr="00241980">
        <w:rPr>
          <w:b/>
          <w:bCs/>
        </w:rPr>
        <w:t xml:space="preserve"> veranderende context door meer s</w:t>
      </w:r>
      <w:r w:rsidRPr="00241980" w:rsidR="00E33432">
        <w:rPr>
          <w:b/>
          <w:bCs/>
        </w:rPr>
        <w:t>amen</w:t>
      </w:r>
      <w:r w:rsidRPr="00241980">
        <w:rPr>
          <w:b/>
          <w:bCs/>
        </w:rPr>
        <w:t xml:space="preserve"> te </w:t>
      </w:r>
      <w:r w:rsidRPr="00241980" w:rsidR="00E33432">
        <w:rPr>
          <w:b/>
          <w:bCs/>
        </w:rPr>
        <w:t>werk</w:t>
      </w:r>
      <w:r w:rsidRPr="00241980">
        <w:rPr>
          <w:b/>
          <w:bCs/>
        </w:rPr>
        <w:t>e</w:t>
      </w:r>
      <w:r w:rsidRPr="00241980" w:rsidR="00E33432">
        <w:rPr>
          <w:b/>
          <w:bCs/>
        </w:rPr>
        <w:t xml:space="preserve">n </w:t>
      </w:r>
      <w:r w:rsidRPr="00241980" w:rsidR="00DF469A">
        <w:rPr>
          <w:b/>
          <w:bCs/>
        </w:rPr>
        <w:t xml:space="preserve">met </w:t>
      </w:r>
      <w:r w:rsidRPr="00241980" w:rsidR="00E33432">
        <w:rPr>
          <w:b/>
          <w:bCs/>
        </w:rPr>
        <w:t>zuidelijke landen</w:t>
      </w:r>
    </w:p>
    <w:p w:rsidR="005F4545" w:rsidP="00FF4DB9" w:rsidRDefault="003109F9" w14:paraId="154EC802" w14:textId="5FF7E9A2">
      <w:pPr>
        <w:spacing w:after="0"/>
        <w:jc w:val="both"/>
      </w:pPr>
      <w:r>
        <w:t xml:space="preserve">Het opzetten van nieuwe partnerschappen en </w:t>
      </w:r>
      <w:r w:rsidR="00707B8E">
        <w:t xml:space="preserve">het </w:t>
      </w:r>
      <w:r>
        <w:t xml:space="preserve">intensiveren van de samenwerking met zuidelijke landen </w:t>
      </w:r>
      <w:r w:rsidR="00707B8E">
        <w:t>vormde</w:t>
      </w:r>
      <w:r>
        <w:t xml:space="preserve"> een belangrijke pilaar onder de strategie om in te spelen op de verslechterende (geopolitieke) context. </w:t>
      </w:r>
      <w:r w:rsidR="00707B8E">
        <w:t>Dit</w:t>
      </w:r>
      <w:r>
        <w:t xml:space="preserve"> </w:t>
      </w:r>
      <w:r w:rsidR="00707B8E">
        <w:t xml:space="preserve">moest </w:t>
      </w:r>
      <w:r w:rsidR="005F4545">
        <w:t>eveneens</w:t>
      </w:r>
      <w:r w:rsidR="00707B8E">
        <w:t xml:space="preserve"> </w:t>
      </w:r>
      <w:r>
        <w:t>het verwijt counteren dat de inzet voor mensenrechten en de internationale rechtsorde vooral een ‘</w:t>
      </w:r>
      <w:r w:rsidR="00AF25D4">
        <w:t>w</w:t>
      </w:r>
      <w:r>
        <w:t xml:space="preserve">esterse agenda’ was. </w:t>
      </w:r>
    </w:p>
    <w:p w:rsidR="005F4545" w:rsidP="00FF4DB9" w:rsidRDefault="005F4545" w14:paraId="7B788BBB" w14:textId="77777777">
      <w:pPr>
        <w:spacing w:after="0"/>
        <w:jc w:val="both"/>
      </w:pPr>
    </w:p>
    <w:p w:rsidRPr="00E33432" w:rsidR="00E33432" w:rsidP="00FF4DB9" w:rsidRDefault="00707B8E" w14:paraId="40718A23" w14:textId="0A5BB698">
      <w:pPr>
        <w:spacing w:after="0"/>
        <w:jc w:val="both"/>
      </w:pPr>
      <w:r>
        <w:t>Echter, u</w:t>
      </w:r>
      <w:r w:rsidR="003109F9">
        <w:t xml:space="preserve">it de </w:t>
      </w:r>
      <w:r w:rsidR="00E33432">
        <w:t>evaluatie</w:t>
      </w:r>
      <w:r w:rsidR="00FF4DB9">
        <w:t>s</w:t>
      </w:r>
      <w:r w:rsidR="00E33432">
        <w:t xml:space="preserve"> </w:t>
      </w:r>
      <w:r w:rsidR="003109F9">
        <w:t xml:space="preserve">blijkt </w:t>
      </w:r>
      <w:r w:rsidR="00E33432">
        <w:t>dat dit</w:t>
      </w:r>
      <w:r w:rsidR="003109F9">
        <w:t xml:space="preserve"> </w:t>
      </w:r>
      <w:r>
        <w:t xml:space="preserve">in de praktijk </w:t>
      </w:r>
      <w:r w:rsidR="003109F9">
        <w:t>maar</w:t>
      </w:r>
      <w:r w:rsidR="00E33432">
        <w:t xml:space="preserve"> gedeeltelijk is gelukt. </w:t>
      </w:r>
      <w:r w:rsidR="00FF4DB9">
        <w:t>Nederland</w:t>
      </w:r>
      <w:r w:rsidR="00E33432">
        <w:t xml:space="preserve"> </w:t>
      </w:r>
      <w:r>
        <w:t xml:space="preserve">heeft </w:t>
      </w:r>
      <w:r w:rsidR="00FF4DB9">
        <w:t xml:space="preserve">op de </w:t>
      </w:r>
      <w:r w:rsidR="00E33432">
        <w:t>eigen prioritaire thema’s</w:t>
      </w:r>
      <w:r w:rsidR="00FF4DB9">
        <w:t xml:space="preserve"> de</w:t>
      </w:r>
      <w:r w:rsidR="00E33432">
        <w:t xml:space="preserve"> samenwerking ver</w:t>
      </w:r>
      <w:r>
        <w:t>sterkt</w:t>
      </w:r>
      <w:r w:rsidR="00E33432">
        <w:t xml:space="preserve"> met zuidelijke landen</w:t>
      </w:r>
      <w:r>
        <w:t xml:space="preserve"> en daarmee het internationale draagvlak iets verbreed.</w:t>
      </w:r>
      <w:r w:rsidR="003109F9">
        <w:t xml:space="preserve"> </w:t>
      </w:r>
      <w:r>
        <w:t>Zo droegen verschillende Latijns-Amerikaanse landen actief bij aan het beschermen en bevorderen van LHNTIQ+-rechten. M</w:t>
      </w:r>
      <w:r w:rsidR="003109F9">
        <w:t xml:space="preserve">aar </w:t>
      </w:r>
      <w:r>
        <w:t xml:space="preserve">Nederland </w:t>
      </w:r>
      <w:r w:rsidR="003109F9">
        <w:t xml:space="preserve">had </w:t>
      </w:r>
      <w:r w:rsidR="00E33432">
        <w:t xml:space="preserve">weinig oog voor </w:t>
      </w:r>
      <w:r w:rsidR="00FF4DB9">
        <w:t>de prioriteiten van zuidelijke landen</w:t>
      </w:r>
      <w:r w:rsidR="003109F9">
        <w:t xml:space="preserve"> </w:t>
      </w:r>
      <w:r w:rsidR="00E63523">
        <w:t xml:space="preserve">zelf </w:t>
      </w:r>
      <w:r w:rsidR="003109F9">
        <w:t xml:space="preserve">en </w:t>
      </w:r>
      <w:r w:rsidR="00E63523">
        <w:t xml:space="preserve">voor </w:t>
      </w:r>
      <w:r w:rsidR="003109F9">
        <w:t>landenspecifieke ontwikkelingen</w:t>
      </w:r>
      <w:r>
        <w:t xml:space="preserve">. </w:t>
      </w:r>
    </w:p>
    <w:p w:rsidR="00FF4DB9" w:rsidP="001C4236" w:rsidRDefault="00FF4DB9" w14:paraId="4E485804" w14:textId="77777777">
      <w:pPr>
        <w:spacing w:after="0"/>
        <w:rPr>
          <w:i/>
          <w:iCs/>
        </w:rPr>
      </w:pPr>
    </w:p>
    <w:p w:rsidRPr="005A44CE" w:rsidR="00094303" w:rsidP="00CF3E85" w:rsidRDefault="00AB6063" w14:paraId="458F89B8" w14:textId="08F5FEED">
      <w:pPr>
        <w:spacing w:after="0"/>
        <w:rPr>
          <w:b/>
          <w:color w:val="1F3864" w:themeColor="accent1" w:themeShade="80"/>
          <w:sz w:val="24"/>
          <w:szCs w:val="24"/>
        </w:rPr>
      </w:pPr>
      <w:r w:rsidRPr="005A44CE">
        <w:rPr>
          <w:b/>
          <w:color w:val="1F3864" w:themeColor="accent1" w:themeShade="80"/>
          <w:sz w:val="24"/>
          <w:szCs w:val="24"/>
        </w:rPr>
        <w:t xml:space="preserve">5. </w:t>
      </w:r>
      <w:r w:rsidRPr="005A44CE" w:rsidR="00F60197">
        <w:rPr>
          <w:b/>
          <w:color w:val="1F3864" w:themeColor="accent1" w:themeShade="80"/>
          <w:sz w:val="24"/>
          <w:szCs w:val="24"/>
        </w:rPr>
        <w:t>B</w:t>
      </w:r>
      <w:r w:rsidRPr="005A44CE">
        <w:rPr>
          <w:b/>
          <w:color w:val="1F3864" w:themeColor="accent1" w:themeShade="80"/>
          <w:sz w:val="24"/>
          <w:szCs w:val="24"/>
        </w:rPr>
        <w:t>eleidsa</w:t>
      </w:r>
      <w:r w:rsidRPr="005A44CE" w:rsidR="00094303">
        <w:rPr>
          <w:b/>
          <w:color w:val="1F3864" w:themeColor="accent1" w:themeShade="80"/>
          <w:sz w:val="24"/>
          <w:szCs w:val="24"/>
        </w:rPr>
        <w:t xml:space="preserve">anbevelingen </w:t>
      </w:r>
    </w:p>
    <w:p w:rsidR="00AB6063" w:rsidP="00CF3E85" w:rsidRDefault="00AB6063" w14:paraId="40C12A32" w14:textId="77777777">
      <w:pPr>
        <w:spacing w:after="0"/>
        <w:rPr>
          <w:b/>
          <w:bCs/>
        </w:rPr>
      </w:pPr>
    </w:p>
    <w:p w:rsidR="00094303" w:rsidP="00EC24A9" w:rsidRDefault="00A93D63" w14:paraId="0EB1CA04" w14:textId="298B3839">
      <w:pPr>
        <w:spacing w:after="0"/>
        <w:jc w:val="both"/>
      </w:pPr>
      <w:r>
        <w:t xml:space="preserve">Op basis van </w:t>
      </w:r>
      <w:r w:rsidR="00B451B0">
        <w:t xml:space="preserve">deze </w:t>
      </w:r>
      <w:r>
        <w:t>bevindingen komen de o</w:t>
      </w:r>
      <w:r w:rsidRPr="00094303" w:rsidR="00094303">
        <w:t xml:space="preserve">nderliggende </w:t>
      </w:r>
      <w:r w:rsidR="00094303">
        <w:t>evaluaties tot vergelijkbare aanbevelingen</w:t>
      </w:r>
      <w:r>
        <w:t>:</w:t>
      </w:r>
      <w:r w:rsidR="00094303">
        <w:t xml:space="preserve"> </w:t>
      </w:r>
    </w:p>
    <w:p w:rsidR="00094303" w:rsidP="00EC24A9" w:rsidRDefault="00094303" w14:paraId="10C4BADE" w14:textId="77777777">
      <w:pPr>
        <w:spacing w:after="0"/>
        <w:jc w:val="both"/>
      </w:pPr>
    </w:p>
    <w:p w:rsidRPr="00241980" w:rsidR="00A93D63" w:rsidP="00094303" w:rsidRDefault="00A93D63" w14:paraId="0BCC3165" w14:textId="306A3839">
      <w:pPr>
        <w:spacing w:after="0"/>
        <w:rPr>
          <w:b/>
          <w:bCs/>
        </w:rPr>
      </w:pPr>
      <w:r w:rsidRPr="00241980">
        <w:rPr>
          <w:b/>
          <w:bCs/>
        </w:rPr>
        <w:t xml:space="preserve">a) </w:t>
      </w:r>
      <w:r w:rsidRPr="00241980" w:rsidR="00094303">
        <w:rPr>
          <w:b/>
          <w:bCs/>
        </w:rPr>
        <w:t xml:space="preserve">Verbeter de strategische aansturing van het beleid </w:t>
      </w:r>
    </w:p>
    <w:p w:rsidR="00F802DE" w:rsidP="00F802DE" w:rsidRDefault="00B451B0" w14:paraId="005B6529" w14:textId="0D0E5852">
      <w:pPr>
        <w:spacing w:after="0"/>
        <w:jc w:val="both"/>
      </w:pPr>
      <w:r>
        <w:lastRenderedPageBreak/>
        <w:t>F</w:t>
      </w:r>
      <w:r w:rsidR="00F802DE">
        <w:t>ormul</w:t>
      </w:r>
      <w:r>
        <w:t>eer</w:t>
      </w:r>
      <w:r w:rsidRPr="00B451B0">
        <w:t xml:space="preserve"> </w:t>
      </w:r>
      <w:r>
        <w:t xml:space="preserve">in de fase van beleidsontwikkeling </w:t>
      </w:r>
      <w:r w:rsidR="00F802DE">
        <w:t>een duidelijk beleidskader met realistische doel</w:t>
      </w:r>
      <w:r>
        <w:t>stellingen</w:t>
      </w:r>
      <w:r w:rsidR="00F802DE">
        <w:t xml:space="preserve"> waarop </w:t>
      </w:r>
      <w:r>
        <w:t xml:space="preserve">vervolgens </w:t>
      </w:r>
      <w:r w:rsidR="00F802DE">
        <w:t xml:space="preserve">gestuurd kan worden. Er is vooral </w:t>
      </w:r>
      <w:r w:rsidR="00A93D63">
        <w:t xml:space="preserve">winst te behalen </w:t>
      </w:r>
      <w:r w:rsidR="00F802DE">
        <w:t>door</w:t>
      </w:r>
      <w:r w:rsidR="00A93D63">
        <w:t xml:space="preserve"> landenspecifieke doelstellingen (</w:t>
      </w:r>
      <w:r w:rsidRPr="00A93D63" w:rsidR="00A93D63">
        <w:rPr>
          <w:i/>
          <w:iCs/>
        </w:rPr>
        <w:t>wat</w:t>
      </w:r>
      <w:r w:rsidR="00A93D63">
        <w:t xml:space="preserve">) en </w:t>
      </w:r>
      <w:r w:rsidR="00F802DE">
        <w:t>strategieën</w:t>
      </w:r>
      <w:r w:rsidR="00A93D63">
        <w:t xml:space="preserve"> (</w:t>
      </w:r>
      <w:r w:rsidRPr="00A93D63" w:rsidR="00A93D63">
        <w:rPr>
          <w:i/>
          <w:iCs/>
        </w:rPr>
        <w:t>hoe</w:t>
      </w:r>
      <w:r w:rsidR="00A93D63">
        <w:t xml:space="preserve">) </w:t>
      </w:r>
      <w:r w:rsidR="00F802DE">
        <w:t xml:space="preserve">uit te werken </w:t>
      </w:r>
      <w:r w:rsidR="009A0F9E">
        <w:t xml:space="preserve">voor </w:t>
      </w:r>
      <w:r w:rsidR="00A93D63">
        <w:t>de middellange</w:t>
      </w:r>
      <w:r w:rsidR="00F802DE">
        <w:t xml:space="preserve"> </w:t>
      </w:r>
      <w:r w:rsidR="00A93D63">
        <w:t>termijn</w:t>
      </w:r>
      <w:r w:rsidR="009A0F9E">
        <w:t xml:space="preserve">. BZ zou zich </w:t>
      </w:r>
      <w:r w:rsidR="00094303">
        <w:t xml:space="preserve">minder </w:t>
      </w:r>
      <w:r w:rsidR="00F802DE">
        <w:t>moeten</w:t>
      </w:r>
      <w:r w:rsidR="00094303">
        <w:t xml:space="preserve"> focussen op zichtbaarheid </w:t>
      </w:r>
      <w:r w:rsidR="00F802DE">
        <w:t xml:space="preserve">van de inzet </w:t>
      </w:r>
      <w:r w:rsidR="00094303">
        <w:t xml:space="preserve">op de korte termijn en meer gewicht </w:t>
      </w:r>
      <w:r>
        <w:t xml:space="preserve">kunnen </w:t>
      </w:r>
      <w:r w:rsidR="00094303">
        <w:t>geven aan duurzamere langetermijneffecten</w:t>
      </w:r>
      <w:r w:rsidR="009A0F9E">
        <w:t xml:space="preserve">. </w:t>
      </w:r>
    </w:p>
    <w:p w:rsidR="009A0F9E" w:rsidP="009A0F9E" w:rsidRDefault="009A0F9E" w14:paraId="4A067A49" w14:textId="77777777">
      <w:pPr>
        <w:spacing w:after="0"/>
        <w:jc w:val="both"/>
      </w:pPr>
    </w:p>
    <w:p w:rsidR="005F4545" w:rsidP="009A0F9E" w:rsidRDefault="005F4545" w14:paraId="36AC5F49" w14:textId="77777777">
      <w:pPr>
        <w:spacing w:after="0"/>
        <w:jc w:val="both"/>
      </w:pPr>
    </w:p>
    <w:p w:rsidR="00F40C70" w:rsidP="009A0F9E" w:rsidRDefault="009A0F9E" w14:paraId="45F32CCB" w14:textId="53C96AB0">
      <w:pPr>
        <w:spacing w:after="0"/>
        <w:jc w:val="both"/>
      </w:pPr>
      <w:r>
        <w:t xml:space="preserve">Voor </w:t>
      </w:r>
      <w:r w:rsidR="00F802DE">
        <w:t xml:space="preserve">de </w:t>
      </w:r>
      <w:r w:rsidR="00A46B6C">
        <w:t xml:space="preserve">fase van </w:t>
      </w:r>
      <w:r>
        <w:t xml:space="preserve">beleidsuitvoering bevelen beide evaluaties aan om meer aandacht te </w:t>
      </w:r>
      <w:r w:rsidR="00F802DE">
        <w:t>besteden</w:t>
      </w:r>
      <w:r>
        <w:t xml:space="preserve"> aan de </w:t>
      </w:r>
      <w:r w:rsidRPr="00B451B0">
        <w:rPr>
          <w:i/>
          <w:iCs/>
        </w:rPr>
        <w:t>implementatie</w:t>
      </w:r>
      <w:r>
        <w:t xml:space="preserve"> van internationale afspraken (EU-richtlijnen en VN-resoluties) </w:t>
      </w:r>
      <w:r w:rsidR="00F802DE">
        <w:t xml:space="preserve">en </w:t>
      </w:r>
      <w:r>
        <w:t xml:space="preserve">instrumenten (sancties) om </w:t>
      </w:r>
      <w:r w:rsidR="00F802DE">
        <w:t xml:space="preserve">zo </w:t>
      </w:r>
      <w:r>
        <w:t xml:space="preserve">de kloof tussen papier en praktijk te overbruggen. </w:t>
      </w:r>
      <w:r w:rsidR="00F802DE">
        <w:t xml:space="preserve">Daarnaast kan BZ meer geografische en thematische </w:t>
      </w:r>
      <w:r w:rsidRPr="00F802DE" w:rsidR="00F802DE">
        <w:rPr>
          <w:i/>
          <w:iCs/>
        </w:rPr>
        <w:t>focus</w:t>
      </w:r>
      <w:r w:rsidR="00F802DE">
        <w:t xml:space="preserve"> aanbrengen in de </w:t>
      </w:r>
      <w:r w:rsidR="00A46B6C">
        <w:t xml:space="preserve">bilaterale </w:t>
      </w:r>
      <w:r w:rsidR="00F802DE">
        <w:t>overheidssteun aan maatschappelijke organisaties</w:t>
      </w:r>
      <w:r w:rsidR="00F40C70">
        <w:t>.</w:t>
      </w:r>
      <w:r w:rsidR="00F802DE">
        <w:t xml:space="preserve"> </w:t>
      </w:r>
      <w:r w:rsidR="00BA5001">
        <w:t xml:space="preserve">Het terugdringen van </w:t>
      </w:r>
      <w:r w:rsidR="00F802DE">
        <w:t xml:space="preserve">de versnipperde </w:t>
      </w:r>
      <w:r w:rsidR="00D17F0D">
        <w:t xml:space="preserve">aanpak </w:t>
      </w:r>
      <w:r w:rsidR="00BA5001">
        <w:t xml:space="preserve">draagt bij aan het verbeteren van de effectiviteit en efficiëntie van </w:t>
      </w:r>
      <w:r w:rsidR="00D17F0D">
        <w:t>het beleid onder dit begrotingsartikel</w:t>
      </w:r>
      <w:r w:rsidR="00BA5001">
        <w:t>.</w:t>
      </w:r>
      <w:r w:rsidR="00F40C70">
        <w:t xml:space="preserve"> </w:t>
      </w:r>
    </w:p>
    <w:p w:rsidR="009A0F9E" w:rsidP="009A0F9E" w:rsidRDefault="009A0F9E" w14:paraId="30B142D6" w14:textId="77777777">
      <w:pPr>
        <w:spacing w:after="0"/>
        <w:jc w:val="both"/>
      </w:pPr>
    </w:p>
    <w:p w:rsidRPr="00241980" w:rsidR="0030368D" w:rsidP="0030368D" w:rsidRDefault="00A4349A" w14:paraId="1AE5038A" w14:textId="3F7AF83E">
      <w:pPr>
        <w:spacing w:after="0"/>
        <w:jc w:val="both"/>
        <w:rPr>
          <w:b/>
          <w:bCs/>
        </w:rPr>
      </w:pPr>
      <w:r w:rsidRPr="00241980">
        <w:rPr>
          <w:b/>
          <w:bCs/>
        </w:rPr>
        <w:t>b</w:t>
      </w:r>
      <w:r w:rsidRPr="00241980" w:rsidR="0030368D">
        <w:rPr>
          <w:b/>
          <w:bCs/>
        </w:rPr>
        <w:t xml:space="preserve">) </w:t>
      </w:r>
      <w:r w:rsidR="00E63523">
        <w:rPr>
          <w:b/>
          <w:bCs/>
        </w:rPr>
        <w:t xml:space="preserve">Zorg voor balans </w:t>
      </w:r>
      <w:r w:rsidR="00A46B6C">
        <w:rPr>
          <w:b/>
          <w:bCs/>
        </w:rPr>
        <w:t xml:space="preserve">tussen het ambitieniveau en de </w:t>
      </w:r>
      <w:r w:rsidR="00E63523">
        <w:rPr>
          <w:b/>
          <w:bCs/>
        </w:rPr>
        <w:t>o</w:t>
      </w:r>
      <w:r w:rsidRPr="00241980" w:rsidR="00094303">
        <w:rPr>
          <w:b/>
          <w:bCs/>
        </w:rPr>
        <w:t xml:space="preserve">rganisatiecapaciteit om beleid </w:t>
      </w:r>
      <w:r w:rsidRPr="00241980" w:rsidR="007C3409">
        <w:rPr>
          <w:b/>
          <w:bCs/>
        </w:rPr>
        <w:t>uit te voeren</w:t>
      </w:r>
    </w:p>
    <w:p w:rsidR="00144FCF" w:rsidP="0030368D" w:rsidRDefault="00144FCF" w14:paraId="7085B5AB" w14:textId="43C003D4">
      <w:pPr>
        <w:spacing w:after="0"/>
        <w:jc w:val="both"/>
      </w:pPr>
      <w:r>
        <w:t xml:space="preserve">BZ </w:t>
      </w:r>
      <w:r w:rsidR="00241980">
        <w:t xml:space="preserve">kan </w:t>
      </w:r>
      <w:r>
        <w:t xml:space="preserve">de interne capaciteit om het beleid uit te voeren verder versterken. </w:t>
      </w:r>
      <w:r w:rsidR="00135650">
        <w:t>Prioriteiten die naar voren komen in beide evaluaties zijn onder meer:</w:t>
      </w:r>
    </w:p>
    <w:p w:rsidR="00135650" w:rsidP="0030368D" w:rsidRDefault="00135650" w14:paraId="3745D073" w14:textId="77777777">
      <w:pPr>
        <w:spacing w:after="0"/>
        <w:jc w:val="both"/>
      </w:pPr>
    </w:p>
    <w:p w:rsidRPr="00135650" w:rsidR="00135650" w:rsidP="006E17C4" w:rsidRDefault="00135650" w14:paraId="0B523626" w14:textId="7CFCE8DB">
      <w:pPr>
        <w:pStyle w:val="ListParagraph"/>
        <w:numPr>
          <w:ilvl w:val="0"/>
          <w:numId w:val="17"/>
        </w:numPr>
        <w:spacing w:after="0"/>
        <w:jc w:val="both"/>
      </w:pPr>
      <w:r>
        <w:t>Het b</w:t>
      </w:r>
      <w:r w:rsidRPr="00135650">
        <w:t xml:space="preserve">ehoud </w:t>
      </w:r>
      <w:r>
        <w:t xml:space="preserve">van </w:t>
      </w:r>
      <w:r w:rsidRPr="00135650">
        <w:t xml:space="preserve">mensenrechtencapaciteit op ambassades </w:t>
      </w:r>
      <w:r>
        <w:t>om het beleid in de praktijk uit te</w:t>
      </w:r>
      <w:r w:rsidR="006E0800">
        <w:t xml:space="preserve"> </w:t>
      </w:r>
      <w:r>
        <w:t>voeren en het beperken van snelle personeelsrotatie.</w:t>
      </w:r>
      <w:r w:rsidRPr="00135650">
        <w:t xml:space="preserve"> </w:t>
      </w:r>
    </w:p>
    <w:p w:rsidR="007C3409" w:rsidP="006E17C4" w:rsidRDefault="00135650" w14:paraId="291AA48C" w14:textId="5870BD4C">
      <w:pPr>
        <w:pStyle w:val="ListParagraph"/>
        <w:numPr>
          <w:ilvl w:val="0"/>
          <w:numId w:val="10"/>
        </w:numPr>
        <w:spacing w:after="0"/>
        <w:jc w:val="both"/>
      </w:pPr>
      <w:r>
        <w:t xml:space="preserve">Het </w:t>
      </w:r>
      <w:r w:rsidR="007C3409">
        <w:t xml:space="preserve">behoud </w:t>
      </w:r>
      <w:r>
        <w:t xml:space="preserve">van de samenwerkingsverbanden met </w:t>
      </w:r>
      <w:r w:rsidR="007C3409">
        <w:t xml:space="preserve">externe </w:t>
      </w:r>
      <w:r>
        <w:t xml:space="preserve">partners, zoals maatschappelijke organisaties, </w:t>
      </w:r>
      <w:r w:rsidR="007C3409">
        <w:t>denktanks</w:t>
      </w:r>
      <w:r>
        <w:t xml:space="preserve"> en diplomatieke partners.</w:t>
      </w:r>
    </w:p>
    <w:p w:rsidR="00135650" w:rsidP="006E17C4" w:rsidRDefault="00135650" w14:paraId="1536C873" w14:textId="54A9ED4A">
      <w:pPr>
        <w:pStyle w:val="ListParagraph"/>
        <w:numPr>
          <w:ilvl w:val="0"/>
          <w:numId w:val="10"/>
        </w:numPr>
        <w:spacing w:after="0"/>
        <w:jc w:val="both"/>
      </w:pPr>
      <w:r>
        <w:t>Het investeren in relevante expertise binnen de rijksoverheid over mensenrechten en de internationale rechtsorde, juist ook onder ambtenaren die actief zijn op andere beleidsterreinen.</w:t>
      </w:r>
    </w:p>
    <w:p w:rsidR="00135650" w:rsidP="006E17C4" w:rsidRDefault="00135650" w14:paraId="71B4B2AD" w14:textId="3BAD4905">
      <w:pPr>
        <w:pStyle w:val="ListParagraph"/>
        <w:numPr>
          <w:ilvl w:val="0"/>
          <w:numId w:val="10"/>
        </w:numPr>
        <w:spacing w:after="0"/>
        <w:jc w:val="both"/>
      </w:pPr>
      <w:r>
        <w:t xml:space="preserve">Het bevorderen van een contextsensitieve uitvoering van het beleid op landenniveau. Zorg daarom voor </w:t>
      </w:r>
      <w:r w:rsidRPr="00135650">
        <w:t xml:space="preserve">een sterke rol voor ambassades en landenteams in de prioriteitstelling, het ontwikkelen van beleid en de besluitvorming over de inzet van financiële middelen. </w:t>
      </w:r>
    </w:p>
    <w:p w:rsidRPr="00135650" w:rsidR="00135650" w:rsidP="006E17C4" w:rsidRDefault="00135650" w14:paraId="60ABCBA6" w14:textId="385FAAFE">
      <w:pPr>
        <w:pStyle w:val="ListParagraph"/>
        <w:numPr>
          <w:ilvl w:val="0"/>
          <w:numId w:val="10"/>
        </w:numPr>
        <w:spacing w:after="0"/>
        <w:jc w:val="both"/>
      </w:pPr>
      <w:r>
        <w:t>Het vormgeven van een persoonlijke inzet op politiek en hoog</w:t>
      </w:r>
      <w:r w:rsidR="00241980">
        <w:t xml:space="preserve"> </w:t>
      </w:r>
      <w:r>
        <w:t>ambtelijk niveau op de meest prioritaire thema’s aangezien dit een belangrijke randvoorwaarde voor succes is.</w:t>
      </w:r>
    </w:p>
    <w:p w:rsidR="00135650" w:rsidP="006E17C4" w:rsidRDefault="00135650" w14:paraId="12114C8F" w14:textId="77777777">
      <w:pPr>
        <w:pStyle w:val="ListParagraph"/>
        <w:spacing w:after="0"/>
        <w:ind w:left="360"/>
        <w:jc w:val="both"/>
      </w:pPr>
    </w:p>
    <w:p w:rsidRPr="00241980" w:rsidR="00A4349A" w:rsidP="006E17C4" w:rsidRDefault="00A4349A" w14:paraId="56AD8339" w14:textId="7F667379">
      <w:pPr>
        <w:spacing w:after="0"/>
        <w:jc w:val="both"/>
        <w:rPr>
          <w:b/>
          <w:bCs/>
          <w:color w:val="000000"/>
        </w:rPr>
      </w:pPr>
      <w:r w:rsidRPr="00241980">
        <w:rPr>
          <w:b/>
          <w:bCs/>
        </w:rPr>
        <w:t xml:space="preserve">c) </w:t>
      </w:r>
      <w:r w:rsidRPr="00241980">
        <w:rPr>
          <w:b/>
          <w:bCs/>
          <w:color w:val="000000"/>
        </w:rPr>
        <w:t>Veranker de inspanningen steviger en structureler in het bredere buitenlandbeleid</w:t>
      </w:r>
    </w:p>
    <w:p w:rsidR="00D627E0" w:rsidP="006E17C4" w:rsidRDefault="00A46B6C" w14:paraId="4D0988EE" w14:textId="7A6F0226">
      <w:pPr>
        <w:spacing w:after="0"/>
        <w:jc w:val="both"/>
      </w:pPr>
      <w:r>
        <w:rPr>
          <w:color w:val="000000"/>
        </w:rPr>
        <w:t>H</w:t>
      </w:r>
      <w:r w:rsidR="00A4349A">
        <w:rPr>
          <w:color w:val="000000"/>
        </w:rPr>
        <w:t>et versterken van de samenhang met andere beleidsterreinen vergroot de effectiviteit</w:t>
      </w:r>
      <w:r w:rsidR="006E42C2">
        <w:rPr>
          <w:color w:val="000000"/>
        </w:rPr>
        <w:t xml:space="preserve"> en efficiëntie</w:t>
      </w:r>
      <w:r w:rsidR="00A4349A">
        <w:rPr>
          <w:color w:val="000000"/>
        </w:rPr>
        <w:t xml:space="preserve"> van het mensenrechtenbeleid en </w:t>
      </w:r>
      <w:r w:rsidR="00241980">
        <w:rPr>
          <w:color w:val="000000"/>
        </w:rPr>
        <w:t xml:space="preserve">het beleid voor </w:t>
      </w:r>
      <w:r w:rsidR="00A4349A">
        <w:rPr>
          <w:color w:val="000000"/>
        </w:rPr>
        <w:t>de internationale rechtsorde. Dit vereist, zo benadrukt de IOB-evaluatie over de inzet voor de internationale rechtsorde, e</w:t>
      </w:r>
      <w:r w:rsidR="00A4349A">
        <w:t xml:space="preserve">en breed gedragen visie voor de lange termijn. Voor de Nederlandse geloofwaardigheid is het belangrijk om selectieve gerechtigheid te voorkomen en vast te houden aan het kernbegrip ‘accountability voor alle partijen.’ </w:t>
      </w:r>
      <w:r w:rsidR="00A4349A">
        <w:rPr>
          <w:color w:val="000000"/>
        </w:rPr>
        <w:t xml:space="preserve">De mensenrechtenevaluatie formuleert een aantal concrete aanbevelingen om de samenhang te verbeteren met het migratiebeleid, ontwikkelingshulp en verschillende handelsinstrumenten. Organisatorisch kan BZ investeren in het versterken </w:t>
      </w:r>
      <w:r w:rsidR="006E42C2">
        <w:rPr>
          <w:color w:val="000000"/>
        </w:rPr>
        <w:t xml:space="preserve">en beter samenbrengen van de kennis en capaciteit op het departement. Tevens kan BZ investeren in het versterken </w:t>
      </w:r>
      <w:r w:rsidR="00A4349A">
        <w:rPr>
          <w:color w:val="000000"/>
        </w:rPr>
        <w:t>van de samenwerking met andere departementen</w:t>
      </w:r>
      <w:r w:rsidR="00A4349A">
        <w:t xml:space="preserve"> die ook een belangrijke bijdrage leveren op het terrein van de internationale rechtsorde en mensenrechten.</w:t>
      </w:r>
    </w:p>
    <w:p w:rsidR="007F7466" w:rsidP="006E17C4" w:rsidRDefault="007F7466" w14:paraId="3B88471C" w14:textId="77777777">
      <w:pPr>
        <w:spacing w:after="0"/>
        <w:jc w:val="both"/>
      </w:pPr>
    </w:p>
    <w:p w:rsidR="00773816" w:rsidP="006E17C4" w:rsidRDefault="00773816" w14:paraId="2FF3935F" w14:textId="77777777">
      <w:pPr>
        <w:spacing w:after="0"/>
        <w:jc w:val="both"/>
      </w:pPr>
    </w:p>
    <w:p w:rsidR="00773816" w:rsidP="006E17C4" w:rsidRDefault="00773816" w14:paraId="1F905C28" w14:textId="77777777">
      <w:pPr>
        <w:spacing w:after="0"/>
        <w:jc w:val="both"/>
      </w:pPr>
    </w:p>
    <w:p w:rsidR="00773816" w:rsidP="006E17C4" w:rsidRDefault="00773816" w14:paraId="375166DB" w14:textId="77777777">
      <w:pPr>
        <w:spacing w:after="0"/>
        <w:jc w:val="both"/>
      </w:pPr>
    </w:p>
    <w:p w:rsidR="00773816" w:rsidP="006E17C4" w:rsidRDefault="00773816" w14:paraId="63777C2C" w14:textId="77777777">
      <w:pPr>
        <w:spacing w:after="0"/>
        <w:jc w:val="both"/>
      </w:pPr>
    </w:p>
    <w:p w:rsidR="00AF5269" w:rsidP="006E17C4" w:rsidRDefault="00AF5269" w14:paraId="484A47A5" w14:textId="121D76D5">
      <w:pPr>
        <w:spacing w:after="0"/>
        <w:jc w:val="both"/>
        <w:rPr>
          <w:b/>
          <w:color w:val="1F3864" w:themeColor="accent1" w:themeShade="80"/>
          <w:sz w:val="24"/>
          <w:szCs w:val="24"/>
        </w:rPr>
      </w:pPr>
      <w:r>
        <w:rPr>
          <w:b/>
          <w:color w:val="1F3864" w:themeColor="accent1" w:themeShade="80"/>
          <w:sz w:val="24"/>
          <w:szCs w:val="24"/>
        </w:rPr>
        <w:lastRenderedPageBreak/>
        <w:t>6</w:t>
      </w:r>
      <w:r w:rsidRPr="005A44CE">
        <w:rPr>
          <w:b/>
          <w:color w:val="1F3864" w:themeColor="accent1" w:themeShade="80"/>
          <w:sz w:val="24"/>
          <w:szCs w:val="24"/>
        </w:rPr>
        <w:t xml:space="preserve">. </w:t>
      </w:r>
      <w:r>
        <w:rPr>
          <w:b/>
          <w:color w:val="1F3864" w:themeColor="accent1" w:themeShade="80"/>
          <w:sz w:val="24"/>
          <w:szCs w:val="24"/>
        </w:rPr>
        <w:t>Beleidsopties en b</w:t>
      </w:r>
      <w:r w:rsidRPr="005A44CE">
        <w:rPr>
          <w:b/>
          <w:color w:val="1F3864" w:themeColor="accent1" w:themeShade="80"/>
          <w:sz w:val="24"/>
          <w:szCs w:val="24"/>
        </w:rPr>
        <w:t>e</w:t>
      </w:r>
      <w:r>
        <w:rPr>
          <w:b/>
          <w:color w:val="1F3864" w:themeColor="accent1" w:themeShade="80"/>
          <w:sz w:val="24"/>
          <w:szCs w:val="24"/>
        </w:rPr>
        <w:t>sparingsvariant opgesteld door verantwoordelijke beleidsdirectie</w:t>
      </w:r>
    </w:p>
    <w:p w:rsidR="00AF5269" w:rsidP="006E17C4" w:rsidRDefault="00AF5269" w14:paraId="1F3FFABC" w14:textId="77777777">
      <w:pPr>
        <w:spacing w:after="0"/>
        <w:jc w:val="both"/>
        <w:rPr>
          <w:b/>
          <w:color w:val="1F3864" w:themeColor="accent1" w:themeShade="80"/>
          <w:sz w:val="24"/>
          <w:szCs w:val="24"/>
        </w:rPr>
      </w:pPr>
    </w:p>
    <w:p w:rsidRPr="00644007" w:rsidR="00D857C5" w:rsidP="00D857C5" w:rsidRDefault="00D857C5" w14:paraId="5F5C3B4E" w14:textId="77777777">
      <w:pPr>
        <w:jc w:val="both"/>
      </w:pPr>
      <w:bookmarkStart w:name="_Hlk190952889" w:id="5"/>
      <w:r>
        <w:t xml:space="preserve">Op basis </w:t>
      </w:r>
      <w:r w:rsidRPr="00644007">
        <w:t>van bovenstaande bevindingen en aanbevelingen van IOB heeft de directie Multilaterale Instellingen en Mensenrechten (DMM) opties geformuleerd om het beleid aan te passen en uitgaven te besparen in het licht van de bezuinigingen.</w:t>
      </w:r>
    </w:p>
    <w:p w:rsidRPr="00644007" w:rsidR="00753F90" w:rsidP="00644007" w:rsidRDefault="00D857C5" w14:paraId="061C3387" w14:textId="2927B19D">
      <w:pPr>
        <w:jc w:val="both"/>
        <w:rPr>
          <w:color w:val="000000"/>
        </w:rPr>
      </w:pPr>
      <w:r w:rsidRPr="00644007">
        <w:rPr>
          <w:color w:val="000000"/>
        </w:rPr>
        <w:t xml:space="preserve">Onder </w:t>
      </w:r>
      <w:r w:rsidRPr="00644007" w:rsidR="00753F90">
        <w:rPr>
          <w:color w:val="000000"/>
        </w:rPr>
        <w:t>k</w:t>
      </w:r>
      <w:r w:rsidRPr="00644007">
        <w:rPr>
          <w:color w:val="000000"/>
        </w:rPr>
        <w:t xml:space="preserve">abinet Schoof is een bezuiniging opgenomen voor Hoofdstuk 5 van de begroting (“multilaterale samenwerking en overige inzet”) die oploopt naar EUR 100 mln. per jaar. Dit maakt een bezuiniging op het mensenrechtenbeleid en de inzet op internationale rechtsorde noodzakelijk. Dit betreft zowel de bilaterale inzet als de inzet via de VN. Daarnaast is door het </w:t>
      </w:r>
      <w:r w:rsidRPr="00644007" w:rsidR="00753F90">
        <w:rPr>
          <w:color w:val="000000"/>
        </w:rPr>
        <w:t>k</w:t>
      </w:r>
      <w:r w:rsidRPr="00644007">
        <w:rPr>
          <w:color w:val="000000"/>
        </w:rPr>
        <w:t>abinet een bezuiniging doorgevoerd op het beleidskader voor Versterking Maatschappelijk Middenveld, waardoor er minder middelen beschikbaar zijn voor de mensenrechtenprioriteiten LHBTIQ+ en FoRB</w:t>
      </w:r>
      <w:r w:rsidRPr="00644007" w:rsidR="00753F90">
        <w:rPr>
          <w:color w:val="000000"/>
        </w:rPr>
        <w:t>. De minister voor Buitenlandse Handel en Ontwikkelingshulp informeert uw Kamer per brief over de voorgenomen inzet en beschikbare middelen voor de instrumenten gericht op de bevordering van deze mensenrechtenprioriteiten.</w:t>
      </w:r>
    </w:p>
    <w:p w:rsidR="00D857C5" w:rsidP="00D857C5" w:rsidRDefault="00D857C5" w14:paraId="27070ACD" w14:textId="54AC9906">
      <w:pPr>
        <w:jc w:val="both"/>
        <w:rPr>
          <w:color w:val="000000"/>
        </w:rPr>
      </w:pPr>
      <w:r w:rsidRPr="00B76D48">
        <w:t xml:space="preserve">Bij de invulling van de bezuinigingen volgt het ministerie van Buitenlandse Zaken aanbevelingen uit de onderliggende beleidsevaluaties. </w:t>
      </w:r>
      <w:r w:rsidRPr="00B76D48">
        <w:rPr>
          <w:color w:val="000000"/>
        </w:rPr>
        <w:t>Zo is het kabinet voornemens om in lijn met</w:t>
      </w:r>
      <w:r w:rsidRPr="00B76D48">
        <w:t xml:space="preserve"> de beleidsaanbevelingen geografische focus aan te brengen en het aantal partnerlanden te beperken. </w:t>
      </w:r>
      <w:r w:rsidRPr="00B76D48">
        <w:rPr>
          <w:color w:val="000000"/>
        </w:rPr>
        <w:t xml:space="preserve">Het ministerie richt het mensenrechtenfonds opnieuw in om met minder middelen in een minder groot aantal landen toch een effectieve inzet te behouden. </w:t>
      </w:r>
      <w:r w:rsidRPr="00B76D48">
        <w:t>Concreet betekent dit dat er keuzes gemaakt moeten worden in het aantal landen waar het decentrale mensenrechtenfonds wordt ingezet op basis van een aantal duidelijke criteria. De verdere uitwerking hiervan vindt</w:t>
      </w:r>
      <w:r w:rsidRPr="00B76D48" w:rsidR="00AA5ADD">
        <w:t xml:space="preserve"> momenteel</w:t>
      </w:r>
      <w:r w:rsidRPr="00B76D48">
        <w:t xml:space="preserve"> plaats; uw Kamer zal </w:t>
      </w:r>
      <w:r w:rsidRPr="00B76D48" w:rsidR="00AA5ADD">
        <w:t xml:space="preserve">schriftelijk </w:t>
      </w:r>
      <w:r w:rsidRPr="00B76D48">
        <w:t xml:space="preserve">geïnformeerd worden over deze uitwerking </w:t>
      </w:r>
      <w:r w:rsidRPr="00B76D48" w:rsidR="00AA5ADD">
        <w:t xml:space="preserve">voorafgaand aan </w:t>
      </w:r>
      <w:r w:rsidRPr="00B76D48">
        <w:t>het jaarlijkse debat met de Kamer over mensenrechten.</w:t>
      </w:r>
    </w:p>
    <w:p w:rsidR="00D857C5" w:rsidP="00D857C5" w:rsidRDefault="00D857C5" w14:paraId="3A6881F0" w14:textId="77777777">
      <w:pPr>
        <w:spacing w:line="280" w:lineRule="atLeast"/>
        <w:jc w:val="both"/>
        <w:rPr>
          <w:rFonts w:ascii="Verdana" w:hAnsi="Verdana"/>
          <w:color w:val="000000"/>
          <w:sz w:val="18"/>
          <w:szCs w:val="18"/>
        </w:rPr>
      </w:pPr>
      <w:r>
        <w:rPr>
          <w:color w:val="000000"/>
        </w:rPr>
        <w:t>Verhoging van de inzet op mensenrechten t.o.v. de evaluatieperiode (+20% variant) is op dit moment niet aan de orde. BZ zet in op het in stand houden van een geloofwaardig en effectief mensenrechtenbeleid in een minder groot aantal landen. Daarnaast is Nederland lid van de VN-mensenrechtenraad voor de periode 2024-2026, waarbij voldoende financiële en personele inzet van belang blijft om tegenwicht te bieden aan toenemende invloed van landen die de Universele Verklaring van de Rechten van de Mens beperkt of niet steunen.</w:t>
      </w:r>
    </w:p>
    <w:bookmarkEnd w:id="5"/>
    <w:p w:rsidR="006E17C4" w:rsidP="006E17C4" w:rsidRDefault="006E17C4" w14:paraId="216E5359" w14:textId="77777777">
      <w:pPr>
        <w:spacing w:after="0"/>
      </w:pPr>
    </w:p>
    <w:p w:rsidR="007F7466" w:rsidP="006E17C4" w:rsidRDefault="007F7466" w14:paraId="4C82737A" w14:textId="77777777">
      <w:pPr>
        <w:spacing w:after="0"/>
      </w:pPr>
    </w:p>
    <w:sectPr w:rsidR="007F7466" w:rsidSect="00D2373A">
      <w:footerReference w:type="default" r:id="rId12"/>
      <w:pgSz w:w="11906" w:h="16838"/>
      <w:pgMar w:top="1440" w:right="1440" w:bottom="1440" w:left="1440" w:header="708" w:footer="708" w:gutter="0"/>
      <w:pgNumType w:start="1"/>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8C504" w14:textId="77777777" w:rsidR="009A4852" w:rsidRDefault="009A4852" w:rsidP="007864D3">
      <w:pPr>
        <w:spacing w:after="0" w:line="240" w:lineRule="auto"/>
      </w:pPr>
      <w:r>
        <w:separator/>
      </w:r>
    </w:p>
  </w:endnote>
  <w:endnote w:type="continuationSeparator" w:id="0">
    <w:p w14:paraId="629B4BDB" w14:textId="77777777" w:rsidR="009A4852" w:rsidRDefault="009A4852" w:rsidP="007864D3">
      <w:pPr>
        <w:spacing w:after="0" w:line="240" w:lineRule="auto"/>
      </w:pPr>
      <w:r>
        <w:continuationSeparator/>
      </w:r>
    </w:p>
  </w:endnote>
  <w:endnote w:type="continuationNotice" w:id="1">
    <w:p w14:paraId="4CAF36B4" w14:textId="77777777" w:rsidR="009A4852" w:rsidRDefault="009A48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ijksoverheidSansText">
    <w:altName w:val="Calibri"/>
    <w:panose1 w:val="00000000000000000000"/>
    <w:charset w:val="4D"/>
    <w:family w:val="swiss"/>
    <w:notTrueType/>
    <w:pitch w:val="variable"/>
    <w:sig w:usb0="00000087" w:usb1="00000001" w:usb2="00000000" w:usb3="00000000" w:csb0="0000009B" w:csb1="00000000"/>
  </w:font>
  <w:font w:name="Segoe UI">
    <w:panose1 w:val="020B0502040204020203"/>
    <w:charset w:val="00"/>
    <w:family w:val="swiss"/>
    <w:pitch w:val="variable"/>
    <w:sig w:usb0="E4002EFF" w:usb1="C000E47F"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6235374"/>
      <w:docPartObj>
        <w:docPartGallery w:val="Page Numbers (Bottom of Page)"/>
        <w:docPartUnique/>
      </w:docPartObj>
    </w:sdtPr>
    <w:sdtEndPr/>
    <w:sdtContent>
      <w:p w14:paraId="2571A436" w14:textId="19B80CC3" w:rsidR="000F74AB" w:rsidRDefault="000F74AB">
        <w:pPr>
          <w:pStyle w:val="Footer"/>
          <w:jc w:val="right"/>
        </w:pPr>
        <w:r>
          <w:fldChar w:fldCharType="begin"/>
        </w:r>
        <w:r>
          <w:instrText>PAGE   \* MERGEFORMAT</w:instrText>
        </w:r>
        <w:r>
          <w:fldChar w:fldCharType="separate"/>
        </w:r>
        <w:r>
          <w:t>2</w:t>
        </w:r>
        <w:r>
          <w:fldChar w:fldCharType="end"/>
        </w:r>
      </w:p>
    </w:sdtContent>
  </w:sdt>
  <w:p w14:paraId="4ED6166F" w14:textId="77777777" w:rsidR="000F74AB" w:rsidRDefault="000F74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0A698" w14:textId="77777777" w:rsidR="009A4852" w:rsidRDefault="009A4852" w:rsidP="007864D3">
      <w:pPr>
        <w:spacing w:after="0" w:line="240" w:lineRule="auto"/>
      </w:pPr>
      <w:r>
        <w:separator/>
      </w:r>
    </w:p>
  </w:footnote>
  <w:footnote w:type="continuationSeparator" w:id="0">
    <w:p w14:paraId="2ABD51E7" w14:textId="77777777" w:rsidR="009A4852" w:rsidRDefault="009A4852" w:rsidP="007864D3">
      <w:pPr>
        <w:spacing w:after="0" w:line="240" w:lineRule="auto"/>
      </w:pPr>
      <w:r>
        <w:continuationSeparator/>
      </w:r>
    </w:p>
  </w:footnote>
  <w:footnote w:type="continuationNotice" w:id="1">
    <w:p w14:paraId="499AB71D" w14:textId="77777777" w:rsidR="009A4852" w:rsidRDefault="009A4852">
      <w:pPr>
        <w:spacing w:after="0" w:line="240" w:lineRule="auto"/>
      </w:pPr>
    </w:p>
  </w:footnote>
  <w:footnote w:id="2">
    <w:p w14:paraId="6D3B6E25" w14:textId="232EDFC5" w:rsidR="00141A00" w:rsidRPr="00D544DF" w:rsidRDefault="00141A00" w:rsidP="00141A00">
      <w:pPr>
        <w:pStyle w:val="FootnoteText"/>
        <w:rPr>
          <w:sz w:val="18"/>
          <w:szCs w:val="18"/>
        </w:rPr>
      </w:pPr>
      <w:r w:rsidRPr="00D544DF">
        <w:rPr>
          <w:rStyle w:val="FootnoteReference"/>
          <w:sz w:val="18"/>
          <w:szCs w:val="18"/>
        </w:rPr>
        <w:footnoteRef/>
      </w:r>
      <w:r w:rsidRPr="00D544DF">
        <w:rPr>
          <w:sz w:val="18"/>
          <w:szCs w:val="18"/>
        </w:rPr>
        <w:t xml:space="preserve"> </w:t>
      </w:r>
      <w:r w:rsidR="00BC41D4" w:rsidRPr="00D544DF">
        <w:rPr>
          <w:sz w:val="18"/>
          <w:szCs w:val="18"/>
        </w:rPr>
        <w:t xml:space="preserve">Ministerie van Financiën, 2023. </w:t>
      </w:r>
      <w:hyperlink r:id="rId1" w:history="1">
        <w:r w:rsidRPr="00D544DF">
          <w:rPr>
            <w:rStyle w:val="Hyperlink"/>
            <w:sz w:val="18"/>
            <w:szCs w:val="18"/>
          </w:rPr>
          <w:t>Memorie van Toelichting</w:t>
        </w:r>
      </w:hyperlink>
      <w:r w:rsidR="00BC41D4" w:rsidRPr="00D544DF">
        <w:rPr>
          <w:rStyle w:val="Hyperlink"/>
          <w:sz w:val="18"/>
          <w:szCs w:val="18"/>
        </w:rPr>
        <w:t>.</w:t>
      </w:r>
    </w:p>
  </w:footnote>
  <w:footnote w:id="3">
    <w:p w14:paraId="4AB5B657" w14:textId="4AC55589" w:rsidR="00A23374" w:rsidRPr="00D544DF" w:rsidRDefault="00A23374">
      <w:pPr>
        <w:pStyle w:val="FootnoteText"/>
        <w:rPr>
          <w:sz w:val="18"/>
          <w:szCs w:val="18"/>
        </w:rPr>
      </w:pPr>
      <w:r w:rsidRPr="00D544DF">
        <w:rPr>
          <w:rStyle w:val="FootnoteReference"/>
          <w:sz w:val="18"/>
          <w:szCs w:val="18"/>
        </w:rPr>
        <w:footnoteRef/>
      </w:r>
      <w:r w:rsidRPr="00D544DF">
        <w:rPr>
          <w:sz w:val="18"/>
          <w:szCs w:val="18"/>
        </w:rPr>
        <w:t xml:space="preserve"> Vanaf hier benoemd als ‘internationale rechtsorde’</w:t>
      </w:r>
      <w:r w:rsidR="004806BA" w:rsidRPr="00D544DF">
        <w:rPr>
          <w:sz w:val="18"/>
          <w:szCs w:val="18"/>
        </w:rPr>
        <w:t xml:space="preserve">, en toegelicht als artikel 1.1 wanneer nodig. </w:t>
      </w:r>
      <w:r w:rsidRPr="00D544DF">
        <w:rPr>
          <w:sz w:val="18"/>
          <w:szCs w:val="18"/>
        </w:rPr>
        <w:t xml:space="preserve"> </w:t>
      </w:r>
    </w:p>
  </w:footnote>
  <w:footnote w:id="4">
    <w:p w14:paraId="44DF6731" w14:textId="1B3BE00E" w:rsidR="007E7E71" w:rsidRPr="00D544DF" w:rsidRDefault="007E7E71">
      <w:pPr>
        <w:pStyle w:val="FootnoteText"/>
        <w:rPr>
          <w:sz w:val="18"/>
          <w:szCs w:val="18"/>
        </w:rPr>
      </w:pPr>
      <w:r w:rsidRPr="00D544DF">
        <w:rPr>
          <w:rStyle w:val="FootnoteReference"/>
          <w:sz w:val="18"/>
          <w:szCs w:val="18"/>
        </w:rPr>
        <w:footnoteRef/>
      </w:r>
      <w:r w:rsidRPr="00D544DF">
        <w:rPr>
          <w:sz w:val="18"/>
          <w:szCs w:val="18"/>
        </w:rPr>
        <w:t xml:space="preserve"> </w:t>
      </w:r>
      <w:r w:rsidR="00CE76BB" w:rsidRPr="00D544DF">
        <w:rPr>
          <w:sz w:val="18"/>
          <w:szCs w:val="18"/>
        </w:rPr>
        <w:t>IOB, 20</w:t>
      </w:r>
      <w:r w:rsidR="0081789B" w:rsidRPr="00D544DF">
        <w:rPr>
          <w:sz w:val="18"/>
          <w:szCs w:val="18"/>
        </w:rPr>
        <w:t>2</w:t>
      </w:r>
      <w:r w:rsidR="008B2373" w:rsidRPr="00D544DF">
        <w:rPr>
          <w:sz w:val="18"/>
          <w:szCs w:val="18"/>
        </w:rPr>
        <w:t>2</w:t>
      </w:r>
      <w:r w:rsidR="0081789B" w:rsidRPr="00D544DF">
        <w:rPr>
          <w:sz w:val="18"/>
          <w:szCs w:val="18"/>
        </w:rPr>
        <w:t>. “</w:t>
      </w:r>
      <w:hyperlink r:id="rId2" w:history="1">
        <w:r w:rsidR="0081789B" w:rsidRPr="00D544DF">
          <w:rPr>
            <w:rStyle w:val="Hyperlink"/>
            <w:sz w:val="18"/>
            <w:szCs w:val="18"/>
          </w:rPr>
          <w:t>Aan artikel 90 verplicht Naar een volwaardig beleid voor internationale rechtsorde</w:t>
        </w:r>
      </w:hyperlink>
      <w:r w:rsidR="00057DDA" w:rsidRPr="00D544DF">
        <w:rPr>
          <w:rStyle w:val="Hyperlink"/>
          <w:sz w:val="18"/>
          <w:szCs w:val="18"/>
        </w:rPr>
        <w:t>.</w:t>
      </w:r>
      <w:r w:rsidR="0081789B" w:rsidRPr="00D544DF">
        <w:rPr>
          <w:sz w:val="18"/>
          <w:szCs w:val="18"/>
        </w:rPr>
        <w:t>”</w:t>
      </w:r>
    </w:p>
  </w:footnote>
  <w:footnote w:id="5">
    <w:p w14:paraId="6DEDF13F" w14:textId="2810EC30" w:rsidR="00CE76BB" w:rsidRPr="00D544DF" w:rsidRDefault="00CE76BB">
      <w:pPr>
        <w:pStyle w:val="FootnoteText"/>
        <w:rPr>
          <w:sz w:val="18"/>
          <w:szCs w:val="18"/>
        </w:rPr>
      </w:pPr>
      <w:r w:rsidRPr="00D544DF">
        <w:rPr>
          <w:rStyle w:val="FootnoteReference"/>
          <w:sz w:val="18"/>
          <w:szCs w:val="18"/>
        </w:rPr>
        <w:footnoteRef/>
      </w:r>
      <w:r w:rsidRPr="00D544DF">
        <w:rPr>
          <w:sz w:val="18"/>
          <w:szCs w:val="18"/>
        </w:rPr>
        <w:t xml:space="preserve"> </w:t>
      </w:r>
      <w:r w:rsidR="0081789B" w:rsidRPr="00D544DF">
        <w:rPr>
          <w:sz w:val="18"/>
          <w:szCs w:val="18"/>
        </w:rPr>
        <w:t>IOB, 202</w:t>
      </w:r>
      <w:r w:rsidR="00DC24B5">
        <w:rPr>
          <w:sz w:val="18"/>
          <w:szCs w:val="18"/>
        </w:rPr>
        <w:t>5</w:t>
      </w:r>
      <w:r w:rsidR="0081789B" w:rsidRPr="00D544DF">
        <w:rPr>
          <w:sz w:val="18"/>
          <w:szCs w:val="18"/>
        </w:rPr>
        <w:t>. “Tussen papier en praktijk: evaluatie van het Nederlandse mensenrechtenbeleid in een veranderende wereldorde</w:t>
      </w:r>
      <w:r w:rsidR="00057DDA" w:rsidRPr="00D544DF">
        <w:rPr>
          <w:sz w:val="18"/>
          <w:szCs w:val="18"/>
        </w:rPr>
        <w:t>.</w:t>
      </w:r>
      <w:r w:rsidR="0081789B" w:rsidRPr="00D544DF">
        <w:rPr>
          <w:sz w:val="18"/>
          <w:szCs w:val="18"/>
        </w:rPr>
        <w:t>”</w:t>
      </w:r>
    </w:p>
  </w:footnote>
  <w:footnote w:id="6">
    <w:p w14:paraId="3E6AE980" w14:textId="02184226" w:rsidR="007D57EC" w:rsidRPr="00D544DF" w:rsidRDefault="007D57EC">
      <w:pPr>
        <w:pStyle w:val="FootnoteText"/>
        <w:rPr>
          <w:sz w:val="18"/>
          <w:szCs w:val="18"/>
        </w:rPr>
      </w:pPr>
      <w:r w:rsidRPr="00D544DF">
        <w:rPr>
          <w:rStyle w:val="FootnoteReference"/>
          <w:sz w:val="18"/>
          <w:szCs w:val="18"/>
        </w:rPr>
        <w:footnoteRef/>
      </w:r>
      <w:r w:rsidRPr="00D544DF">
        <w:rPr>
          <w:sz w:val="18"/>
          <w:szCs w:val="18"/>
        </w:rPr>
        <w:t xml:space="preserve"> </w:t>
      </w:r>
      <w:r w:rsidR="00711EF3" w:rsidRPr="00D544DF">
        <w:rPr>
          <w:sz w:val="18"/>
          <w:szCs w:val="18"/>
        </w:rPr>
        <w:t>IOB</w:t>
      </w:r>
      <w:r w:rsidR="00141A00" w:rsidRPr="00D544DF">
        <w:rPr>
          <w:sz w:val="18"/>
          <w:szCs w:val="18"/>
        </w:rPr>
        <w:t>, 2019. “</w:t>
      </w:r>
      <w:hyperlink r:id="rId3" w:history="1">
        <w:r w:rsidR="00141A00" w:rsidRPr="00D544DF">
          <w:rPr>
            <w:rStyle w:val="Hyperlink"/>
            <w:sz w:val="18"/>
            <w:szCs w:val="18"/>
          </w:rPr>
          <w:t>Consulaire dienstverlening en uitdragen Nederlandse waarden</w:t>
        </w:r>
      </w:hyperlink>
      <w:r w:rsidR="00141A00" w:rsidRPr="00D544DF">
        <w:rPr>
          <w:sz w:val="18"/>
          <w:szCs w:val="18"/>
        </w:rPr>
        <w:t xml:space="preserve">”, beleidsdoorlichting. </w:t>
      </w:r>
      <w:r w:rsidR="00711EF3" w:rsidRPr="00D544DF">
        <w:rPr>
          <w:sz w:val="18"/>
          <w:szCs w:val="18"/>
        </w:rPr>
        <w:t xml:space="preserve"> </w:t>
      </w:r>
    </w:p>
  </w:footnote>
  <w:footnote w:id="7">
    <w:p w14:paraId="07AE8B93" w14:textId="5E2A7C86" w:rsidR="00057DDA" w:rsidRPr="00D544DF" w:rsidRDefault="00057DDA">
      <w:pPr>
        <w:pStyle w:val="FootnoteText"/>
        <w:rPr>
          <w:sz w:val="18"/>
          <w:szCs w:val="18"/>
        </w:rPr>
      </w:pPr>
      <w:r w:rsidRPr="00D544DF">
        <w:rPr>
          <w:rStyle w:val="FootnoteReference"/>
          <w:sz w:val="18"/>
          <w:szCs w:val="18"/>
        </w:rPr>
        <w:footnoteRef/>
      </w:r>
      <w:r w:rsidRPr="00D544DF">
        <w:rPr>
          <w:sz w:val="18"/>
          <w:szCs w:val="18"/>
        </w:rPr>
        <w:t xml:space="preserve"> </w:t>
      </w:r>
      <w:r w:rsidRPr="00D544DF">
        <w:rPr>
          <w:rFonts w:cs="RijksoverheidSansText"/>
          <w:color w:val="000000"/>
          <w:sz w:val="18"/>
          <w:szCs w:val="18"/>
        </w:rPr>
        <w:t xml:space="preserve">Regeerakkoord 2017-2021.  </w:t>
      </w:r>
      <w:r w:rsidR="00565246" w:rsidRPr="00D544DF">
        <w:rPr>
          <w:rFonts w:cs="RijksoverheidSansText"/>
          <w:color w:val="000000"/>
          <w:sz w:val="18"/>
          <w:szCs w:val="18"/>
        </w:rPr>
        <w:t>“</w:t>
      </w:r>
      <w:r w:rsidRPr="00D544DF">
        <w:rPr>
          <w:rStyle w:val="A15"/>
        </w:rPr>
        <w:t>Vertrouwen in de Toekomst</w:t>
      </w:r>
      <w:r w:rsidRPr="00D544DF">
        <w:rPr>
          <w:sz w:val="18"/>
          <w:szCs w:val="18"/>
        </w:rPr>
        <w:t>.</w:t>
      </w:r>
      <w:r w:rsidR="00565246" w:rsidRPr="00D544DF">
        <w:rPr>
          <w:sz w:val="18"/>
          <w:szCs w:val="18"/>
        </w:rPr>
        <w:t>”</w:t>
      </w:r>
    </w:p>
  </w:footnote>
  <w:footnote w:id="8">
    <w:p w14:paraId="7A38F22C" w14:textId="664BF904" w:rsidR="002915C2" w:rsidRPr="002915C2" w:rsidRDefault="002915C2">
      <w:pPr>
        <w:pStyle w:val="FootnoteText"/>
      </w:pPr>
      <w:r>
        <w:rPr>
          <w:rStyle w:val="FootnoteReference"/>
        </w:rPr>
        <w:footnoteRef/>
      </w:r>
      <w:r>
        <w:t xml:space="preserve"> Inmiddels is deze afdeling gesplitst in DMM/</w:t>
      </w:r>
      <w:r w:rsidR="00A91720">
        <w:t>m</w:t>
      </w:r>
      <w:r>
        <w:t>ensenrechten en DMM/politiek en internationale rechtsorde.</w:t>
      </w:r>
    </w:p>
  </w:footnote>
  <w:footnote w:id="9">
    <w:p w14:paraId="188F7575" w14:textId="6D7FB9B8" w:rsidR="00062D7B" w:rsidRPr="00062D7B" w:rsidRDefault="00062D7B">
      <w:pPr>
        <w:pStyle w:val="FootnoteText"/>
      </w:pPr>
      <w:r w:rsidRPr="00D544DF">
        <w:rPr>
          <w:rStyle w:val="FootnoteReference"/>
          <w:sz w:val="18"/>
          <w:szCs w:val="18"/>
        </w:rPr>
        <w:footnoteRef/>
      </w:r>
      <w:r w:rsidRPr="00D544DF">
        <w:rPr>
          <w:sz w:val="18"/>
          <w:szCs w:val="18"/>
        </w:rPr>
        <w:t xml:space="preserve">  </w:t>
      </w:r>
      <w:r w:rsidR="001974AF">
        <w:rPr>
          <w:sz w:val="18"/>
          <w:szCs w:val="18"/>
        </w:rPr>
        <w:t xml:space="preserve">O.a. de </w:t>
      </w:r>
      <w:r w:rsidRPr="00D544DF">
        <w:rPr>
          <w:sz w:val="18"/>
          <w:szCs w:val="18"/>
        </w:rPr>
        <w:t xml:space="preserve">directies Stabiliteit en Humanitaire Hulp (DSH), Internationaal Ondernemen (DIO) en Sociale Ontwikkeling (DSO). </w:t>
      </w:r>
    </w:p>
  </w:footnote>
  <w:footnote w:id="10">
    <w:p w14:paraId="4F9CAF4C" w14:textId="4F958F97" w:rsidR="00E365D7" w:rsidRPr="00D544DF" w:rsidRDefault="00E365D7" w:rsidP="00E365D7">
      <w:pPr>
        <w:pStyle w:val="FootnoteText"/>
        <w:rPr>
          <w:sz w:val="18"/>
          <w:szCs w:val="18"/>
        </w:rPr>
      </w:pPr>
      <w:r w:rsidRPr="00D544DF">
        <w:rPr>
          <w:rStyle w:val="FootnoteReference"/>
          <w:sz w:val="18"/>
          <w:szCs w:val="18"/>
        </w:rPr>
        <w:footnoteRef/>
      </w:r>
      <w:r w:rsidRPr="00D544DF">
        <w:rPr>
          <w:sz w:val="18"/>
          <w:szCs w:val="18"/>
        </w:rPr>
        <w:t xml:space="preserve"> NCTV, 2019. </w:t>
      </w:r>
      <w:r w:rsidRPr="00D544DF">
        <w:rPr>
          <w:rFonts w:cs="RijksoverheidSansText"/>
          <w:color w:val="000000"/>
          <w:sz w:val="18"/>
          <w:szCs w:val="18"/>
        </w:rPr>
        <w:t>“</w:t>
      </w:r>
      <w:hyperlink r:id="rId4" w:history="1">
        <w:r w:rsidRPr="00D544DF">
          <w:rPr>
            <w:rStyle w:val="Hyperlink"/>
            <w:sz w:val="18"/>
            <w:szCs w:val="18"/>
          </w:rPr>
          <w:t>Nationale Veiligheid Strategie</w:t>
        </w:r>
      </w:hyperlink>
      <w:r w:rsidRPr="00D544DF">
        <w:rPr>
          <w:sz w:val="18"/>
          <w:szCs w:val="18"/>
        </w:rPr>
        <w:t>.”</w:t>
      </w:r>
      <w:r w:rsidRPr="00E365D7">
        <w:rPr>
          <w:sz w:val="18"/>
          <w:szCs w:val="18"/>
        </w:rPr>
        <w:t xml:space="preserve"> </w:t>
      </w:r>
      <w:r w:rsidRPr="00D544DF">
        <w:rPr>
          <w:sz w:val="18"/>
          <w:szCs w:val="18"/>
        </w:rPr>
        <w:t xml:space="preserve">De vijf andere belangen zijn: 1. </w:t>
      </w:r>
      <w:r w:rsidRPr="00FC62E1">
        <w:rPr>
          <w:sz w:val="18"/>
          <w:szCs w:val="18"/>
        </w:rPr>
        <w:t>Territoriale</w:t>
      </w:r>
      <w:r w:rsidRPr="00D544DF">
        <w:rPr>
          <w:sz w:val="18"/>
          <w:szCs w:val="18"/>
        </w:rPr>
        <w:t xml:space="preserve"> veiligheid; 2. Fysieke veiligheid; 3. Economische veiligheid; 4. Ecologische veiligheid: en 5. Sociale en politieke stabiliteit.</w:t>
      </w:r>
    </w:p>
  </w:footnote>
  <w:footnote w:id="11">
    <w:p w14:paraId="65BB10DE" w14:textId="0AB79013" w:rsidR="00582E00" w:rsidRPr="00D544DF" w:rsidRDefault="00582E00" w:rsidP="00E25B2B">
      <w:pPr>
        <w:spacing w:after="0" w:line="240" w:lineRule="auto"/>
        <w:rPr>
          <w:sz w:val="18"/>
          <w:szCs w:val="18"/>
        </w:rPr>
      </w:pPr>
      <w:r w:rsidRPr="00D544DF">
        <w:rPr>
          <w:rStyle w:val="FootnoteReference"/>
          <w:sz w:val="18"/>
          <w:szCs w:val="18"/>
        </w:rPr>
        <w:footnoteRef/>
      </w:r>
      <w:r w:rsidRPr="00D544DF">
        <w:rPr>
          <w:sz w:val="18"/>
          <w:szCs w:val="18"/>
        </w:rPr>
        <w:t xml:space="preserve"> </w:t>
      </w:r>
      <w:r w:rsidR="00A30C54" w:rsidRPr="00D544DF">
        <w:rPr>
          <w:sz w:val="18"/>
          <w:szCs w:val="18"/>
        </w:rPr>
        <w:t>IOB, 2015. “</w:t>
      </w:r>
      <w:hyperlink r:id="rId5" w:history="1">
        <w:r w:rsidR="00A30C54" w:rsidRPr="00D544DF">
          <w:rPr>
            <w:rStyle w:val="Hyperlink"/>
            <w:sz w:val="18"/>
            <w:szCs w:val="18"/>
          </w:rPr>
          <w:t>Vreedzame geschillenbeslechting en het tegengaan van straffeloosheid Beleidsdoorlichting internationale rechtsorde</w:t>
        </w:r>
      </w:hyperlink>
      <w:r w:rsidR="00A30C54" w:rsidRPr="00D544DF">
        <w:rPr>
          <w:sz w:val="18"/>
          <w:szCs w:val="18"/>
        </w:rPr>
        <w:t>.”; IOB, 2015. “</w:t>
      </w:r>
      <w:hyperlink r:id="rId6" w:history="1">
        <w:r w:rsidR="00A30C54" w:rsidRPr="00D544DF">
          <w:rPr>
            <w:rStyle w:val="Hyperlink"/>
            <w:sz w:val="18"/>
            <w:szCs w:val="18"/>
          </w:rPr>
          <w:t>Beleidsdoorlichting Nederlands buitenlands mensenrechtenbeleid – Navigating a sea of interests</w:t>
        </w:r>
      </w:hyperlink>
      <w:r w:rsidR="00A30C54" w:rsidRPr="00D544DF">
        <w:rPr>
          <w:sz w:val="18"/>
          <w:szCs w:val="18"/>
        </w:rPr>
        <w:t>.”</w:t>
      </w:r>
    </w:p>
  </w:footnote>
  <w:footnote w:id="12">
    <w:p w14:paraId="7FDD3A19" w14:textId="0A164BE3" w:rsidR="00C12A0F" w:rsidRPr="00E72A39" w:rsidRDefault="00C12A0F" w:rsidP="00E25B2B">
      <w:pPr>
        <w:pStyle w:val="FootnoteText"/>
        <w:rPr>
          <w:sz w:val="18"/>
          <w:szCs w:val="18"/>
        </w:rPr>
      </w:pPr>
      <w:r w:rsidRPr="00E72A39">
        <w:rPr>
          <w:rStyle w:val="FootnoteReference"/>
          <w:sz w:val="18"/>
          <w:szCs w:val="18"/>
        </w:rPr>
        <w:footnoteRef/>
      </w:r>
      <w:r w:rsidRPr="00E72A39">
        <w:rPr>
          <w:sz w:val="18"/>
          <w:szCs w:val="18"/>
        </w:rPr>
        <w:t xml:space="preserve"> Zie IOB, 2022, p.</w:t>
      </w:r>
      <w:r w:rsidR="00402324" w:rsidRPr="00E72A39">
        <w:rPr>
          <w:sz w:val="18"/>
          <w:szCs w:val="18"/>
        </w:rPr>
        <w:t>13</w:t>
      </w:r>
      <w:r w:rsidRPr="00E72A39">
        <w:rPr>
          <w:sz w:val="18"/>
          <w:szCs w:val="18"/>
        </w:rPr>
        <w:t xml:space="preserve"> en IOB, 2024, p. </w:t>
      </w:r>
      <w:r w:rsidR="00402324" w:rsidRPr="00E72A39">
        <w:rPr>
          <w:sz w:val="18"/>
          <w:szCs w:val="18"/>
        </w:rPr>
        <w:t>4.</w:t>
      </w:r>
    </w:p>
  </w:footnote>
  <w:footnote w:id="13">
    <w:p w14:paraId="0CB252BE" w14:textId="77777777" w:rsidR="00407F98" w:rsidRPr="00E72A39" w:rsidRDefault="00407F98" w:rsidP="00E25B2B">
      <w:pPr>
        <w:pStyle w:val="FootnoteText"/>
        <w:rPr>
          <w:sz w:val="18"/>
          <w:szCs w:val="18"/>
        </w:rPr>
      </w:pPr>
      <w:r w:rsidRPr="00E72A39">
        <w:rPr>
          <w:rStyle w:val="FootnoteReference"/>
          <w:sz w:val="18"/>
          <w:szCs w:val="18"/>
        </w:rPr>
        <w:footnoteRef/>
      </w:r>
      <w:r w:rsidRPr="00E72A39">
        <w:rPr>
          <w:sz w:val="18"/>
          <w:szCs w:val="18"/>
        </w:rPr>
        <w:t xml:space="preserve"> Voor het onderzoek van artikel 1.1 betrof de periode 2015 tot 2021. Voor het onderzoek van artikel 1.2 betrof de periode 2017-2022. </w:t>
      </w:r>
    </w:p>
  </w:footnote>
  <w:footnote w:id="14">
    <w:p w14:paraId="0EFC583C" w14:textId="77777777" w:rsidR="00C0663C" w:rsidRPr="00E72A39" w:rsidRDefault="00C0663C" w:rsidP="00C0663C">
      <w:pPr>
        <w:pStyle w:val="FootnoteText"/>
        <w:rPr>
          <w:sz w:val="18"/>
          <w:szCs w:val="18"/>
        </w:rPr>
      </w:pPr>
      <w:r w:rsidRPr="00570508">
        <w:rPr>
          <w:rStyle w:val="FootnoteReference"/>
          <w:sz w:val="18"/>
          <w:szCs w:val="18"/>
        </w:rPr>
        <w:footnoteRef/>
      </w:r>
      <w:r w:rsidRPr="00570508">
        <w:rPr>
          <w:sz w:val="18"/>
          <w:szCs w:val="18"/>
        </w:rPr>
        <w:t xml:space="preserve"> Buitenlandse Handel en Ontwikkelingssamenwerking</w:t>
      </w:r>
      <w:r>
        <w:rPr>
          <w:sz w:val="18"/>
          <w:szCs w:val="18"/>
        </w:rPr>
        <w:t xml:space="preserve">, tegenwoordig ‘Buitenlandse Handel en Ontwikkelingshulp (BHO). </w:t>
      </w:r>
    </w:p>
  </w:footnote>
  <w:footnote w:id="15">
    <w:p w14:paraId="47577F7E" w14:textId="2509F448" w:rsidR="00E25B2B" w:rsidRPr="00F85A0C" w:rsidRDefault="00E25B2B" w:rsidP="00E25B2B">
      <w:pPr>
        <w:pStyle w:val="FootnoteText"/>
        <w:rPr>
          <w:sz w:val="18"/>
          <w:szCs w:val="18"/>
        </w:rPr>
      </w:pPr>
      <w:r w:rsidRPr="00F85A0C">
        <w:rPr>
          <w:rStyle w:val="FootnoteReference"/>
          <w:sz w:val="18"/>
          <w:szCs w:val="18"/>
        </w:rPr>
        <w:footnoteRef/>
      </w:r>
      <w:r w:rsidRPr="00F85A0C">
        <w:rPr>
          <w:sz w:val="18"/>
          <w:szCs w:val="18"/>
        </w:rPr>
        <w:t xml:space="preserve"> 75 interviews voor de IOB-evaluatie van de internationale rechtsorde en ruim 400 voor de mensenrechtenevaluatie.</w:t>
      </w:r>
    </w:p>
  </w:footnote>
  <w:footnote w:id="16">
    <w:p w14:paraId="2113D827" w14:textId="77777777" w:rsidR="00533817" w:rsidRPr="00F85A0C" w:rsidRDefault="00533817" w:rsidP="00533817">
      <w:pPr>
        <w:pStyle w:val="FootnoteText"/>
        <w:rPr>
          <w:sz w:val="18"/>
          <w:szCs w:val="18"/>
        </w:rPr>
      </w:pPr>
      <w:r w:rsidRPr="00F85A0C">
        <w:rPr>
          <w:rStyle w:val="FootnoteReference"/>
          <w:sz w:val="18"/>
          <w:szCs w:val="18"/>
        </w:rPr>
        <w:footnoteRef/>
      </w:r>
      <w:r w:rsidRPr="00F85A0C">
        <w:rPr>
          <w:sz w:val="18"/>
          <w:szCs w:val="18"/>
        </w:rPr>
        <w:t xml:space="preserve"> Het literatuuronderzoek werd uitgevoerd door de Vrije Universiteit Amsterdam en is </w:t>
      </w:r>
      <w:hyperlink r:id="rId7" w:history="1">
        <w:r w:rsidRPr="00F85A0C">
          <w:rPr>
            <w:rStyle w:val="Hyperlink"/>
            <w:sz w:val="18"/>
            <w:szCs w:val="18"/>
          </w:rPr>
          <w:t>hier</w:t>
        </w:r>
      </w:hyperlink>
      <w:r w:rsidRPr="00F85A0C">
        <w:rPr>
          <w:sz w:val="18"/>
          <w:szCs w:val="18"/>
        </w:rPr>
        <w:t xml:space="preserve"> terug te vinden. </w:t>
      </w:r>
    </w:p>
  </w:footnote>
  <w:footnote w:id="17">
    <w:p w14:paraId="11580F7C" w14:textId="7959F37C" w:rsidR="00533817" w:rsidRPr="00F85A0C" w:rsidRDefault="00533817" w:rsidP="00533817">
      <w:pPr>
        <w:pStyle w:val="FootnoteText"/>
        <w:rPr>
          <w:sz w:val="18"/>
          <w:szCs w:val="18"/>
        </w:rPr>
      </w:pPr>
      <w:r w:rsidRPr="00F85A0C">
        <w:rPr>
          <w:rStyle w:val="FootnoteReference"/>
          <w:sz w:val="18"/>
          <w:szCs w:val="18"/>
        </w:rPr>
        <w:footnoteRef/>
      </w:r>
      <w:r w:rsidRPr="00F85A0C">
        <w:rPr>
          <w:sz w:val="18"/>
          <w:szCs w:val="18"/>
        </w:rPr>
        <w:t xml:space="preserve"> </w:t>
      </w:r>
      <w:r w:rsidR="00DA2692" w:rsidRPr="00F85A0C">
        <w:rPr>
          <w:sz w:val="18"/>
          <w:szCs w:val="18"/>
        </w:rPr>
        <w:t>H</w:t>
      </w:r>
      <w:r w:rsidRPr="00F85A0C">
        <w:rPr>
          <w:sz w:val="18"/>
          <w:szCs w:val="18"/>
        </w:rPr>
        <w:t>et</w:t>
      </w:r>
      <w:r w:rsidRPr="00F85A0C">
        <w:rPr>
          <w:i/>
          <w:sz w:val="18"/>
          <w:szCs w:val="18"/>
        </w:rPr>
        <w:t xml:space="preserve"> Institute of Development Studies</w:t>
      </w:r>
      <w:r w:rsidRPr="00F85A0C">
        <w:rPr>
          <w:sz w:val="18"/>
          <w:szCs w:val="18"/>
        </w:rPr>
        <w:t xml:space="preserve"> </w:t>
      </w:r>
      <w:r w:rsidR="00DA2692" w:rsidRPr="00F85A0C">
        <w:rPr>
          <w:sz w:val="18"/>
          <w:szCs w:val="18"/>
        </w:rPr>
        <w:t>heeft deze studie uitgevoerd en maakt de resultaten</w:t>
      </w:r>
      <w:r w:rsidR="00484C5D" w:rsidRPr="00F85A0C">
        <w:rPr>
          <w:sz w:val="18"/>
          <w:szCs w:val="18"/>
        </w:rPr>
        <w:t xml:space="preserve"> op de </w:t>
      </w:r>
      <w:hyperlink r:id="rId8" w:history="1">
        <w:r w:rsidR="00484C5D" w:rsidRPr="00F85A0C">
          <w:rPr>
            <w:rStyle w:val="Hyperlink"/>
            <w:sz w:val="18"/>
            <w:szCs w:val="18"/>
          </w:rPr>
          <w:t>website van de organisatie</w:t>
        </w:r>
      </w:hyperlink>
      <w:r w:rsidR="00484C5D" w:rsidRPr="00F85A0C">
        <w:rPr>
          <w:sz w:val="18"/>
          <w:szCs w:val="18"/>
        </w:rPr>
        <w:t xml:space="preserve"> openbaar</w:t>
      </w:r>
      <w:r w:rsidRPr="00F85A0C">
        <w:rPr>
          <w:sz w:val="18"/>
          <w:szCs w:val="18"/>
        </w:rPr>
        <w:t>.</w:t>
      </w:r>
    </w:p>
  </w:footnote>
  <w:footnote w:id="18">
    <w:p w14:paraId="248FA645" w14:textId="77777777" w:rsidR="009E79FB" w:rsidRPr="00240167" w:rsidRDefault="009E79FB" w:rsidP="009E79FB">
      <w:pPr>
        <w:pStyle w:val="FootnoteText"/>
      </w:pPr>
      <w:r>
        <w:rPr>
          <w:rStyle w:val="FootnoteReference"/>
        </w:rPr>
        <w:footnoteRef/>
      </w:r>
      <w:r>
        <w:t xml:space="preserve"> Deze criteria staan toegelicht op de </w:t>
      </w:r>
      <w:r w:rsidRPr="00240167">
        <w:t xml:space="preserve">IOB website: </w:t>
      </w:r>
      <w:hyperlink r:id="rId9" w:history="1">
        <w:r>
          <w:rPr>
            <w:rStyle w:val="Hyperlink"/>
          </w:rPr>
          <w:t>Kwaliteitscriteria voor evaluaties | Richtlijn | Directie Internationaal Onderzoek en Beleidsevaluatie (IOB)</w:t>
        </w:r>
      </w:hyperlink>
      <w:r>
        <w:t>.</w:t>
      </w:r>
      <w:r w:rsidRPr="00240167">
        <w:t xml:space="preserve"> </w:t>
      </w:r>
    </w:p>
  </w:footnote>
  <w:footnote w:id="19">
    <w:p w14:paraId="12C8292D" w14:textId="572B1952" w:rsidR="009F6111" w:rsidRPr="00F85A0C" w:rsidRDefault="009F6111">
      <w:pPr>
        <w:pStyle w:val="FootnoteText"/>
        <w:rPr>
          <w:sz w:val="16"/>
          <w:szCs w:val="16"/>
        </w:rPr>
      </w:pPr>
      <w:r w:rsidRPr="00F85A0C">
        <w:rPr>
          <w:rStyle w:val="FootnoteReference"/>
          <w:sz w:val="16"/>
          <w:szCs w:val="16"/>
        </w:rPr>
        <w:footnoteRef/>
      </w:r>
      <w:r w:rsidRPr="00F85A0C">
        <w:rPr>
          <w:sz w:val="16"/>
          <w:szCs w:val="16"/>
        </w:rPr>
        <w:t xml:space="preserve"> IOB, 2021. Aan artikel 90 verplicht. Zie bijv. par. 3.1</w:t>
      </w:r>
      <w:r>
        <w:rPr>
          <w:sz w:val="16"/>
          <w:szCs w:val="16"/>
        </w:rPr>
        <w:t>.</w:t>
      </w:r>
    </w:p>
  </w:footnote>
  <w:footnote w:id="20">
    <w:p w14:paraId="58CF8E59" w14:textId="1850EEBC" w:rsidR="002B118F" w:rsidRPr="00566716" w:rsidRDefault="002B118F">
      <w:pPr>
        <w:pStyle w:val="FootnoteText"/>
        <w:rPr>
          <w:sz w:val="18"/>
          <w:szCs w:val="18"/>
          <w:lang w:val="en-US"/>
        </w:rPr>
      </w:pPr>
      <w:r w:rsidRPr="00566716">
        <w:rPr>
          <w:rStyle w:val="FootnoteReference"/>
          <w:sz w:val="18"/>
          <w:szCs w:val="18"/>
        </w:rPr>
        <w:footnoteRef/>
      </w:r>
      <w:r w:rsidRPr="00566716">
        <w:rPr>
          <w:sz w:val="18"/>
          <w:szCs w:val="18"/>
        </w:rPr>
        <w:t xml:space="preserve"> Dit past in een langer historisch patroon op het terrein van internationale normstelling. </w:t>
      </w:r>
      <w:r w:rsidRPr="00566716">
        <w:rPr>
          <w:sz w:val="18"/>
          <w:szCs w:val="18"/>
          <w:lang w:val="en-US"/>
        </w:rPr>
        <w:t>Zie Hilde Reiding “</w:t>
      </w:r>
      <w:r w:rsidRPr="00566716">
        <w:rPr>
          <w:i/>
          <w:sz w:val="18"/>
          <w:szCs w:val="18"/>
          <w:lang w:val="en-US"/>
        </w:rPr>
        <w:t xml:space="preserve">The Netherlands and the Development of International Human Rights Instruments”, </w:t>
      </w:r>
      <w:r w:rsidRPr="00566716">
        <w:rPr>
          <w:sz w:val="18"/>
          <w:szCs w:val="18"/>
          <w:lang w:val="en-US"/>
        </w:rPr>
        <w:t xml:space="preserve">PhD thesis 2007.  </w:t>
      </w:r>
    </w:p>
  </w:footnote>
  <w:footnote w:id="21">
    <w:p w14:paraId="50DBF8F8" w14:textId="5A589E89" w:rsidR="00DC24B5" w:rsidRPr="009B23EA" w:rsidRDefault="00DC24B5" w:rsidP="00DC24B5">
      <w:pPr>
        <w:pStyle w:val="FootnoteText"/>
        <w:rPr>
          <w:sz w:val="18"/>
          <w:szCs w:val="18"/>
        </w:rPr>
      </w:pPr>
      <w:r w:rsidRPr="00566716">
        <w:rPr>
          <w:rStyle w:val="FootnoteReference"/>
          <w:sz w:val="18"/>
          <w:szCs w:val="18"/>
        </w:rPr>
        <w:footnoteRef/>
      </w:r>
      <w:r>
        <w:rPr>
          <w:sz w:val="18"/>
          <w:szCs w:val="18"/>
        </w:rPr>
        <w:t xml:space="preserve"> </w:t>
      </w:r>
      <w:r w:rsidRPr="009B23EA">
        <w:rPr>
          <w:sz w:val="18"/>
          <w:szCs w:val="18"/>
        </w:rPr>
        <w:t>IOB, 202</w:t>
      </w:r>
      <w:r>
        <w:rPr>
          <w:sz w:val="18"/>
          <w:szCs w:val="18"/>
        </w:rPr>
        <w:t>5</w:t>
      </w:r>
      <w:r w:rsidRPr="009B23EA">
        <w:rPr>
          <w:sz w:val="18"/>
          <w:szCs w:val="18"/>
        </w:rPr>
        <w:t>. “Tussen papier en praktijk: evaluatie van het Nederlandse mensenrechtenbeleid in een veranderende wereldorde”</w:t>
      </w:r>
      <w:r>
        <w:rPr>
          <w:sz w:val="18"/>
          <w:szCs w:val="18"/>
        </w:rPr>
        <w:t>, Hoofdstuk 4.</w:t>
      </w:r>
    </w:p>
    <w:p w14:paraId="3F99A6C3" w14:textId="21EB1A96" w:rsidR="00DC24B5" w:rsidRPr="00566716" w:rsidRDefault="00DC24B5">
      <w:pPr>
        <w:pStyle w:val="FootnoteText"/>
        <w:rPr>
          <w:sz w:val="18"/>
          <w:szCs w:val="18"/>
        </w:rPr>
      </w:pPr>
    </w:p>
  </w:footnote>
  <w:footnote w:id="22">
    <w:p w14:paraId="23EEEBB3" w14:textId="75A94C25" w:rsidR="00314EF9" w:rsidRPr="00F85A0C" w:rsidRDefault="00314EF9">
      <w:pPr>
        <w:pStyle w:val="FootnoteText"/>
        <w:rPr>
          <w:sz w:val="18"/>
          <w:szCs w:val="18"/>
        </w:rPr>
      </w:pPr>
      <w:r w:rsidRPr="00F85A0C">
        <w:rPr>
          <w:rStyle w:val="FootnoteReference"/>
          <w:sz w:val="18"/>
          <w:szCs w:val="18"/>
        </w:rPr>
        <w:footnoteRef/>
      </w:r>
      <w:r w:rsidRPr="00F85A0C">
        <w:rPr>
          <w:sz w:val="18"/>
          <w:szCs w:val="18"/>
        </w:rPr>
        <w:t xml:space="preserve"> Bijvoorbeeld via de partnerschappen onder het programma ‘Strategische Partnerschappen’ met het maatschappelijk middenveld.</w:t>
      </w:r>
    </w:p>
  </w:footnote>
  <w:footnote w:id="23">
    <w:p w14:paraId="338BAAA5" w14:textId="3736BC0A" w:rsidR="00E0187D" w:rsidRPr="00203500" w:rsidRDefault="00E0187D">
      <w:pPr>
        <w:pStyle w:val="FootnoteText"/>
        <w:rPr>
          <w:sz w:val="16"/>
          <w:szCs w:val="16"/>
        </w:rPr>
      </w:pPr>
      <w:r w:rsidRPr="00203500">
        <w:rPr>
          <w:rStyle w:val="FootnoteReference"/>
          <w:sz w:val="16"/>
          <w:szCs w:val="16"/>
        </w:rPr>
        <w:footnoteRef/>
      </w:r>
      <w:r w:rsidRPr="00203500">
        <w:rPr>
          <w:sz w:val="16"/>
          <w:szCs w:val="16"/>
        </w:rPr>
        <w:t xml:space="preserve"> </w:t>
      </w:r>
      <w:r w:rsidR="00DC66C1" w:rsidRPr="00203500">
        <w:rPr>
          <w:sz w:val="16"/>
          <w:szCs w:val="16"/>
        </w:rPr>
        <w:t>BZ</w:t>
      </w:r>
      <w:r w:rsidR="00053201">
        <w:rPr>
          <w:sz w:val="16"/>
          <w:szCs w:val="16"/>
        </w:rPr>
        <w:t>, 2016.</w:t>
      </w:r>
      <w:r w:rsidR="00DC66C1" w:rsidRPr="00203500">
        <w:rPr>
          <w:sz w:val="16"/>
          <w:szCs w:val="16"/>
        </w:rPr>
        <w:t xml:space="preserve"> </w:t>
      </w:r>
      <w:r w:rsidR="00064A3B">
        <w:rPr>
          <w:sz w:val="16"/>
          <w:szCs w:val="16"/>
        </w:rPr>
        <w:t>“</w:t>
      </w:r>
      <w:hyperlink r:id="rId10" w:history="1">
        <w:r w:rsidRPr="00203500">
          <w:rPr>
            <w:rStyle w:val="Hyperlink"/>
            <w:sz w:val="16"/>
            <w:szCs w:val="16"/>
          </w:rPr>
          <w:t xml:space="preserve">Kabinetsreactie op </w:t>
        </w:r>
        <w:r w:rsidR="006E0800" w:rsidRPr="00203500">
          <w:rPr>
            <w:rStyle w:val="Hyperlink"/>
            <w:sz w:val="16"/>
            <w:szCs w:val="16"/>
          </w:rPr>
          <w:t>IOB-beleidsdoorlichting</w:t>
        </w:r>
        <w:r w:rsidR="00DC66C1" w:rsidRPr="00203500">
          <w:rPr>
            <w:rStyle w:val="Hyperlink"/>
            <w:sz w:val="16"/>
            <w:szCs w:val="16"/>
          </w:rPr>
          <w:t>,</w:t>
        </w:r>
        <w:r w:rsidRPr="00203500">
          <w:rPr>
            <w:rStyle w:val="Hyperlink"/>
            <w:sz w:val="16"/>
            <w:szCs w:val="16"/>
          </w:rPr>
          <w:t xml:space="preserve"> artikel</w:t>
        </w:r>
        <w:r w:rsidR="00DC66C1" w:rsidRPr="00203500">
          <w:rPr>
            <w:rStyle w:val="Hyperlink"/>
            <w:sz w:val="16"/>
            <w:szCs w:val="16"/>
          </w:rPr>
          <w:t xml:space="preserve"> 1</w:t>
        </w:r>
      </w:hyperlink>
      <w:r w:rsidR="00064A3B" w:rsidRPr="00064A3B">
        <w:rPr>
          <w:rStyle w:val="Hyperlink"/>
          <w:color w:val="auto"/>
          <w:sz w:val="16"/>
          <w:szCs w:val="16"/>
          <w:u w:val="none"/>
        </w:rPr>
        <w:t>”</w:t>
      </w:r>
      <w:r w:rsidR="00DC66C1" w:rsidRPr="00203500">
        <w:rPr>
          <w:sz w:val="16"/>
          <w:szCs w:val="16"/>
        </w:rPr>
        <w:t>, Tweede kamerstuk 31271, Nr.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A2548"/>
    <w:multiLevelType w:val="hybridMultilevel"/>
    <w:tmpl w:val="5E0EA3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8C0524E"/>
    <w:multiLevelType w:val="hybridMultilevel"/>
    <w:tmpl w:val="937691D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7447E3"/>
    <w:multiLevelType w:val="hybridMultilevel"/>
    <w:tmpl w:val="364207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4B1B97"/>
    <w:multiLevelType w:val="hybridMultilevel"/>
    <w:tmpl w:val="5AB6586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1DE6F45"/>
    <w:multiLevelType w:val="hybridMultilevel"/>
    <w:tmpl w:val="E9864CC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74363B4"/>
    <w:multiLevelType w:val="hybridMultilevel"/>
    <w:tmpl w:val="6116E19E"/>
    <w:lvl w:ilvl="0" w:tplc="21F4F826">
      <w:start w:val="3"/>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98C264C"/>
    <w:multiLevelType w:val="hybridMultilevel"/>
    <w:tmpl w:val="215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BC259F7"/>
    <w:multiLevelType w:val="hybridMultilevel"/>
    <w:tmpl w:val="96C8F2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38B663F7"/>
    <w:multiLevelType w:val="hybridMultilevel"/>
    <w:tmpl w:val="8F90FF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3C3D3381"/>
    <w:multiLevelType w:val="hybridMultilevel"/>
    <w:tmpl w:val="441065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450C204C"/>
    <w:multiLevelType w:val="hybridMultilevel"/>
    <w:tmpl w:val="ECF8A65C"/>
    <w:lvl w:ilvl="0" w:tplc="A17EF488">
      <w:start w:val="1"/>
      <w:numFmt w:val="lowerLetter"/>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5E94BC2"/>
    <w:multiLevelType w:val="hybridMultilevel"/>
    <w:tmpl w:val="46B292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B984DA9"/>
    <w:multiLevelType w:val="hybridMultilevel"/>
    <w:tmpl w:val="C930EB5A"/>
    <w:lvl w:ilvl="0" w:tplc="C6BCA274">
      <w:start w:val="3"/>
      <w:numFmt w:val="bullet"/>
      <w:lvlText w:val="-"/>
      <w:lvlJc w:val="left"/>
      <w:pPr>
        <w:ind w:left="720" w:hanging="360"/>
      </w:pPr>
      <w:rPr>
        <w:rFonts w:ascii="Calibri" w:eastAsia="MS Mincho"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D2D7AFA"/>
    <w:multiLevelType w:val="hybridMultilevel"/>
    <w:tmpl w:val="CB38D6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0494C8F"/>
    <w:multiLevelType w:val="hybridMultilevel"/>
    <w:tmpl w:val="B8F4E82A"/>
    <w:lvl w:ilvl="0" w:tplc="F0E05094">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310D92"/>
    <w:multiLevelType w:val="multilevel"/>
    <w:tmpl w:val="A9AE2B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DA0783"/>
    <w:multiLevelType w:val="hybridMultilevel"/>
    <w:tmpl w:val="1A50E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60821EBF"/>
    <w:multiLevelType w:val="hybridMultilevel"/>
    <w:tmpl w:val="5F604DD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A3958F9"/>
    <w:multiLevelType w:val="hybridMultilevel"/>
    <w:tmpl w:val="075E221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6C571C59"/>
    <w:multiLevelType w:val="hybridMultilevel"/>
    <w:tmpl w:val="6AD6F7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2556872"/>
    <w:multiLevelType w:val="hybridMultilevel"/>
    <w:tmpl w:val="97BEB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043455">
    <w:abstractNumId w:val="20"/>
  </w:num>
  <w:num w:numId="2" w16cid:durableId="490563099">
    <w:abstractNumId w:val="13"/>
  </w:num>
  <w:num w:numId="3" w16cid:durableId="893856509">
    <w:abstractNumId w:val="18"/>
  </w:num>
  <w:num w:numId="4" w16cid:durableId="1222329796">
    <w:abstractNumId w:val="7"/>
  </w:num>
  <w:num w:numId="5" w16cid:durableId="690499336">
    <w:abstractNumId w:val="14"/>
  </w:num>
  <w:num w:numId="6" w16cid:durableId="389421209">
    <w:abstractNumId w:val="16"/>
  </w:num>
  <w:num w:numId="7" w16cid:durableId="522594066">
    <w:abstractNumId w:val="6"/>
  </w:num>
  <w:num w:numId="8" w16cid:durableId="382287796">
    <w:abstractNumId w:val="4"/>
  </w:num>
  <w:num w:numId="9" w16cid:durableId="1640918027">
    <w:abstractNumId w:val="9"/>
  </w:num>
  <w:num w:numId="10" w16cid:durableId="692340310">
    <w:abstractNumId w:val="3"/>
  </w:num>
  <w:num w:numId="11" w16cid:durableId="1849755440">
    <w:abstractNumId w:val="17"/>
  </w:num>
  <w:num w:numId="12" w16cid:durableId="1660424847">
    <w:abstractNumId w:val="8"/>
  </w:num>
  <w:num w:numId="13" w16cid:durableId="1959293357">
    <w:abstractNumId w:val="15"/>
  </w:num>
  <w:num w:numId="14" w16cid:durableId="1263612626">
    <w:abstractNumId w:val="19"/>
  </w:num>
  <w:num w:numId="15" w16cid:durableId="100684007">
    <w:abstractNumId w:val="0"/>
  </w:num>
  <w:num w:numId="16" w16cid:durableId="1080375064">
    <w:abstractNumId w:val="11"/>
  </w:num>
  <w:num w:numId="17" w16cid:durableId="1907186660">
    <w:abstractNumId w:val="2"/>
  </w:num>
  <w:num w:numId="18" w16cid:durableId="584463049">
    <w:abstractNumId w:val="5"/>
  </w:num>
  <w:num w:numId="19" w16cid:durableId="1095321640">
    <w:abstractNumId w:val="12"/>
  </w:num>
  <w:num w:numId="20" w16cid:durableId="1821726236">
    <w:abstractNumId w:val="10"/>
  </w:num>
  <w:num w:numId="21" w16cid:durableId="344719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4D3"/>
    <w:rsid w:val="00000655"/>
    <w:rsid w:val="00002B20"/>
    <w:rsid w:val="00006038"/>
    <w:rsid w:val="00012D72"/>
    <w:rsid w:val="00022F6F"/>
    <w:rsid w:val="0002426B"/>
    <w:rsid w:val="0003056D"/>
    <w:rsid w:val="00033732"/>
    <w:rsid w:val="00034602"/>
    <w:rsid w:val="00034A3A"/>
    <w:rsid w:val="000367EF"/>
    <w:rsid w:val="00043E02"/>
    <w:rsid w:val="00052AB6"/>
    <w:rsid w:val="00053201"/>
    <w:rsid w:val="000546B1"/>
    <w:rsid w:val="000563AB"/>
    <w:rsid w:val="00057DDA"/>
    <w:rsid w:val="00062D7B"/>
    <w:rsid w:val="00063C16"/>
    <w:rsid w:val="00064A3B"/>
    <w:rsid w:val="000669E9"/>
    <w:rsid w:val="000770AD"/>
    <w:rsid w:val="000802A4"/>
    <w:rsid w:val="00081684"/>
    <w:rsid w:val="000873EA"/>
    <w:rsid w:val="00094303"/>
    <w:rsid w:val="00094937"/>
    <w:rsid w:val="000A1F55"/>
    <w:rsid w:val="000A43B4"/>
    <w:rsid w:val="000A4878"/>
    <w:rsid w:val="000C5478"/>
    <w:rsid w:val="000C72C5"/>
    <w:rsid w:val="000D5FB2"/>
    <w:rsid w:val="000D7096"/>
    <w:rsid w:val="000F3073"/>
    <w:rsid w:val="000F74AB"/>
    <w:rsid w:val="00101752"/>
    <w:rsid w:val="00113BCA"/>
    <w:rsid w:val="00114393"/>
    <w:rsid w:val="0012023A"/>
    <w:rsid w:val="00135650"/>
    <w:rsid w:val="00141A00"/>
    <w:rsid w:val="00144246"/>
    <w:rsid w:val="00144A3C"/>
    <w:rsid w:val="00144FCF"/>
    <w:rsid w:val="00147178"/>
    <w:rsid w:val="00147860"/>
    <w:rsid w:val="001538C0"/>
    <w:rsid w:val="00154B1E"/>
    <w:rsid w:val="0016169C"/>
    <w:rsid w:val="00174CE6"/>
    <w:rsid w:val="001764BE"/>
    <w:rsid w:val="00186E15"/>
    <w:rsid w:val="00194895"/>
    <w:rsid w:val="00196E40"/>
    <w:rsid w:val="001974AF"/>
    <w:rsid w:val="001976E8"/>
    <w:rsid w:val="001A1656"/>
    <w:rsid w:val="001A3DC9"/>
    <w:rsid w:val="001B7B9C"/>
    <w:rsid w:val="001C23DB"/>
    <w:rsid w:val="001C2B45"/>
    <w:rsid w:val="001C4236"/>
    <w:rsid w:val="001C66C0"/>
    <w:rsid w:val="001E41F2"/>
    <w:rsid w:val="001F1391"/>
    <w:rsid w:val="002009B9"/>
    <w:rsid w:val="0020334C"/>
    <w:rsid w:val="00203500"/>
    <w:rsid w:val="00214EFE"/>
    <w:rsid w:val="00226D51"/>
    <w:rsid w:val="00230215"/>
    <w:rsid w:val="00235978"/>
    <w:rsid w:val="00241980"/>
    <w:rsid w:val="00242999"/>
    <w:rsid w:val="00251B05"/>
    <w:rsid w:val="002523BF"/>
    <w:rsid w:val="00256BB7"/>
    <w:rsid w:val="00262286"/>
    <w:rsid w:val="002716F0"/>
    <w:rsid w:val="002740DD"/>
    <w:rsid w:val="002741CD"/>
    <w:rsid w:val="00274AA0"/>
    <w:rsid w:val="002822D1"/>
    <w:rsid w:val="002824BD"/>
    <w:rsid w:val="0028428C"/>
    <w:rsid w:val="002846D4"/>
    <w:rsid w:val="002860AE"/>
    <w:rsid w:val="002915C2"/>
    <w:rsid w:val="00292366"/>
    <w:rsid w:val="002933E4"/>
    <w:rsid w:val="0029483F"/>
    <w:rsid w:val="002A157A"/>
    <w:rsid w:val="002A26F3"/>
    <w:rsid w:val="002A52CB"/>
    <w:rsid w:val="002B118F"/>
    <w:rsid w:val="002C4BA8"/>
    <w:rsid w:val="002E4ECB"/>
    <w:rsid w:val="002E6E73"/>
    <w:rsid w:val="003019AC"/>
    <w:rsid w:val="0030368D"/>
    <w:rsid w:val="003107E4"/>
    <w:rsid w:val="003109F9"/>
    <w:rsid w:val="003121D0"/>
    <w:rsid w:val="00313373"/>
    <w:rsid w:val="00314EF9"/>
    <w:rsid w:val="003151E6"/>
    <w:rsid w:val="00317083"/>
    <w:rsid w:val="003209D5"/>
    <w:rsid w:val="00320FFE"/>
    <w:rsid w:val="003238DE"/>
    <w:rsid w:val="00326E3E"/>
    <w:rsid w:val="00332D48"/>
    <w:rsid w:val="003343C8"/>
    <w:rsid w:val="00336F25"/>
    <w:rsid w:val="0034011D"/>
    <w:rsid w:val="003477E7"/>
    <w:rsid w:val="00364460"/>
    <w:rsid w:val="00371FC9"/>
    <w:rsid w:val="00372648"/>
    <w:rsid w:val="00372C3E"/>
    <w:rsid w:val="00380B34"/>
    <w:rsid w:val="00386302"/>
    <w:rsid w:val="003938D9"/>
    <w:rsid w:val="00394A30"/>
    <w:rsid w:val="003965DE"/>
    <w:rsid w:val="003A4BC1"/>
    <w:rsid w:val="003A52A9"/>
    <w:rsid w:val="003C668D"/>
    <w:rsid w:val="003D75B2"/>
    <w:rsid w:val="003E356F"/>
    <w:rsid w:val="00402324"/>
    <w:rsid w:val="00402BB9"/>
    <w:rsid w:val="00406059"/>
    <w:rsid w:val="00406411"/>
    <w:rsid w:val="00407551"/>
    <w:rsid w:val="00407F98"/>
    <w:rsid w:val="00415F38"/>
    <w:rsid w:val="00422C11"/>
    <w:rsid w:val="00435930"/>
    <w:rsid w:val="00437F76"/>
    <w:rsid w:val="00441511"/>
    <w:rsid w:val="004428E9"/>
    <w:rsid w:val="004539F4"/>
    <w:rsid w:val="0045424A"/>
    <w:rsid w:val="004566F0"/>
    <w:rsid w:val="00462CD0"/>
    <w:rsid w:val="0047740B"/>
    <w:rsid w:val="004806BA"/>
    <w:rsid w:val="00484C5D"/>
    <w:rsid w:val="004907FA"/>
    <w:rsid w:val="004924CE"/>
    <w:rsid w:val="004A1156"/>
    <w:rsid w:val="004A2BDD"/>
    <w:rsid w:val="004A2DAC"/>
    <w:rsid w:val="004A50BA"/>
    <w:rsid w:val="004A78FE"/>
    <w:rsid w:val="004B03E6"/>
    <w:rsid w:val="004B351E"/>
    <w:rsid w:val="004E2059"/>
    <w:rsid w:val="004E3FDA"/>
    <w:rsid w:val="004E539C"/>
    <w:rsid w:val="004F1AF5"/>
    <w:rsid w:val="004F5172"/>
    <w:rsid w:val="004F64E6"/>
    <w:rsid w:val="004F67C2"/>
    <w:rsid w:val="005016CD"/>
    <w:rsid w:val="005045E5"/>
    <w:rsid w:val="005050BB"/>
    <w:rsid w:val="00510DE2"/>
    <w:rsid w:val="00512823"/>
    <w:rsid w:val="00531467"/>
    <w:rsid w:val="00533817"/>
    <w:rsid w:val="0053707A"/>
    <w:rsid w:val="00537498"/>
    <w:rsid w:val="005422C9"/>
    <w:rsid w:val="0054633B"/>
    <w:rsid w:val="0055202D"/>
    <w:rsid w:val="00555B87"/>
    <w:rsid w:val="00556521"/>
    <w:rsid w:val="005617A2"/>
    <w:rsid w:val="00564723"/>
    <w:rsid w:val="00564DC7"/>
    <w:rsid w:val="00565246"/>
    <w:rsid w:val="00566716"/>
    <w:rsid w:val="00567A95"/>
    <w:rsid w:val="00570508"/>
    <w:rsid w:val="0057430B"/>
    <w:rsid w:val="0057721F"/>
    <w:rsid w:val="0058235D"/>
    <w:rsid w:val="00582E00"/>
    <w:rsid w:val="00587144"/>
    <w:rsid w:val="00594B95"/>
    <w:rsid w:val="005A0C02"/>
    <w:rsid w:val="005A44CE"/>
    <w:rsid w:val="005B669C"/>
    <w:rsid w:val="005C01AF"/>
    <w:rsid w:val="005C0871"/>
    <w:rsid w:val="005C12CD"/>
    <w:rsid w:val="005C2D75"/>
    <w:rsid w:val="005D4B76"/>
    <w:rsid w:val="005E2F66"/>
    <w:rsid w:val="005E3B36"/>
    <w:rsid w:val="005F0E45"/>
    <w:rsid w:val="005F158A"/>
    <w:rsid w:val="005F3EF6"/>
    <w:rsid w:val="005F4545"/>
    <w:rsid w:val="005F7C1C"/>
    <w:rsid w:val="00603EB1"/>
    <w:rsid w:val="006061FD"/>
    <w:rsid w:val="00610F7A"/>
    <w:rsid w:val="00613896"/>
    <w:rsid w:val="00626ADC"/>
    <w:rsid w:val="00634EC2"/>
    <w:rsid w:val="0064196F"/>
    <w:rsid w:val="00643EB8"/>
    <w:rsid w:val="00644007"/>
    <w:rsid w:val="00645D7A"/>
    <w:rsid w:val="006474DF"/>
    <w:rsid w:val="00647B96"/>
    <w:rsid w:val="00653016"/>
    <w:rsid w:val="00656A74"/>
    <w:rsid w:val="00661FA2"/>
    <w:rsid w:val="006670A4"/>
    <w:rsid w:val="00667B36"/>
    <w:rsid w:val="006848CF"/>
    <w:rsid w:val="00693E6E"/>
    <w:rsid w:val="006973D1"/>
    <w:rsid w:val="00697A91"/>
    <w:rsid w:val="006A353D"/>
    <w:rsid w:val="006A5498"/>
    <w:rsid w:val="006B2EB3"/>
    <w:rsid w:val="006B72A3"/>
    <w:rsid w:val="006C094A"/>
    <w:rsid w:val="006C46EB"/>
    <w:rsid w:val="006C5696"/>
    <w:rsid w:val="006C5F9C"/>
    <w:rsid w:val="006D0ED6"/>
    <w:rsid w:val="006E0800"/>
    <w:rsid w:val="006E0D66"/>
    <w:rsid w:val="006E17C4"/>
    <w:rsid w:val="006E1EED"/>
    <w:rsid w:val="006E26A2"/>
    <w:rsid w:val="006E2BE6"/>
    <w:rsid w:val="006E42C2"/>
    <w:rsid w:val="006F71E9"/>
    <w:rsid w:val="00704435"/>
    <w:rsid w:val="0070506E"/>
    <w:rsid w:val="00707B8E"/>
    <w:rsid w:val="007117B4"/>
    <w:rsid w:val="00711EF3"/>
    <w:rsid w:val="00716318"/>
    <w:rsid w:val="00716EEE"/>
    <w:rsid w:val="007219C2"/>
    <w:rsid w:val="00723AFB"/>
    <w:rsid w:val="0072509A"/>
    <w:rsid w:val="00735A3A"/>
    <w:rsid w:val="00740587"/>
    <w:rsid w:val="007408BA"/>
    <w:rsid w:val="00742559"/>
    <w:rsid w:val="00743C39"/>
    <w:rsid w:val="00753F90"/>
    <w:rsid w:val="0075741F"/>
    <w:rsid w:val="00760A6A"/>
    <w:rsid w:val="007717E3"/>
    <w:rsid w:val="00773816"/>
    <w:rsid w:val="00777210"/>
    <w:rsid w:val="0078172B"/>
    <w:rsid w:val="007834A6"/>
    <w:rsid w:val="007864D3"/>
    <w:rsid w:val="0079120B"/>
    <w:rsid w:val="00797EEA"/>
    <w:rsid w:val="007B6C61"/>
    <w:rsid w:val="007C3409"/>
    <w:rsid w:val="007C79BA"/>
    <w:rsid w:val="007D07B6"/>
    <w:rsid w:val="007D0DA6"/>
    <w:rsid w:val="007D3125"/>
    <w:rsid w:val="007D4338"/>
    <w:rsid w:val="007D5149"/>
    <w:rsid w:val="007D57EC"/>
    <w:rsid w:val="007E4326"/>
    <w:rsid w:val="007E7E71"/>
    <w:rsid w:val="007F7466"/>
    <w:rsid w:val="0080084C"/>
    <w:rsid w:val="008056FD"/>
    <w:rsid w:val="0081789B"/>
    <w:rsid w:val="00821F04"/>
    <w:rsid w:val="00822C81"/>
    <w:rsid w:val="00823D83"/>
    <w:rsid w:val="0083594F"/>
    <w:rsid w:val="00835BE6"/>
    <w:rsid w:val="008414E6"/>
    <w:rsid w:val="00843B65"/>
    <w:rsid w:val="00843EF7"/>
    <w:rsid w:val="008532AF"/>
    <w:rsid w:val="00857665"/>
    <w:rsid w:val="00862C99"/>
    <w:rsid w:val="00864C5D"/>
    <w:rsid w:val="00870AAC"/>
    <w:rsid w:val="008716E4"/>
    <w:rsid w:val="008766F0"/>
    <w:rsid w:val="0088598F"/>
    <w:rsid w:val="0089661A"/>
    <w:rsid w:val="008A6AAD"/>
    <w:rsid w:val="008A78EF"/>
    <w:rsid w:val="008B2373"/>
    <w:rsid w:val="008B6078"/>
    <w:rsid w:val="008B7EA6"/>
    <w:rsid w:val="008C2C1A"/>
    <w:rsid w:val="008C4CD8"/>
    <w:rsid w:val="008D524D"/>
    <w:rsid w:val="008F0AFC"/>
    <w:rsid w:val="00906F76"/>
    <w:rsid w:val="00907C58"/>
    <w:rsid w:val="0091700A"/>
    <w:rsid w:val="00917A5B"/>
    <w:rsid w:val="009215D4"/>
    <w:rsid w:val="009236EA"/>
    <w:rsid w:val="00924935"/>
    <w:rsid w:val="00932AEF"/>
    <w:rsid w:val="009359E0"/>
    <w:rsid w:val="00935FC1"/>
    <w:rsid w:val="00951E2D"/>
    <w:rsid w:val="009562D6"/>
    <w:rsid w:val="00962E9C"/>
    <w:rsid w:val="0096675A"/>
    <w:rsid w:val="0097076B"/>
    <w:rsid w:val="00970E7D"/>
    <w:rsid w:val="0097572A"/>
    <w:rsid w:val="00975A1D"/>
    <w:rsid w:val="00990307"/>
    <w:rsid w:val="00990767"/>
    <w:rsid w:val="0099476C"/>
    <w:rsid w:val="0099573B"/>
    <w:rsid w:val="009A0A91"/>
    <w:rsid w:val="009A0F9E"/>
    <w:rsid w:val="009A4852"/>
    <w:rsid w:val="009B0A0F"/>
    <w:rsid w:val="009B5FBC"/>
    <w:rsid w:val="009B75FF"/>
    <w:rsid w:val="009B7CDC"/>
    <w:rsid w:val="009C3718"/>
    <w:rsid w:val="009C67FB"/>
    <w:rsid w:val="009D0959"/>
    <w:rsid w:val="009D1B79"/>
    <w:rsid w:val="009D5010"/>
    <w:rsid w:val="009D7102"/>
    <w:rsid w:val="009E74EF"/>
    <w:rsid w:val="009E79FB"/>
    <w:rsid w:val="009F1F61"/>
    <w:rsid w:val="009F2800"/>
    <w:rsid w:val="009F6111"/>
    <w:rsid w:val="009F772A"/>
    <w:rsid w:val="00A00366"/>
    <w:rsid w:val="00A04B58"/>
    <w:rsid w:val="00A10988"/>
    <w:rsid w:val="00A2158E"/>
    <w:rsid w:val="00A228F7"/>
    <w:rsid w:val="00A23374"/>
    <w:rsid w:val="00A30C54"/>
    <w:rsid w:val="00A355BC"/>
    <w:rsid w:val="00A375AD"/>
    <w:rsid w:val="00A4349A"/>
    <w:rsid w:val="00A44266"/>
    <w:rsid w:val="00A46B6C"/>
    <w:rsid w:val="00A63DBB"/>
    <w:rsid w:val="00A70E86"/>
    <w:rsid w:val="00A767EE"/>
    <w:rsid w:val="00A836DA"/>
    <w:rsid w:val="00A8721D"/>
    <w:rsid w:val="00A91720"/>
    <w:rsid w:val="00A923FD"/>
    <w:rsid w:val="00A93D63"/>
    <w:rsid w:val="00AA2BBC"/>
    <w:rsid w:val="00AA44A6"/>
    <w:rsid w:val="00AA5ADD"/>
    <w:rsid w:val="00AB0049"/>
    <w:rsid w:val="00AB1563"/>
    <w:rsid w:val="00AB29F4"/>
    <w:rsid w:val="00AB6063"/>
    <w:rsid w:val="00AC0748"/>
    <w:rsid w:val="00AC39EF"/>
    <w:rsid w:val="00AC3C2F"/>
    <w:rsid w:val="00AC4DA0"/>
    <w:rsid w:val="00AC6B9F"/>
    <w:rsid w:val="00AD1751"/>
    <w:rsid w:val="00AD45A0"/>
    <w:rsid w:val="00AE016D"/>
    <w:rsid w:val="00AF25D4"/>
    <w:rsid w:val="00AF5269"/>
    <w:rsid w:val="00B0084C"/>
    <w:rsid w:val="00B07D8F"/>
    <w:rsid w:val="00B13413"/>
    <w:rsid w:val="00B1417D"/>
    <w:rsid w:val="00B22679"/>
    <w:rsid w:val="00B301F0"/>
    <w:rsid w:val="00B322E8"/>
    <w:rsid w:val="00B40425"/>
    <w:rsid w:val="00B41020"/>
    <w:rsid w:val="00B4378B"/>
    <w:rsid w:val="00B451B0"/>
    <w:rsid w:val="00B57A7A"/>
    <w:rsid w:val="00B662E2"/>
    <w:rsid w:val="00B67396"/>
    <w:rsid w:val="00B73230"/>
    <w:rsid w:val="00B76D48"/>
    <w:rsid w:val="00B77B69"/>
    <w:rsid w:val="00B95EBB"/>
    <w:rsid w:val="00BA2D62"/>
    <w:rsid w:val="00BA5001"/>
    <w:rsid w:val="00BA7BAE"/>
    <w:rsid w:val="00BB4AA6"/>
    <w:rsid w:val="00BB5007"/>
    <w:rsid w:val="00BC30E1"/>
    <w:rsid w:val="00BC41D4"/>
    <w:rsid w:val="00BD01AF"/>
    <w:rsid w:val="00BD5481"/>
    <w:rsid w:val="00BF178A"/>
    <w:rsid w:val="00BF1942"/>
    <w:rsid w:val="00BF5DC6"/>
    <w:rsid w:val="00C031F6"/>
    <w:rsid w:val="00C0663C"/>
    <w:rsid w:val="00C12A0F"/>
    <w:rsid w:val="00C20E7E"/>
    <w:rsid w:val="00C31A9B"/>
    <w:rsid w:val="00C36DE8"/>
    <w:rsid w:val="00C45DFF"/>
    <w:rsid w:val="00C46748"/>
    <w:rsid w:val="00C53312"/>
    <w:rsid w:val="00C54673"/>
    <w:rsid w:val="00C71EDC"/>
    <w:rsid w:val="00C73973"/>
    <w:rsid w:val="00C73B05"/>
    <w:rsid w:val="00C80486"/>
    <w:rsid w:val="00C82639"/>
    <w:rsid w:val="00C87D11"/>
    <w:rsid w:val="00CA5A71"/>
    <w:rsid w:val="00CB0B3C"/>
    <w:rsid w:val="00CB0D8C"/>
    <w:rsid w:val="00CB51FB"/>
    <w:rsid w:val="00CC2F1F"/>
    <w:rsid w:val="00CC33C5"/>
    <w:rsid w:val="00CC4E33"/>
    <w:rsid w:val="00CC6B20"/>
    <w:rsid w:val="00CD14DE"/>
    <w:rsid w:val="00CE76BB"/>
    <w:rsid w:val="00CF3E85"/>
    <w:rsid w:val="00D02331"/>
    <w:rsid w:val="00D17F0D"/>
    <w:rsid w:val="00D2373A"/>
    <w:rsid w:val="00D24066"/>
    <w:rsid w:val="00D333B5"/>
    <w:rsid w:val="00D44194"/>
    <w:rsid w:val="00D46AB4"/>
    <w:rsid w:val="00D47C50"/>
    <w:rsid w:val="00D544DF"/>
    <w:rsid w:val="00D54C28"/>
    <w:rsid w:val="00D627E0"/>
    <w:rsid w:val="00D63F9C"/>
    <w:rsid w:val="00D739C4"/>
    <w:rsid w:val="00D83069"/>
    <w:rsid w:val="00D834E2"/>
    <w:rsid w:val="00D848F9"/>
    <w:rsid w:val="00D857C5"/>
    <w:rsid w:val="00D966B5"/>
    <w:rsid w:val="00D967ED"/>
    <w:rsid w:val="00DA04A2"/>
    <w:rsid w:val="00DA2692"/>
    <w:rsid w:val="00DA539E"/>
    <w:rsid w:val="00DB22A5"/>
    <w:rsid w:val="00DC142D"/>
    <w:rsid w:val="00DC24B5"/>
    <w:rsid w:val="00DC5B26"/>
    <w:rsid w:val="00DC66C1"/>
    <w:rsid w:val="00DD6B38"/>
    <w:rsid w:val="00DE2200"/>
    <w:rsid w:val="00DE3B1C"/>
    <w:rsid w:val="00DE6493"/>
    <w:rsid w:val="00DF0AE6"/>
    <w:rsid w:val="00DF1647"/>
    <w:rsid w:val="00DF469A"/>
    <w:rsid w:val="00DF77DE"/>
    <w:rsid w:val="00E011CA"/>
    <w:rsid w:val="00E0187D"/>
    <w:rsid w:val="00E124F7"/>
    <w:rsid w:val="00E14553"/>
    <w:rsid w:val="00E15EE0"/>
    <w:rsid w:val="00E2363C"/>
    <w:rsid w:val="00E25B2B"/>
    <w:rsid w:val="00E2752C"/>
    <w:rsid w:val="00E33432"/>
    <w:rsid w:val="00E33A61"/>
    <w:rsid w:val="00E365D7"/>
    <w:rsid w:val="00E36882"/>
    <w:rsid w:val="00E36AEF"/>
    <w:rsid w:val="00E407B6"/>
    <w:rsid w:val="00E4293F"/>
    <w:rsid w:val="00E53BE3"/>
    <w:rsid w:val="00E53ED4"/>
    <w:rsid w:val="00E55863"/>
    <w:rsid w:val="00E57BC8"/>
    <w:rsid w:val="00E60137"/>
    <w:rsid w:val="00E6068E"/>
    <w:rsid w:val="00E62529"/>
    <w:rsid w:val="00E63523"/>
    <w:rsid w:val="00E67AF2"/>
    <w:rsid w:val="00E72A39"/>
    <w:rsid w:val="00E72EC6"/>
    <w:rsid w:val="00E83BC2"/>
    <w:rsid w:val="00E83C9A"/>
    <w:rsid w:val="00E97E09"/>
    <w:rsid w:val="00EA6BE9"/>
    <w:rsid w:val="00EA708C"/>
    <w:rsid w:val="00EA7C80"/>
    <w:rsid w:val="00EB0335"/>
    <w:rsid w:val="00EB16E5"/>
    <w:rsid w:val="00EC00C8"/>
    <w:rsid w:val="00EC24A9"/>
    <w:rsid w:val="00EC6224"/>
    <w:rsid w:val="00ED2D69"/>
    <w:rsid w:val="00ED385E"/>
    <w:rsid w:val="00ED5243"/>
    <w:rsid w:val="00EE027C"/>
    <w:rsid w:val="00EF7E11"/>
    <w:rsid w:val="00F00C99"/>
    <w:rsid w:val="00F04A93"/>
    <w:rsid w:val="00F06853"/>
    <w:rsid w:val="00F1127D"/>
    <w:rsid w:val="00F403CC"/>
    <w:rsid w:val="00F406B8"/>
    <w:rsid w:val="00F40C70"/>
    <w:rsid w:val="00F41278"/>
    <w:rsid w:val="00F42DC6"/>
    <w:rsid w:val="00F43460"/>
    <w:rsid w:val="00F47B5C"/>
    <w:rsid w:val="00F55DDC"/>
    <w:rsid w:val="00F57143"/>
    <w:rsid w:val="00F60197"/>
    <w:rsid w:val="00F714A9"/>
    <w:rsid w:val="00F72E22"/>
    <w:rsid w:val="00F77FDB"/>
    <w:rsid w:val="00F802DE"/>
    <w:rsid w:val="00F8508B"/>
    <w:rsid w:val="00F85A0C"/>
    <w:rsid w:val="00F900F9"/>
    <w:rsid w:val="00F914AA"/>
    <w:rsid w:val="00F92AEE"/>
    <w:rsid w:val="00F9495B"/>
    <w:rsid w:val="00F9727F"/>
    <w:rsid w:val="00FA59F9"/>
    <w:rsid w:val="00FB4CF8"/>
    <w:rsid w:val="00FC5DA8"/>
    <w:rsid w:val="00FC62E1"/>
    <w:rsid w:val="00FF08CD"/>
    <w:rsid w:val="00FF350B"/>
    <w:rsid w:val="00FF4DB9"/>
    <w:rsid w:val="00FF4E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7A9F9"/>
  <w15:chartTrackingRefBased/>
  <w15:docId w15:val="{2B631924-359A-4A8A-A8C9-23EC45E71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MS Mincho"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Bullet 1,Bullet Points,Párrafo de lista,MAIN CONTENT,Recommendation,List Paragraph2,Normal numbere,Colorful List - Accent 11"/>
    <w:basedOn w:val="Normal"/>
    <w:link w:val="ListParagraphChar"/>
    <w:uiPriority w:val="34"/>
    <w:qFormat/>
    <w:rsid w:val="007864D3"/>
    <w:pPr>
      <w:ind w:left="720"/>
      <w:contextualSpacing/>
    </w:pPr>
  </w:style>
  <w:style w:type="paragraph" w:styleId="FootnoteText">
    <w:name w:val="footnote text"/>
    <w:basedOn w:val="Normal"/>
    <w:link w:val="FootnoteTextChar"/>
    <w:uiPriority w:val="99"/>
    <w:semiHidden/>
    <w:unhideWhenUsed/>
    <w:rsid w:val="007864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64D3"/>
    <w:rPr>
      <w:sz w:val="20"/>
      <w:szCs w:val="20"/>
    </w:rPr>
  </w:style>
  <w:style w:type="character" w:styleId="FootnoteReference">
    <w:name w:val="footnote reference"/>
    <w:basedOn w:val="DefaultParagraphFont"/>
    <w:uiPriority w:val="99"/>
    <w:semiHidden/>
    <w:unhideWhenUsed/>
    <w:rsid w:val="007864D3"/>
    <w:rPr>
      <w:vertAlign w:val="superscript"/>
    </w:rPr>
  </w:style>
  <w:style w:type="character" w:styleId="Hyperlink">
    <w:name w:val="Hyperlink"/>
    <w:basedOn w:val="DefaultParagraphFont"/>
    <w:uiPriority w:val="99"/>
    <w:unhideWhenUsed/>
    <w:rsid w:val="00AC39EF"/>
    <w:rPr>
      <w:color w:val="0563C1" w:themeColor="hyperlink"/>
      <w:u w:val="single"/>
    </w:rPr>
  </w:style>
  <w:style w:type="character" w:styleId="UnresolvedMention">
    <w:name w:val="Unresolved Mention"/>
    <w:basedOn w:val="DefaultParagraphFont"/>
    <w:uiPriority w:val="99"/>
    <w:semiHidden/>
    <w:unhideWhenUsed/>
    <w:rsid w:val="00AC39EF"/>
    <w:rPr>
      <w:color w:val="605E5C"/>
      <w:shd w:val="clear" w:color="auto" w:fill="E1DFDD"/>
    </w:rPr>
  </w:style>
  <w:style w:type="character" w:styleId="CommentReference">
    <w:name w:val="annotation reference"/>
    <w:basedOn w:val="DefaultParagraphFont"/>
    <w:uiPriority w:val="99"/>
    <w:semiHidden/>
    <w:unhideWhenUsed/>
    <w:rsid w:val="005A0C02"/>
    <w:rPr>
      <w:sz w:val="16"/>
      <w:szCs w:val="16"/>
    </w:rPr>
  </w:style>
  <w:style w:type="paragraph" w:styleId="CommentText">
    <w:name w:val="annotation text"/>
    <w:basedOn w:val="Normal"/>
    <w:link w:val="CommentTextChar"/>
    <w:uiPriority w:val="99"/>
    <w:unhideWhenUsed/>
    <w:rsid w:val="005A0C02"/>
    <w:pPr>
      <w:spacing w:line="240" w:lineRule="auto"/>
    </w:pPr>
    <w:rPr>
      <w:sz w:val="20"/>
      <w:szCs w:val="20"/>
    </w:rPr>
  </w:style>
  <w:style w:type="character" w:customStyle="1" w:styleId="CommentTextChar">
    <w:name w:val="Comment Text Char"/>
    <w:basedOn w:val="DefaultParagraphFont"/>
    <w:link w:val="CommentText"/>
    <w:uiPriority w:val="99"/>
    <w:rsid w:val="005A0C02"/>
    <w:rPr>
      <w:sz w:val="20"/>
      <w:szCs w:val="20"/>
    </w:rPr>
  </w:style>
  <w:style w:type="paragraph" w:styleId="CommentSubject">
    <w:name w:val="annotation subject"/>
    <w:basedOn w:val="CommentText"/>
    <w:next w:val="CommentText"/>
    <w:link w:val="CommentSubjectChar"/>
    <w:uiPriority w:val="99"/>
    <w:semiHidden/>
    <w:unhideWhenUsed/>
    <w:rsid w:val="005A0C02"/>
    <w:rPr>
      <w:b/>
      <w:bCs/>
    </w:rPr>
  </w:style>
  <w:style w:type="character" w:customStyle="1" w:styleId="CommentSubjectChar">
    <w:name w:val="Comment Subject Char"/>
    <w:basedOn w:val="CommentTextChar"/>
    <w:link w:val="CommentSubject"/>
    <w:uiPriority w:val="99"/>
    <w:semiHidden/>
    <w:rsid w:val="005A0C02"/>
    <w:rPr>
      <w:b/>
      <w:bCs/>
      <w:sz w:val="20"/>
      <w:szCs w:val="20"/>
    </w:rPr>
  </w:style>
  <w:style w:type="character" w:styleId="FollowedHyperlink">
    <w:name w:val="FollowedHyperlink"/>
    <w:basedOn w:val="DefaultParagraphFont"/>
    <w:uiPriority w:val="99"/>
    <w:semiHidden/>
    <w:unhideWhenUsed/>
    <w:rsid w:val="00BA2D62"/>
    <w:rPr>
      <w:color w:val="954F72" w:themeColor="followedHyperlink"/>
      <w:u w:val="single"/>
    </w:rPr>
  </w:style>
  <w:style w:type="character" w:customStyle="1" w:styleId="ListParagraphChar">
    <w:name w:val="List Paragraph Char"/>
    <w:aliases w:val="Dot pt Char,F5 List Paragraph Char,List Paragraph1 Char,No Spacing1 Char,List Paragraph Char Char Char Char,Indicator Text Char,Numbered Para 1 Char,Bullet 1 Char,Bullet Points Char,Párrafo de lista Char,MAIN CONTENT Char"/>
    <w:basedOn w:val="DefaultParagraphFont"/>
    <w:link w:val="ListParagraph"/>
    <w:uiPriority w:val="34"/>
    <w:qFormat/>
    <w:locked/>
    <w:rsid w:val="00CC33C5"/>
  </w:style>
  <w:style w:type="paragraph" w:customStyle="1" w:styleId="Default">
    <w:name w:val="Default"/>
    <w:rsid w:val="001C4236"/>
    <w:pPr>
      <w:autoSpaceDE w:val="0"/>
      <w:autoSpaceDN w:val="0"/>
      <w:adjustRightInd w:val="0"/>
      <w:spacing w:after="0" w:line="240" w:lineRule="auto"/>
    </w:pPr>
    <w:rPr>
      <w:rFonts w:ascii="RijksoverheidSansText" w:hAnsi="RijksoverheidSansText" w:cs="RijksoverheidSansText"/>
      <w:color w:val="000000"/>
      <w:kern w:val="0"/>
      <w:sz w:val="24"/>
      <w:szCs w:val="24"/>
    </w:rPr>
  </w:style>
  <w:style w:type="paragraph" w:styleId="Revision">
    <w:name w:val="Revision"/>
    <w:hidden/>
    <w:uiPriority w:val="99"/>
    <w:semiHidden/>
    <w:rsid w:val="00DB22A5"/>
    <w:pPr>
      <w:spacing w:after="0" w:line="240" w:lineRule="auto"/>
    </w:pPr>
  </w:style>
  <w:style w:type="character" w:customStyle="1" w:styleId="A7">
    <w:name w:val="A7"/>
    <w:uiPriority w:val="99"/>
    <w:rsid w:val="00556521"/>
    <w:rPr>
      <w:rFonts w:cs="RijksoverheidSansText"/>
      <w:color w:val="000000"/>
      <w:sz w:val="10"/>
      <w:szCs w:val="10"/>
    </w:rPr>
  </w:style>
  <w:style w:type="paragraph" w:styleId="Header">
    <w:name w:val="header"/>
    <w:basedOn w:val="Normal"/>
    <w:link w:val="HeaderChar"/>
    <w:uiPriority w:val="99"/>
    <w:unhideWhenUsed/>
    <w:rsid w:val="001A16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1656"/>
  </w:style>
  <w:style w:type="paragraph" w:styleId="Footer">
    <w:name w:val="footer"/>
    <w:basedOn w:val="Normal"/>
    <w:link w:val="FooterChar"/>
    <w:uiPriority w:val="99"/>
    <w:unhideWhenUsed/>
    <w:rsid w:val="001A16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1656"/>
  </w:style>
  <w:style w:type="paragraph" w:styleId="NormalWeb">
    <w:name w:val="Normal (Web)"/>
    <w:basedOn w:val="Normal"/>
    <w:uiPriority w:val="99"/>
    <w:semiHidden/>
    <w:unhideWhenUsed/>
    <w:rsid w:val="00C031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pf0">
    <w:name w:val="pf0"/>
    <w:basedOn w:val="Normal"/>
    <w:rsid w:val="000C5478"/>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DefaultParagraphFont"/>
    <w:rsid w:val="000C5478"/>
    <w:rPr>
      <w:rFonts w:ascii="Segoe UI" w:hAnsi="Segoe UI" w:cs="Segoe UI" w:hint="default"/>
      <w:sz w:val="18"/>
      <w:szCs w:val="18"/>
    </w:rPr>
  </w:style>
  <w:style w:type="character" w:customStyle="1" w:styleId="cf11">
    <w:name w:val="cf11"/>
    <w:basedOn w:val="DefaultParagraphFont"/>
    <w:rsid w:val="000C5478"/>
    <w:rPr>
      <w:rFonts w:ascii="Segoe UI" w:hAnsi="Segoe UI" w:cs="Segoe UI" w:hint="default"/>
      <w:sz w:val="18"/>
      <w:szCs w:val="18"/>
    </w:rPr>
  </w:style>
  <w:style w:type="character" w:customStyle="1" w:styleId="A15">
    <w:name w:val="A15"/>
    <w:uiPriority w:val="99"/>
    <w:rsid w:val="00823D83"/>
    <w:rPr>
      <w:rFonts w:cs="RijksoverheidSansText"/>
      <w:color w:val="0079C6"/>
      <w:sz w:val="18"/>
      <w:szCs w:val="18"/>
      <w:u w:val="single"/>
    </w:rPr>
  </w:style>
  <w:style w:type="table" w:styleId="TableGrid">
    <w:name w:val="Table Grid"/>
    <w:basedOn w:val="TableNormal"/>
    <w:uiPriority w:val="39"/>
    <w:rsid w:val="00AA44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INTabelstijlnormaal">
    <w:name w:val="FIN_Tabelstijl normaal"/>
    <w:basedOn w:val="TableGrid"/>
    <w:uiPriority w:val="99"/>
    <w:rsid w:val="0054633B"/>
    <w:rPr>
      <w:rFonts w:ascii="Verdana" w:eastAsiaTheme="minorHAnsi" w:hAnsi="Verdana"/>
      <w:kern w:val="0"/>
      <w:sz w:val="18"/>
      <w:szCs w:val="24"/>
      <w14:ligatures w14:val="none"/>
    </w:rPr>
    <w:tblPr>
      <w:tblBorders>
        <w:top w:val="single" w:sz="4" w:space="0" w:color="0066A4"/>
        <w:left w:val="none" w:sz="0" w:space="0" w:color="auto"/>
        <w:bottom w:val="single" w:sz="4" w:space="0" w:color="0066A4"/>
        <w:right w:val="none" w:sz="0" w:space="0" w:color="auto"/>
        <w:insideH w:val="single" w:sz="4" w:space="0" w:color="0066A4"/>
        <w:insideV w:val="none" w:sz="0" w:space="0" w:color="auto"/>
      </w:tblBorders>
      <w:tblCellMar>
        <w:bottom w:w="28" w:type="dxa"/>
      </w:tblCellMar>
    </w:tblPr>
    <w:tblStylePr w:type="firstRow">
      <w:rPr>
        <w:rFonts w:asciiTheme="minorHAnsi" w:hAnsiTheme="minorHAnsi"/>
        <w:caps/>
        <w:smallCaps w:val="0"/>
        <w:color w:val="FFFFFF" w:themeColor="background1"/>
        <w:sz w:val="20"/>
      </w:rPr>
      <w:tblPr>
        <w:tblCellMar>
          <w:top w:w="60" w:type="dxa"/>
          <w:left w:w="108" w:type="dxa"/>
          <w:bottom w:w="60" w:type="dxa"/>
          <w:right w:w="108" w:type="dxa"/>
        </w:tblCellMar>
      </w:tblPr>
      <w:tcPr>
        <w:shd w:val="clear" w:color="auto" w:fill="0066A4"/>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31091">
      <w:bodyDiv w:val="1"/>
      <w:marLeft w:val="0"/>
      <w:marRight w:val="0"/>
      <w:marTop w:val="0"/>
      <w:marBottom w:val="0"/>
      <w:divBdr>
        <w:top w:val="none" w:sz="0" w:space="0" w:color="auto"/>
        <w:left w:val="none" w:sz="0" w:space="0" w:color="auto"/>
        <w:bottom w:val="none" w:sz="0" w:space="0" w:color="auto"/>
        <w:right w:val="none" w:sz="0" w:space="0" w:color="auto"/>
      </w:divBdr>
    </w:div>
    <w:div w:id="145248705">
      <w:bodyDiv w:val="1"/>
      <w:marLeft w:val="0"/>
      <w:marRight w:val="0"/>
      <w:marTop w:val="0"/>
      <w:marBottom w:val="0"/>
      <w:divBdr>
        <w:top w:val="none" w:sz="0" w:space="0" w:color="auto"/>
        <w:left w:val="none" w:sz="0" w:space="0" w:color="auto"/>
        <w:bottom w:val="none" w:sz="0" w:space="0" w:color="auto"/>
        <w:right w:val="none" w:sz="0" w:space="0" w:color="auto"/>
      </w:divBdr>
    </w:div>
    <w:div w:id="477383229">
      <w:bodyDiv w:val="1"/>
      <w:marLeft w:val="0"/>
      <w:marRight w:val="0"/>
      <w:marTop w:val="0"/>
      <w:marBottom w:val="0"/>
      <w:divBdr>
        <w:top w:val="none" w:sz="0" w:space="0" w:color="auto"/>
        <w:left w:val="none" w:sz="0" w:space="0" w:color="auto"/>
        <w:bottom w:val="none" w:sz="0" w:space="0" w:color="auto"/>
        <w:right w:val="none" w:sz="0" w:space="0" w:color="auto"/>
      </w:divBdr>
    </w:div>
    <w:div w:id="1051614238">
      <w:bodyDiv w:val="1"/>
      <w:marLeft w:val="0"/>
      <w:marRight w:val="0"/>
      <w:marTop w:val="0"/>
      <w:marBottom w:val="0"/>
      <w:divBdr>
        <w:top w:val="none" w:sz="0" w:space="0" w:color="auto"/>
        <w:left w:val="none" w:sz="0" w:space="0" w:color="auto"/>
        <w:bottom w:val="none" w:sz="0" w:space="0" w:color="auto"/>
        <w:right w:val="none" w:sz="0" w:space="0" w:color="auto"/>
      </w:divBdr>
    </w:div>
    <w:div w:id="1286693645">
      <w:bodyDiv w:val="1"/>
      <w:marLeft w:val="0"/>
      <w:marRight w:val="0"/>
      <w:marTop w:val="0"/>
      <w:marBottom w:val="0"/>
      <w:divBdr>
        <w:top w:val="none" w:sz="0" w:space="0" w:color="auto"/>
        <w:left w:val="none" w:sz="0" w:space="0" w:color="auto"/>
        <w:bottom w:val="none" w:sz="0" w:space="0" w:color="auto"/>
        <w:right w:val="none" w:sz="0" w:space="0" w:color="auto"/>
      </w:divBdr>
    </w:div>
    <w:div w:id="1521167167">
      <w:bodyDiv w:val="1"/>
      <w:marLeft w:val="0"/>
      <w:marRight w:val="0"/>
      <w:marTop w:val="0"/>
      <w:marBottom w:val="0"/>
      <w:divBdr>
        <w:top w:val="none" w:sz="0" w:space="0" w:color="auto"/>
        <w:left w:val="none" w:sz="0" w:space="0" w:color="auto"/>
        <w:bottom w:val="none" w:sz="0" w:space="0" w:color="auto"/>
        <w:right w:val="none" w:sz="0" w:space="0" w:color="auto"/>
      </w:divBdr>
    </w:div>
    <w:div w:id="1561138081">
      <w:bodyDiv w:val="1"/>
      <w:marLeft w:val="0"/>
      <w:marRight w:val="0"/>
      <w:marTop w:val="0"/>
      <w:marBottom w:val="0"/>
      <w:divBdr>
        <w:top w:val="none" w:sz="0" w:space="0" w:color="auto"/>
        <w:left w:val="none" w:sz="0" w:space="0" w:color="auto"/>
        <w:bottom w:val="none" w:sz="0" w:space="0" w:color="auto"/>
        <w:right w:val="none" w:sz="0" w:space="0" w:color="auto"/>
      </w:divBdr>
    </w:div>
    <w:div w:id="1771462331">
      <w:bodyDiv w:val="1"/>
      <w:marLeft w:val="0"/>
      <w:marRight w:val="0"/>
      <w:marTop w:val="0"/>
      <w:marBottom w:val="0"/>
      <w:divBdr>
        <w:top w:val="none" w:sz="0" w:space="0" w:color="auto"/>
        <w:left w:val="none" w:sz="0" w:space="0" w:color="auto"/>
        <w:bottom w:val="none" w:sz="0" w:space="0" w:color="auto"/>
        <w:right w:val="none" w:sz="0" w:space="0" w:color="auto"/>
      </w:divBdr>
    </w:div>
    <w:div w:id="1965652571">
      <w:bodyDiv w:val="1"/>
      <w:marLeft w:val="0"/>
      <w:marRight w:val="0"/>
      <w:marTop w:val="0"/>
      <w:marBottom w:val="0"/>
      <w:divBdr>
        <w:top w:val="none" w:sz="0" w:space="0" w:color="auto"/>
        <w:left w:val="none" w:sz="0" w:space="0" w:color="auto"/>
        <w:bottom w:val="none" w:sz="0" w:space="0" w:color="auto"/>
        <w:right w:val="none" w:sz="0" w:space="0" w:color="auto"/>
      </w:divBdr>
    </w:div>
    <w:div w:id="212638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ids.ac.uk/" TargetMode="External"/><Relationship Id="rId3" Type="http://schemas.openxmlformats.org/officeDocument/2006/relationships/hyperlink" Target="https://www.iob-evaluatie.nl/publicaties/beleidsdoorlichtingen/2019/07/01/435-%E2%80%93-iob-%E2%80%93-beleidsdoorlichting-consulaire-dienstverlening-en-uitdragen-nederlandse-waarden-%E2%80%93-diversiteit-en-samenhang" TargetMode="External"/><Relationship Id="rId7" Type="http://schemas.openxmlformats.org/officeDocument/2006/relationships/hyperlink" Target="https://www.iob-evaluatie.nl/publicaties/deelstudies/2021/11/01/literatuurstudie-internationalerechtsordebeleid" TargetMode="External"/><Relationship Id="rId2" Type="http://schemas.openxmlformats.org/officeDocument/2006/relationships/hyperlink" Target="file://bz.ad.minbuza.local/Data/users/vliet.martin/Downloads/Aan+artikel+90+verplicht+-+naar+een+volwaardig+beleid+voor+internationale+rechtsorde%20(11).pdf" TargetMode="External"/><Relationship Id="rId1" Type="http://schemas.openxmlformats.org/officeDocument/2006/relationships/hyperlink" Target="https://www.rijksfinancien.nl/memorie-van-toelichting/2023/OWB/V/onderdeel/1456107" TargetMode="External"/><Relationship Id="rId6" Type="http://schemas.openxmlformats.org/officeDocument/2006/relationships/hyperlink" Target="https://www.iob-evaluatie.nl/publicaties/evaluaties/2015/06/01/398---iob-evaluation---navigating-a-sea-of-interests-policy-evaluation-of-dutch-foreign-human-rights-policy-2008-2013" TargetMode="External"/><Relationship Id="rId5" Type="http://schemas.openxmlformats.org/officeDocument/2006/relationships/hyperlink" Target="file://bz.ad.minbuza.local/Data/users/vliet.martin/Downloads/IOB_Beleidsdoorlichting_Internationale_rechtsorde_201512.pdf" TargetMode="External"/><Relationship Id="rId10" Type="http://schemas.openxmlformats.org/officeDocument/2006/relationships/hyperlink" Target="https://zoek.officielebekendmakingen.nl/kst-31271-22.pdf" TargetMode="External"/><Relationship Id="rId4" Type="http://schemas.openxmlformats.org/officeDocument/2006/relationships/hyperlink" Target="file:///C://Users/VLIET~1.MAR/AppData/Local/Temp/Nationale+Veiligheid+Strategie+2019.pdf" TargetMode="External"/><Relationship Id="rId9" Type="http://schemas.openxmlformats.org/officeDocument/2006/relationships/hyperlink" Target="https://www.iob-evaluatie.nl/publicaties/richtlijnen/2022/04/22/kwaliteitscriteria-evalua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4287</ap:Words>
  <ap:Characters>23581</ap:Characters>
  <ap:DocSecurity>0</ap:DocSecurity>
  <ap:Lines>196</ap:Lines>
  <ap:Paragraphs>55</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27813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2025-02-25T14:05:00.0000000Z</dcterms:created>
  <dcterms:modified xsi:type="dcterms:W3CDTF">2025-05-27T15:10:00.0000000Z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ForumOrganisation">
    <vt:lpwstr>2;#Not applicable|0049e722-bfb1-4a3f-9d08-af7366a9af40</vt:lpwstr>
  </property>
  <property fmtid="{D5CDD505-2E9C-101B-9397-08002B2CF9AE}" pid="3" name="BZTheme">
    <vt:lpwstr>1;#Not applicable|ec01d90b-9d0f-4785-8785-e1ea615196bf</vt:lpwstr>
  </property>
  <property fmtid="{D5CDD505-2E9C-101B-9397-08002B2CF9AE}" pid="4" name="BZ_Classification">
    <vt:lpwstr>8;#NO MARKING|879e64ec-6597-483b-94db-f5f70afd7299</vt:lpwstr>
  </property>
  <property fmtid="{D5CDD505-2E9C-101B-9397-08002B2CF9AE}" pid="5" name="ContentTypeId">
    <vt:lpwstr>0x0101009C7CE436063D44E9BE7DC0259EF7C32F006EB9F9836A634AE58B6169785FD3936F003FD5B2F9E986EC4490E3A24B9BD4DE1C</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gc2efd3bfea04f7f8169be07009f5536">
    <vt:lpwstr/>
  </property>
  <property fmtid="{D5CDD505-2E9C-101B-9397-08002B2CF9AE}" pid="10" name="BZDossierResponsibleDepartment">
    <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256f556a7b748329ab47889947c7d40">
    <vt:lpwstr/>
  </property>
  <property fmtid="{D5CDD505-2E9C-101B-9397-08002B2CF9AE}" pid="19" name="ed9282a3f18446ec8c17c7829edf82dd">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y fmtid="{D5CDD505-2E9C-101B-9397-08002B2CF9AE}" pid="24" name="_dlc_DocIdItemGuid">
    <vt:lpwstr>529937bb-ff64-4070-bc18-6765d8ea6a1f</vt:lpwstr>
  </property>
</Properties>
</file>