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5B54" w:rsidRDefault="00BE5B54" w14:paraId="17964BC1" w14:textId="4BF6C461">
      <w:pPr>
        <w:autoSpaceDE w:val="0"/>
        <w:autoSpaceDN w:val="0"/>
        <w:adjustRightInd w:val="0"/>
        <w:spacing w:before="0" w:after="0"/>
        <w:ind w:left="1416" w:hanging="1371"/>
        <w:rPr>
          <w:b/>
          <w:bCs/>
          <w:sz w:val="23"/>
          <w:szCs w:val="23"/>
        </w:rPr>
      </w:pPr>
      <w:r>
        <w:rPr>
          <w:b/>
          <w:bCs/>
          <w:sz w:val="23"/>
          <w:szCs w:val="23"/>
        </w:rPr>
        <w:t xml:space="preserve"> </w:t>
      </w:r>
    </w:p>
    <w:p w:rsidR="00E34507" w:rsidRDefault="001856D0" w14:paraId="7B549002" w14:textId="2A916BA5">
      <w:pPr>
        <w:autoSpaceDE w:val="0"/>
        <w:autoSpaceDN w:val="0"/>
        <w:adjustRightInd w:val="0"/>
        <w:spacing w:before="0" w:after="0"/>
        <w:ind w:left="1416" w:hanging="1371"/>
        <w:rPr>
          <w:b/>
          <w:bCs/>
          <w:sz w:val="23"/>
          <w:szCs w:val="23"/>
        </w:rPr>
      </w:pPr>
      <w:r>
        <w:rPr>
          <w:b/>
          <w:bCs/>
          <w:sz w:val="23"/>
          <w:szCs w:val="23"/>
        </w:rPr>
        <w:t>36725-V</w:t>
      </w:r>
      <w:r>
        <w:rPr>
          <w:b/>
          <w:bCs/>
          <w:sz w:val="23"/>
          <w:szCs w:val="23"/>
        </w:rPr>
        <w:tab/>
        <w:t>Wijziging van de begrotingsstaat van het Ministerie van Buitenlandse Zaken</w:t>
      </w:r>
    </w:p>
    <w:p w:rsidR="00E34507" w:rsidRDefault="00E34507" w14:paraId="7625A804" w14:textId="77777777">
      <w:pPr>
        <w:autoSpaceDE w:val="0"/>
        <w:autoSpaceDN w:val="0"/>
        <w:adjustRightInd w:val="0"/>
        <w:spacing w:before="0" w:after="0"/>
        <w:ind w:left="1416" w:hanging="1371"/>
        <w:rPr>
          <w:b/>
        </w:rPr>
      </w:pPr>
    </w:p>
    <w:p w:rsidR="00E34507" w:rsidRDefault="001856D0" w14:paraId="1DAB9512" w14:textId="77777777">
      <w:pPr>
        <w:rPr>
          <w:b/>
        </w:rPr>
      </w:pPr>
      <w:r>
        <w:rPr>
          <w:b/>
        </w:rPr>
        <w:t xml:space="preserve">nr. </w:t>
      </w:r>
      <w:r>
        <w:rPr>
          <w:b/>
        </w:rPr>
        <w:tab/>
      </w:r>
      <w:r>
        <w:rPr>
          <w:b/>
        </w:rPr>
        <w:tab/>
        <w:t>Lijst van vragen en antwoorden</w:t>
      </w:r>
    </w:p>
    <w:p w:rsidR="00E34507" w:rsidRDefault="001856D0" w14:paraId="5A829181" w14:textId="77777777">
      <w:r>
        <w:tab/>
      </w:r>
      <w:r>
        <w:tab/>
      </w:r>
    </w:p>
    <w:p w:rsidR="00E34507" w:rsidRDefault="001856D0" w14:paraId="5E14E405" w14:textId="77777777">
      <w:pPr>
        <w:ind w:left="702" w:firstLine="708"/>
        <w:rPr>
          <w:i/>
        </w:rPr>
      </w:pPr>
      <w:r>
        <w:t xml:space="preserve">Vastgesteld </w:t>
      </w:r>
      <w:r>
        <w:rPr>
          <w:i/>
        </w:rPr>
        <w:t>(wordt door griffie ingevuld als antwoorden er zijn)</w:t>
      </w:r>
    </w:p>
    <w:p w:rsidR="00E34507" w:rsidRDefault="001856D0" w14:paraId="627C6BB5" w14:textId="630CC1AF">
      <w:pPr>
        <w:ind w:left="1410"/>
      </w:pPr>
      <w:r>
        <w:t xml:space="preserve">De vaste commissie voor </w:t>
      </w:r>
      <w:r w:rsidR="00CF5052">
        <w:t>Buitenlandse Zaken</w:t>
      </w:r>
      <w:r>
        <w:t xml:space="preserve"> heeft een aantal vragen voorgelegd aan de </w:t>
      </w:r>
      <w:r w:rsidR="00CF5052">
        <w:t>minister van Buitenlandse Zaken</w:t>
      </w:r>
      <w:r>
        <w:t xml:space="preserve"> over de </w:t>
      </w:r>
      <w:r w:rsidR="00CF5052">
        <w:t xml:space="preserve">brief </w:t>
      </w:r>
      <w:r>
        <w:t xml:space="preserve">van </w:t>
      </w:r>
      <w:r w:rsidR="00CF5052">
        <w:t>21 mei 2025</w:t>
      </w:r>
      <w:r>
        <w:t xml:space="preserve"> inzake de </w:t>
      </w:r>
      <w:r>
        <w:rPr>
          <w:b/>
        </w:rPr>
        <w:t>Wijziging van de begrotingsstaat van het Ministerie van Buitenlandse Zaken (V) voor het jaar 2025 (wijziging samenhangende met de Voorjaarsnota)</w:t>
      </w:r>
      <w:r>
        <w:t xml:space="preserve"> (</w:t>
      </w:r>
      <w:r>
        <w:rPr>
          <w:b/>
        </w:rPr>
        <w:t>36725-V</w:t>
      </w:r>
      <w:r>
        <w:t xml:space="preserve">, nr. </w:t>
      </w:r>
      <w:r>
        <w:rPr>
          <w:b/>
        </w:rPr>
        <w:t>1</w:t>
      </w:r>
      <w:r>
        <w:t>).</w:t>
      </w:r>
    </w:p>
    <w:p w:rsidR="00E34507" w:rsidRDefault="001856D0" w14:paraId="5A3CDB10" w14:textId="276EF201">
      <w:pPr>
        <w:ind w:left="1410"/>
      </w:pPr>
      <w:r>
        <w:t xml:space="preserve">De daarop door de </w:t>
      </w:r>
      <w:r w:rsidR="00CF5052">
        <w:t>minister</w:t>
      </w:r>
      <w:r>
        <w:t xml:space="preserve"> gegeven antwoorden zijn hierbij afgedrukt.</w:t>
      </w:r>
    </w:p>
    <w:p w:rsidR="00E34507" w:rsidRDefault="00E34507" w14:paraId="6BACEC9F" w14:textId="77777777">
      <w:pPr>
        <w:spacing w:before="0" w:after="0"/>
      </w:pPr>
    </w:p>
    <w:p w:rsidR="00E34507" w:rsidRDefault="001856D0" w14:paraId="63FE7A9C" w14:textId="77777777">
      <w:pPr>
        <w:spacing w:before="0" w:after="0"/>
        <w:ind w:left="703" w:firstLine="709"/>
      </w:pPr>
      <w:r>
        <w:t xml:space="preserve">Voorzitter van de commissie, </w:t>
      </w:r>
    </w:p>
    <w:p w:rsidR="00E34507" w:rsidRDefault="001856D0" w14:paraId="34B28D69" w14:textId="704AB025">
      <w:pPr>
        <w:spacing w:before="0" w:after="0"/>
      </w:pPr>
      <w:r>
        <w:tab/>
      </w:r>
      <w:r>
        <w:tab/>
      </w:r>
      <w:r w:rsidR="00CF5052">
        <w:t>Klaver</w:t>
      </w:r>
    </w:p>
    <w:p w:rsidR="00E34507" w:rsidRDefault="001856D0" w14:paraId="40E7CDB6" w14:textId="77777777">
      <w:pPr>
        <w:spacing w:before="0" w:after="0"/>
      </w:pPr>
      <w:r>
        <w:tab/>
      </w:r>
      <w:r>
        <w:tab/>
      </w:r>
    </w:p>
    <w:p w:rsidR="00E34507" w:rsidRDefault="001856D0" w14:paraId="17CB8D6C" w14:textId="77777777">
      <w:pPr>
        <w:spacing w:before="0" w:after="0"/>
      </w:pPr>
      <w:r>
        <w:tab/>
      </w:r>
      <w:r>
        <w:tab/>
        <w:t>Griffier van de commissie,</w:t>
      </w:r>
    </w:p>
    <w:p w:rsidR="00E34507" w:rsidRDefault="001856D0" w14:paraId="76FD1497" w14:textId="64B5F89F">
      <w:pPr>
        <w:spacing w:before="0" w:after="0"/>
      </w:pPr>
      <w:r>
        <w:tab/>
      </w:r>
      <w:r>
        <w:tab/>
      </w:r>
      <w:proofErr w:type="spellStart"/>
      <w:r w:rsidR="00CF5052">
        <w:t>Westerhoff</w:t>
      </w:r>
      <w:proofErr w:type="spellEnd"/>
    </w:p>
    <w:p w:rsidR="00E34507" w:rsidRDefault="00E34507" w14:paraId="660BD313" w14:textId="77777777"/>
    <w:tbl>
      <w:tblPr>
        <w:tblW w:w="8510" w:type="dxa"/>
        <w:tblLayout w:type="fixed"/>
        <w:tblCellMar>
          <w:left w:w="0" w:type="dxa"/>
          <w:right w:w="0" w:type="dxa"/>
        </w:tblCellMar>
        <w:tblLook w:val="0000" w:firstRow="0" w:lastRow="0" w:firstColumn="0" w:lastColumn="0" w:noHBand="0" w:noVBand="0"/>
      </w:tblPr>
      <w:tblGrid>
        <w:gridCol w:w="567"/>
        <w:gridCol w:w="6521"/>
        <w:gridCol w:w="855"/>
        <w:gridCol w:w="567"/>
      </w:tblGrid>
      <w:tr w:rsidR="00145E5D" w:rsidTr="00BE5B54" w14:paraId="2D7414B2" w14:textId="77777777">
        <w:trPr>
          <w:cantSplit/>
        </w:trPr>
        <w:tc>
          <w:tcPr>
            <w:tcW w:w="567" w:type="dxa"/>
          </w:tcPr>
          <w:p w:rsidR="00145E5D" w:rsidRDefault="00145E5D" w14:paraId="6EAD613B" w14:textId="77777777">
            <w:bookmarkStart w:name="bmkStartTabel" w:id="0"/>
            <w:bookmarkEnd w:id="0"/>
            <w:proofErr w:type="spellStart"/>
            <w:r>
              <w:t>Nr</w:t>
            </w:r>
            <w:proofErr w:type="spellEnd"/>
          </w:p>
        </w:tc>
        <w:tc>
          <w:tcPr>
            <w:tcW w:w="6521" w:type="dxa"/>
          </w:tcPr>
          <w:p w:rsidR="00145E5D" w:rsidRDefault="00145E5D" w14:paraId="0C7812C4" w14:textId="77777777">
            <w:r>
              <w:t>Vraag</w:t>
            </w:r>
          </w:p>
        </w:tc>
        <w:tc>
          <w:tcPr>
            <w:tcW w:w="855" w:type="dxa"/>
          </w:tcPr>
          <w:p w:rsidR="00145E5D" w:rsidP="00E7153D" w:rsidRDefault="00145E5D" w14:paraId="171B8055" w14:textId="77777777">
            <w:pPr>
              <w:jc w:val="right"/>
            </w:pPr>
            <w:r>
              <w:t>Blz. (van)</w:t>
            </w:r>
          </w:p>
        </w:tc>
        <w:tc>
          <w:tcPr>
            <w:tcW w:w="567" w:type="dxa"/>
          </w:tcPr>
          <w:p w:rsidR="00145E5D" w:rsidP="00E7153D" w:rsidRDefault="00145E5D" w14:paraId="1516F9A6" w14:textId="77777777">
            <w:pPr>
              <w:jc w:val="center"/>
            </w:pPr>
            <w:r>
              <w:t>t/m</w:t>
            </w:r>
          </w:p>
        </w:tc>
      </w:tr>
      <w:tr w:rsidR="00145E5D" w:rsidTr="00BE5B54" w14:paraId="4515BC56" w14:textId="77777777">
        <w:tc>
          <w:tcPr>
            <w:tcW w:w="567" w:type="dxa"/>
          </w:tcPr>
          <w:p w:rsidR="00145E5D" w:rsidRDefault="00145E5D" w14:paraId="594ABDC4" w14:textId="77777777">
            <w:r>
              <w:t>1</w:t>
            </w:r>
          </w:p>
        </w:tc>
        <w:tc>
          <w:tcPr>
            <w:tcW w:w="6521" w:type="dxa"/>
          </w:tcPr>
          <w:p w:rsidR="00145E5D" w:rsidRDefault="00145E5D" w14:paraId="4731F994" w14:textId="77777777">
            <w:r>
              <w:t>Hoeveel ambassades zijn er door de bezuinigingen op het postennet gesloten sinds september?</w:t>
            </w:r>
          </w:p>
          <w:p w:rsidR="00145E5D" w:rsidRDefault="00145E5D" w14:paraId="3BC27A70" w14:textId="77777777"/>
          <w:p w:rsidRPr="00D35E79" w:rsidR="00145E5D" w:rsidRDefault="00145E5D" w14:paraId="28C4F24D" w14:textId="77777777">
            <w:pPr>
              <w:rPr>
                <w:b/>
                <w:bCs/>
              </w:rPr>
            </w:pPr>
            <w:r w:rsidRPr="00D35E79">
              <w:rPr>
                <w:b/>
                <w:bCs/>
              </w:rPr>
              <w:t>Antwoord:</w:t>
            </w:r>
          </w:p>
          <w:p w:rsidRPr="003514D0" w:rsidR="00145E5D" w:rsidRDefault="00145E5D" w14:paraId="75AEA515" w14:textId="75E9D36B">
            <w:pPr>
              <w:rPr>
                <w:b/>
              </w:rPr>
            </w:pPr>
            <w:r w:rsidRPr="00741DB7">
              <w:rPr>
                <w:b/>
              </w:rPr>
              <w:t xml:space="preserve">Er zijn nog geen ambassades gesloten door bezuinigingen op het postennet. </w:t>
            </w:r>
          </w:p>
          <w:p w:rsidR="00145E5D" w:rsidRDefault="00145E5D" w14:paraId="235EDE86" w14:textId="2895EC4C"/>
        </w:tc>
        <w:tc>
          <w:tcPr>
            <w:tcW w:w="855" w:type="dxa"/>
          </w:tcPr>
          <w:p w:rsidR="00145E5D" w:rsidRDefault="00145E5D" w14:paraId="467DB5A6" w14:textId="77777777">
            <w:pPr>
              <w:jc w:val="right"/>
            </w:pPr>
          </w:p>
        </w:tc>
        <w:tc>
          <w:tcPr>
            <w:tcW w:w="567" w:type="dxa"/>
          </w:tcPr>
          <w:p w:rsidR="00145E5D" w:rsidRDefault="00145E5D" w14:paraId="5FAE8449" w14:textId="77777777">
            <w:pPr>
              <w:jc w:val="right"/>
            </w:pPr>
            <w:r>
              <w:t xml:space="preserve"> </w:t>
            </w:r>
          </w:p>
        </w:tc>
      </w:tr>
      <w:tr w:rsidR="00145E5D" w:rsidTr="00BE5B54" w14:paraId="56D1BB77" w14:textId="77777777">
        <w:tc>
          <w:tcPr>
            <w:tcW w:w="567" w:type="dxa"/>
          </w:tcPr>
          <w:p w:rsidR="00145E5D" w:rsidRDefault="00145E5D" w14:paraId="6DE70495" w14:textId="77777777">
            <w:r>
              <w:t>2</w:t>
            </w:r>
          </w:p>
        </w:tc>
        <w:tc>
          <w:tcPr>
            <w:tcW w:w="6521" w:type="dxa"/>
          </w:tcPr>
          <w:p w:rsidR="00145E5D" w:rsidRDefault="00145E5D" w14:paraId="3FB57003" w14:textId="77777777">
            <w:r>
              <w:t>Welke ambassades zijn er gesloten of bent u van plan te sluiten naar aanleiding van de bezuinigingen op het postennet?</w:t>
            </w:r>
          </w:p>
          <w:p w:rsidR="00145E5D" w:rsidRDefault="00145E5D" w14:paraId="6E95091C" w14:textId="77777777"/>
          <w:p w:rsidRPr="00D35E79" w:rsidR="00145E5D" w:rsidP="00897D5E" w:rsidRDefault="00145E5D" w14:paraId="668B5F9F" w14:textId="77777777">
            <w:pPr>
              <w:rPr>
                <w:b/>
                <w:bCs/>
              </w:rPr>
            </w:pPr>
            <w:r w:rsidRPr="00D35E79">
              <w:rPr>
                <w:b/>
                <w:bCs/>
              </w:rPr>
              <w:t>Antwoord:</w:t>
            </w:r>
          </w:p>
          <w:p w:rsidRPr="00741DB7" w:rsidR="00145E5D" w:rsidP="00897D5E" w:rsidRDefault="00145E5D" w14:paraId="2B6C927C" w14:textId="77777777">
            <w:pPr>
              <w:rPr>
                <w:b/>
              </w:rPr>
            </w:pPr>
            <w:r w:rsidRPr="00741DB7">
              <w:rPr>
                <w:b/>
              </w:rPr>
              <w:t xml:space="preserve">Er zijn nog geen ambassades gesloten door bezuinigingen op het postennet. Zoals in de Kamerbrief “Adequaat postennet in tijden van taakstelling” van 17 april 2025 is opgenomen, is het voornemen om vijf ambassades en twee consulaten-generaal te sluiten: </w:t>
            </w:r>
          </w:p>
          <w:p w:rsidRPr="00741DB7" w:rsidR="00145E5D" w:rsidP="0048495E" w:rsidRDefault="00145E5D" w14:paraId="3B472DEF" w14:textId="77777777">
            <w:pPr>
              <w:pStyle w:val="ListParagraph"/>
              <w:numPr>
                <w:ilvl w:val="0"/>
                <w:numId w:val="3"/>
              </w:numPr>
              <w:rPr>
                <w:b/>
              </w:rPr>
            </w:pPr>
            <w:r w:rsidRPr="00741DB7">
              <w:rPr>
                <w:b/>
              </w:rPr>
              <w:t>Bujumbura (Burundi)</w:t>
            </w:r>
          </w:p>
          <w:p w:rsidRPr="00741DB7" w:rsidR="00145E5D" w:rsidP="0048495E" w:rsidRDefault="00145E5D" w14:paraId="257C0E75" w14:textId="77777777">
            <w:pPr>
              <w:pStyle w:val="ListParagraph"/>
              <w:numPr>
                <w:ilvl w:val="0"/>
                <w:numId w:val="3"/>
              </w:numPr>
              <w:rPr>
                <w:b/>
              </w:rPr>
            </w:pPr>
            <w:r w:rsidRPr="00741DB7">
              <w:rPr>
                <w:b/>
              </w:rPr>
              <w:t>Havanna (Cuba)</w:t>
            </w:r>
          </w:p>
          <w:p w:rsidRPr="00741DB7" w:rsidR="00145E5D" w:rsidP="0048495E" w:rsidRDefault="00145E5D" w14:paraId="5D29836B" w14:textId="77777777">
            <w:pPr>
              <w:pStyle w:val="ListParagraph"/>
              <w:numPr>
                <w:ilvl w:val="0"/>
                <w:numId w:val="3"/>
              </w:numPr>
              <w:rPr>
                <w:b/>
              </w:rPr>
            </w:pPr>
            <w:r w:rsidRPr="00741DB7">
              <w:rPr>
                <w:b/>
              </w:rPr>
              <w:t>Juba (Zuid-Soedan)</w:t>
            </w:r>
          </w:p>
          <w:p w:rsidRPr="00741DB7" w:rsidR="00145E5D" w:rsidP="0048495E" w:rsidRDefault="00145E5D" w14:paraId="09B5AC9F" w14:textId="77777777">
            <w:pPr>
              <w:pStyle w:val="ListParagraph"/>
              <w:numPr>
                <w:ilvl w:val="0"/>
                <w:numId w:val="3"/>
              </w:numPr>
              <w:rPr>
                <w:b/>
              </w:rPr>
            </w:pPr>
            <w:r w:rsidRPr="00741DB7">
              <w:rPr>
                <w:b/>
              </w:rPr>
              <w:t>Tripoli (Libië)</w:t>
            </w:r>
          </w:p>
          <w:p w:rsidRPr="00741DB7" w:rsidR="00145E5D" w:rsidP="0048495E" w:rsidRDefault="00145E5D" w14:paraId="7541C122" w14:textId="6E3DDFD3">
            <w:pPr>
              <w:pStyle w:val="ListParagraph"/>
              <w:numPr>
                <w:ilvl w:val="0"/>
                <w:numId w:val="3"/>
              </w:numPr>
              <w:rPr>
                <w:b/>
              </w:rPr>
            </w:pPr>
            <w:r w:rsidRPr="00741DB7">
              <w:rPr>
                <w:b/>
              </w:rPr>
              <w:t>Yangon (Myanmar)</w:t>
            </w:r>
          </w:p>
          <w:p w:rsidRPr="00741DB7" w:rsidR="00145E5D" w:rsidP="0048495E" w:rsidRDefault="00145E5D" w14:paraId="04E46978" w14:textId="6E5FA436">
            <w:pPr>
              <w:rPr>
                <w:b/>
              </w:rPr>
            </w:pPr>
            <w:r w:rsidRPr="00741DB7">
              <w:rPr>
                <w:b/>
              </w:rPr>
              <w:t>Twee Consulaten-generaal (CG):</w:t>
            </w:r>
          </w:p>
          <w:p w:rsidRPr="00741DB7" w:rsidR="00145E5D" w:rsidP="0048495E" w:rsidRDefault="00145E5D" w14:paraId="36042614" w14:textId="65C66DC4">
            <w:pPr>
              <w:pStyle w:val="ListParagraph"/>
              <w:numPr>
                <w:ilvl w:val="0"/>
                <w:numId w:val="4"/>
              </w:numPr>
              <w:rPr>
                <w:b/>
              </w:rPr>
            </w:pPr>
            <w:r w:rsidRPr="00741DB7">
              <w:rPr>
                <w:b/>
              </w:rPr>
              <w:t xml:space="preserve">CG Antwerpen </w:t>
            </w:r>
            <w:r>
              <w:rPr>
                <w:b/>
              </w:rPr>
              <w:t>(</w:t>
            </w:r>
            <w:r w:rsidRPr="00F75894">
              <w:rPr>
                <w:b/>
              </w:rPr>
              <w:t>België</w:t>
            </w:r>
            <w:r>
              <w:rPr>
                <w:b/>
              </w:rPr>
              <w:t>)</w:t>
            </w:r>
          </w:p>
          <w:p w:rsidRPr="00F75894" w:rsidR="00145E5D" w:rsidP="0048495E" w:rsidRDefault="00145E5D" w14:paraId="6EE80AE7" w14:textId="0E855C18">
            <w:pPr>
              <w:pStyle w:val="ListParagraph"/>
              <w:numPr>
                <w:ilvl w:val="0"/>
                <w:numId w:val="4"/>
              </w:numPr>
              <w:rPr>
                <w:b/>
                <w:lang w:val="pt-PT"/>
              </w:rPr>
            </w:pPr>
            <w:r w:rsidRPr="00741DB7">
              <w:rPr>
                <w:b/>
                <w:lang w:val="pt-PT"/>
              </w:rPr>
              <w:t>CG Rio de Janeiro</w:t>
            </w:r>
            <w:r>
              <w:rPr>
                <w:b/>
                <w:lang w:val="pt-PT"/>
              </w:rPr>
              <w:t xml:space="preserve"> (</w:t>
            </w:r>
            <w:proofErr w:type="spellStart"/>
            <w:r w:rsidRPr="00F75894">
              <w:rPr>
                <w:b/>
                <w:lang w:val="pt-PT"/>
              </w:rPr>
              <w:t>Brazilië</w:t>
            </w:r>
            <w:proofErr w:type="spellEnd"/>
            <w:r>
              <w:rPr>
                <w:b/>
                <w:lang w:val="pt-PT"/>
              </w:rPr>
              <w:t>)</w:t>
            </w:r>
          </w:p>
          <w:p w:rsidRPr="00BE5B54" w:rsidR="00BE5B54" w:rsidRDefault="00145E5D" w14:paraId="52A7C40F" w14:textId="2351A063">
            <w:pPr>
              <w:rPr>
                <w:b/>
              </w:rPr>
            </w:pPr>
            <w:r w:rsidRPr="00741DB7">
              <w:rPr>
                <w:b/>
              </w:rPr>
              <w:t>Om de taakstelling verder in te vullen is het noodzakelijk om de komende periode nog vier posten te sluiten. Geopolitieke en economische ontwikkelingen nemen we daarbij in overweging. Op een later moment vullen we dit voornemen verder in.</w:t>
            </w:r>
          </w:p>
        </w:tc>
        <w:tc>
          <w:tcPr>
            <w:tcW w:w="855" w:type="dxa"/>
          </w:tcPr>
          <w:p w:rsidR="00145E5D" w:rsidRDefault="00145E5D" w14:paraId="2D3AC496" w14:textId="77777777">
            <w:pPr>
              <w:jc w:val="right"/>
            </w:pPr>
          </w:p>
        </w:tc>
        <w:tc>
          <w:tcPr>
            <w:tcW w:w="567" w:type="dxa"/>
          </w:tcPr>
          <w:p w:rsidR="00145E5D" w:rsidRDefault="00145E5D" w14:paraId="4294857C" w14:textId="77777777">
            <w:pPr>
              <w:jc w:val="right"/>
            </w:pPr>
            <w:r>
              <w:t xml:space="preserve"> </w:t>
            </w:r>
          </w:p>
        </w:tc>
      </w:tr>
      <w:tr w:rsidR="00145E5D" w:rsidTr="00BE5B54" w14:paraId="495DEC4D" w14:textId="77777777">
        <w:tc>
          <w:tcPr>
            <w:tcW w:w="567" w:type="dxa"/>
          </w:tcPr>
          <w:p w:rsidR="00145E5D" w:rsidRDefault="00145E5D" w14:paraId="4711A0C4" w14:textId="77777777">
            <w:r>
              <w:t>3</w:t>
            </w:r>
          </w:p>
        </w:tc>
        <w:tc>
          <w:tcPr>
            <w:tcW w:w="6521" w:type="dxa"/>
          </w:tcPr>
          <w:p w:rsidR="00145E5D" w:rsidRDefault="00145E5D" w14:paraId="33EBC7A7" w14:textId="77777777">
            <w:r>
              <w:t>Welke posten worden het hardst geraakt door de bezuinigingen op het postennet?</w:t>
            </w:r>
          </w:p>
          <w:p w:rsidR="00145E5D" w:rsidRDefault="00145E5D" w14:paraId="62A65481" w14:textId="77777777"/>
          <w:p w:rsidRPr="00D35E79" w:rsidR="00145E5D" w:rsidP="00897D5E" w:rsidRDefault="00145E5D" w14:paraId="2204CE47" w14:textId="77777777">
            <w:pPr>
              <w:rPr>
                <w:b/>
                <w:bCs/>
              </w:rPr>
            </w:pPr>
            <w:r w:rsidRPr="00D35E79">
              <w:rPr>
                <w:b/>
                <w:bCs/>
              </w:rPr>
              <w:t>Antwoord:</w:t>
            </w:r>
          </w:p>
          <w:p w:rsidRPr="00741DB7" w:rsidR="00145E5D" w:rsidP="00897D5E" w:rsidRDefault="00145E5D" w14:paraId="3D6E4D2E" w14:textId="0994C418">
            <w:pPr>
              <w:rPr>
                <w:b/>
              </w:rPr>
            </w:pPr>
            <w:r>
              <w:rPr>
                <w:b/>
              </w:rPr>
              <w:t>D</w:t>
            </w:r>
            <w:r w:rsidRPr="00741DB7">
              <w:rPr>
                <w:b/>
              </w:rPr>
              <w:t>e posten die gaan sluiten</w:t>
            </w:r>
            <w:r>
              <w:rPr>
                <w:b/>
              </w:rPr>
              <w:t xml:space="preserve"> worden het hardst geraakt</w:t>
            </w:r>
            <w:r w:rsidRPr="00741DB7">
              <w:rPr>
                <w:b/>
              </w:rPr>
              <w:t xml:space="preserve"> (zie antwoord op vraag 2). </w:t>
            </w:r>
            <w:r>
              <w:rPr>
                <w:b/>
              </w:rPr>
              <w:t>Daarnaast is h</w:t>
            </w:r>
            <w:r w:rsidRPr="00741DB7">
              <w:rPr>
                <w:b/>
              </w:rPr>
              <w:t xml:space="preserve">et ministerie is nu bezig om de effecten van de </w:t>
            </w:r>
            <w:r w:rsidRPr="00741DB7">
              <w:rPr>
                <w:b/>
              </w:rPr>
              <w:lastRenderedPageBreak/>
              <w:t>bezuinigingen voor de posten die open blijven verder uit te werken. Op dit moment is</w:t>
            </w:r>
            <w:r>
              <w:rPr>
                <w:b/>
              </w:rPr>
              <w:t xml:space="preserve"> nog </w:t>
            </w:r>
            <w:r w:rsidRPr="00741DB7">
              <w:rPr>
                <w:b/>
              </w:rPr>
              <w:t>niet aan te geven welke posten op welke wijze worden geraakt</w:t>
            </w:r>
            <w:r>
              <w:rPr>
                <w:b/>
              </w:rPr>
              <w:t>.</w:t>
            </w:r>
            <w:r w:rsidR="00E368CE">
              <w:rPr>
                <w:b/>
              </w:rPr>
              <w:t xml:space="preserve"> </w:t>
            </w:r>
            <w:r w:rsidRPr="00741DB7">
              <w:rPr>
                <w:b/>
              </w:rPr>
              <w:t xml:space="preserve">  </w:t>
            </w:r>
          </w:p>
          <w:p w:rsidR="00145E5D" w:rsidRDefault="00145E5D" w14:paraId="0A51658F" w14:textId="77777777"/>
        </w:tc>
        <w:tc>
          <w:tcPr>
            <w:tcW w:w="855" w:type="dxa"/>
          </w:tcPr>
          <w:p w:rsidR="00145E5D" w:rsidRDefault="00145E5D" w14:paraId="1494A941" w14:textId="7E23580E">
            <w:pPr>
              <w:jc w:val="right"/>
            </w:pPr>
          </w:p>
        </w:tc>
        <w:tc>
          <w:tcPr>
            <w:tcW w:w="567" w:type="dxa"/>
          </w:tcPr>
          <w:p w:rsidR="00145E5D" w:rsidRDefault="00145E5D" w14:paraId="262DE2AE" w14:textId="77777777">
            <w:pPr>
              <w:jc w:val="right"/>
            </w:pPr>
            <w:r>
              <w:t xml:space="preserve"> </w:t>
            </w:r>
          </w:p>
        </w:tc>
      </w:tr>
      <w:tr w:rsidR="00145E5D" w:rsidTr="00BE5B54" w14:paraId="1D8D5160" w14:textId="77777777">
        <w:tc>
          <w:tcPr>
            <w:tcW w:w="567" w:type="dxa"/>
          </w:tcPr>
          <w:p w:rsidR="00145E5D" w:rsidRDefault="00145E5D" w14:paraId="333F1D91" w14:textId="77777777">
            <w:r>
              <w:t>4</w:t>
            </w:r>
          </w:p>
        </w:tc>
        <w:tc>
          <w:tcPr>
            <w:tcW w:w="6521" w:type="dxa"/>
          </w:tcPr>
          <w:p w:rsidR="00145E5D" w:rsidRDefault="00145E5D" w14:paraId="60F7F7F7" w14:textId="77777777">
            <w:r>
              <w:t>Wat is uw inzet op de 'Women, Peace and Security'-agenda? Welke projecten lopen er momenteel onder die noemer?</w:t>
            </w:r>
          </w:p>
          <w:p w:rsidR="00145E5D" w:rsidRDefault="00145E5D" w14:paraId="61C63771" w14:textId="77777777"/>
          <w:p w:rsidRPr="00D35E79" w:rsidR="00145E5D" w:rsidP="00897D5E" w:rsidRDefault="00145E5D" w14:paraId="0C49C338" w14:textId="77777777">
            <w:pPr>
              <w:rPr>
                <w:b/>
                <w:bCs/>
              </w:rPr>
            </w:pPr>
            <w:r w:rsidRPr="00D35E79">
              <w:rPr>
                <w:b/>
                <w:bCs/>
              </w:rPr>
              <w:t>Antwoord:</w:t>
            </w:r>
          </w:p>
          <w:p w:rsidRPr="00741DB7" w:rsidR="00145E5D" w:rsidP="00FF0B87" w:rsidRDefault="00145E5D" w14:paraId="69E7CCE5" w14:textId="017EE82A">
            <w:pPr>
              <w:rPr>
                <w:b/>
              </w:rPr>
            </w:pPr>
            <w:r w:rsidRPr="00741DB7">
              <w:rPr>
                <w:b/>
              </w:rPr>
              <w:t xml:space="preserve">Nederland financiert vanuit non-ODA middelen verschillende projecten op dit thema. Vanuit het Stabiliteitsfonds draagt Nederland bij aan het </w:t>
            </w:r>
            <w:proofErr w:type="spellStart"/>
            <w:r w:rsidRPr="00741DB7">
              <w:rPr>
                <w:b/>
                <w:i/>
              </w:rPr>
              <w:t>Ukrainian</w:t>
            </w:r>
            <w:proofErr w:type="spellEnd"/>
            <w:r w:rsidRPr="00741DB7">
              <w:rPr>
                <w:b/>
                <w:i/>
              </w:rPr>
              <w:t xml:space="preserve"> Women Fund</w:t>
            </w:r>
            <w:r w:rsidRPr="00741DB7">
              <w:rPr>
                <w:b/>
              </w:rPr>
              <w:t xml:space="preserve"> gericht op het bevorderen van Vrouwen, Vrede en Veiligheid in Oekraïne. Ook het </w:t>
            </w:r>
            <w:proofErr w:type="spellStart"/>
            <w:r w:rsidRPr="00741DB7">
              <w:rPr>
                <w:b/>
                <w:i/>
              </w:rPr>
              <w:t>Elsie</w:t>
            </w:r>
            <w:proofErr w:type="spellEnd"/>
            <w:r w:rsidRPr="00741DB7">
              <w:rPr>
                <w:b/>
                <w:i/>
              </w:rPr>
              <w:t xml:space="preserve"> Initiative Fund</w:t>
            </w:r>
            <w:r w:rsidRPr="00741DB7">
              <w:rPr>
                <w:b/>
              </w:rPr>
              <w:t xml:space="preserve"> wordt vanuit het Stabiliteitsfonds gefinancierd dat de volledige en gelijkwaardige participatie van geüniformeerde vrouwen binnen VN Vredesoperaties ondersteunt. Met BZ</w:t>
            </w:r>
            <w:r>
              <w:rPr>
                <w:b/>
                <w:bCs/>
              </w:rPr>
              <w:t>-</w:t>
            </w:r>
            <w:r w:rsidRPr="00741DB7">
              <w:rPr>
                <w:b/>
              </w:rPr>
              <w:t xml:space="preserve">financiering organiseert het Ministerie van Defensie samen met Spanje trainingen voor civiele en militaire professionals ten behoeve van het integreren van genderperspectief in internationale missies in fragiele staten. Via het </w:t>
            </w:r>
            <w:r w:rsidRPr="00741DB7">
              <w:rPr>
                <w:b/>
                <w:i/>
              </w:rPr>
              <w:t>Women in Cyber Fellowship</w:t>
            </w:r>
            <w:r w:rsidRPr="00741DB7">
              <w:rPr>
                <w:b/>
              </w:rPr>
              <w:t xml:space="preserve"> draagt Nederland bij aan de deelname van vrouwelijke overheidsvertegenwoordigers aan de onderhandelingen van de VN Eerste Commissie over cyberveiligheid. Naast bovengenoemde geeft het kabinet invulling aan deze agenda via financiering uit ODA middelen en (bilaterale en multilaterale) inzet.   </w:t>
            </w:r>
          </w:p>
          <w:p w:rsidR="00145E5D" w:rsidRDefault="00145E5D" w14:paraId="175E041E" w14:textId="77777777"/>
        </w:tc>
        <w:tc>
          <w:tcPr>
            <w:tcW w:w="855" w:type="dxa"/>
          </w:tcPr>
          <w:p w:rsidR="00145E5D" w:rsidRDefault="00145E5D" w14:paraId="3CC1F495" w14:textId="77777777">
            <w:pPr>
              <w:jc w:val="right"/>
            </w:pPr>
          </w:p>
        </w:tc>
        <w:tc>
          <w:tcPr>
            <w:tcW w:w="567" w:type="dxa"/>
          </w:tcPr>
          <w:p w:rsidR="00145E5D" w:rsidRDefault="00145E5D" w14:paraId="77D0BA70" w14:textId="77777777">
            <w:pPr>
              <w:jc w:val="right"/>
            </w:pPr>
            <w:r>
              <w:t xml:space="preserve"> </w:t>
            </w:r>
          </w:p>
        </w:tc>
      </w:tr>
      <w:tr w:rsidR="00145E5D" w:rsidTr="00BE5B54" w14:paraId="2FE93EC9" w14:textId="77777777">
        <w:tc>
          <w:tcPr>
            <w:tcW w:w="567" w:type="dxa"/>
          </w:tcPr>
          <w:p w:rsidR="00145E5D" w:rsidRDefault="00145E5D" w14:paraId="51779EEC" w14:textId="77777777">
            <w:r>
              <w:t>5</w:t>
            </w:r>
          </w:p>
        </w:tc>
        <w:tc>
          <w:tcPr>
            <w:tcW w:w="6521" w:type="dxa"/>
          </w:tcPr>
          <w:p w:rsidR="00145E5D" w:rsidRDefault="00145E5D" w14:paraId="2C00F5E0" w14:textId="77777777">
            <w:r>
              <w:t>Wat is de budgettaire ruimte op de begroting van het Ministerie van Buitenlandse Zaken?</w:t>
            </w:r>
          </w:p>
          <w:p w:rsidR="00145E5D" w:rsidRDefault="00145E5D" w14:paraId="69366584" w14:textId="77777777"/>
          <w:p w:rsidRPr="00D35E79" w:rsidR="00145E5D" w:rsidP="00897D5E" w:rsidRDefault="00145E5D" w14:paraId="6E59887B" w14:textId="41992680">
            <w:pPr>
              <w:rPr>
                <w:b/>
                <w:bCs/>
              </w:rPr>
            </w:pPr>
            <w:r w:rsidRPr="00D35E79">
              <w:rPr>
                <w:b/>
                <w:bCs/>
              </w:rPr>
              <w:t>Antwoord:</w:t>
            </w:r>
          </w:p>
          <w:p w:rsidRPr="00741DB7" w:rsidR="00145E5D" w:rsidP="00897D5E" w:rsidRDefault="00145E5D" w14:paraId="4094DE44" w14:textId="04B08AED">
            <w:pPr>
              <w:rPr>
                <w:b/>
              </w:rPr>
            </w:pPr>
            <w:r w:rsidRPr="00741DB7">
              <w:rPr>
                <w:b/>
              </w:rPr>
              <w:t xml:space="preserve">Bij de eerste suppletoire begroting wordt conform de Rijksbegrotingsvoorschriften voor programmamiddelen alleen gerapporteerd welk gedeelte van de uitgaven juridisch verplicht is. Over de verdere splitsing tussen bestuurlijk gebonden en beleidsmatig gereserveerd wordt alleen bij de ontwerpbegroting gerapporteerd. </w:t>
            </w:r>
          </w:p>
          <w:p w:rsidRPr="00741DB7" w:rsidR="00145E5D" w:rsidP="00897D5E" w:rsidRDefault="00145E5D" w14:paraId="3413D8D8" w14:textId="77777777">
            <w:pPr>
              <w:rPr>
                <w:b/>
              </w:rPr>
            </w:pPr>
          </w:p>
          <w:p w:rsidR="00145E5D" w:rsidP="00897D5E" w:rsidRDefault="00145E5D" w14:paraId="5476A1A9" w14:textId="22CE26A1">
            <w:r w:rsidRPr="00741DB7">
              <w:rPr>
                <w:b/>
              </w:rPr>
              <w:t>Het totale programmabudget (beleidsartikelen 1 t/m 4) van deze eerste suppletoire begroting bedraagt circa EUR 11,9 miljard. Van deze budgetten is circa EUR 11,8 miljard juridisch verplicht. De overige uitgaven zijn bestuurlijk gebonden</w:t>
            </w:r>
            <w:r>
              <w:rPr>
                <w:b/>
              </w:rPr>
              <w:t xml:space="preserve"> of</w:t>
            </w:r>
            <w:r w:rsidRPr="00741DB7">
              <w:rPr>
                <w:b/>
              </w:rPr>
              <w:t xml:space="preserve"> beleidsmatig gereserveerd. Het apparaatsbudget (artikel 7) is volledig gereserveerd voor personele en materiële uitgaven</w:t>
            </w:r>
            <w:r>
              <w:t xml:space="preserve">. </w:t>
            </w:r>
          </w:p>
          <w:p w:rsidR="00145E5D" w:rsidRDefault="00145E5D" w14:paraId="7518B5C6" w14:textId="77777777"/>
        </w:tc>
        <w:tc>
          <w:tcPr>
            <w:tcW w:w="855" w:type="dxa"/>
          </w:tcPr>
          <w:p w:rsidR="00145E5D" w:rsidRDefault="00145E5D" w14:paraId="0502670E" w14:textId="77777777">
            <w:pPr>
              <w:jc w:val="right"/>
            </w:pPr>
          </w:p>
        </w:tc>
        <w:tc>
          <w:tcPr>
            <w:tcW w:w="567" w:type="dxa"/>
          </w:tcPr>
          <w:p w:rsidR="00145E5D" w:rsidRDefault="00145E5D" w14:paraId="483838D6" w14:textId="77777777">
            <w:pPr>
              <w:jc w:val="right"/>
            </w:pPr>
            <w:r>
              <w:t xml:space="preserve"> </w:t>
            </w:r>
          </w:p>
        </w:tc>
      </w:tr>
      <w:tr w:rsidR="00145E5D" w:rsidTr="00BE5B54" w14:paraId="73BCA7E9" w14:textId="77777777">
        <w:tc>
          <w:tcPr>
            <w:tcW w:w="567" w:type="dxa"/>
          </w:tcPr>
          <w:p w:rsidR="00145E5D" w:rsidRDefault="00145E5D" w14:paraId="221A8514" w14:textId="77777777">
            <w:r>
              <w:t>6</w:t>
            </w:r>
          </w:p>
        </w:tc>
        <w:tc>
          <w:tcPr>
            <w:tcW w:w="6521" w:type="dxa"/>
          </w:tcPr>
          <w:p w:rsidR="00145E5D" w:rsidRDefault="00145E5D" w14:paraId="71E386CC" w14:textId="77777777">
            <w:r>
              <w:t>Welke middelen zijn juridisch verplicht, welke zijn bestuurlijk gebonden, welke zijn beleidsmatig belegd en hoeveel middelen zijn nog vrij te besteden?</w:t>
            </w:r>
          </w:p>
          <w:p w:rsidR="00145E5D" w:rsidRDefault="00145E5D" w14:paraId="51870AAC" w14:textId="77777777"/>
          <w:p w:rsidRPr="00D35E79" w:rsidR="00145E5D" w:rsidRDefault="00145E5D" w14:paraId="299D7AB6" w14:textId="3A345B54">
            <w:pPr>
              <w:rPr>
                <w:b/>
                <w:bCs/>
              </w:rPr>
            </w:pPr>
            <w:r w:rsidRPr="00D35E79">
              <w:rPr>
                <w:b/>
                <w:bCs/>
              </w:rPr>
              <w:t>Antwoord:</w:t>
            </w:r>
          </w:p>
          <w:p w:rsidRPr="00741DB7" w:rsidR="00145E5D" w:rsidRDefault="00145E5D" w14:paraId="5DCE9275" w14:textId="2B5752D9">
            <w:pPr>
              <w:rPr>
                <w:b/>
              </w:rPr>
            </w:pPr>
            <w:r w:rsidRPr="00741DB7">
              <w:rPr>
                <w:b/>
              </w:rPr>
              <w:t xml:space="preserve">Zie </w:t>
            </w:r>
            <w:r w:rsidR="00BE5B54">
              <w:rPr>
                <w:b/>
              </w:rPr>
              <w:t xml:space="preserve">het </w:t>
            </w:r>
            <w:r w:rsidRPr="00741DB7">
              <w:rPr>
                <w:b/>
              </w:rPr>
              <w:t xml:space="preserve">antwoord bij vraag 5. </w:t>
            </w:r>
          </w:p>
          <w:p w:rsidR="00145E5D" w:rsidRDefault="00145E5D" w14:paraId="6E7024DB" w14:textId="77777777"/>
        </w:tc>
        <w:tc>
          <w:tcPr>
            <w:tcW w:w="855" w:type="dxa"/>
          </w:tcPr>
          <w:p w:rsidR="00145E5D" w:rsidRDefault="00145E5D" w14:paraId="24DF96BB" w14:textId="77777777">
            <w:pPr>
              <w:jc w:val="right"/>
            </w:pPr>
          </w:p>
        </w:tc>
        <w:tc>
          <w:tcPr>
            <w:tcW w:w="567" w:type="dxa"/>
          </w:tcPr>
          <w:p w:rsidR="00145E5D" w:rsidRDefault="00145E5D" w14:paraId="30A637EF" w14:textId="77777777">
            <w:pPr>
              <w:jc w:val="right"/>
            </w:pPr>
            <w:r>
              <w:t xml:space="preserve"> </w:t>
            </w:r>
          </w:p>
        </w:tc>
      </w:tr>
      <w:tr w:rsidR="00145E5D" w:rsidTr="00BE5B54" w14:paraId="3599DA7B" w14:textId="77777777">
        <w:tc>
          <w:tcPr>
            <w:tcW w:w="567" w:type="dxa"/>
          </w:tcPr>
          <w:p w:rsidR="00145E5D" w:rsidRDefault="00145E5D" w14:paraId="2782788D" w14:textId="77777777">
            <w:r>
              <w:t>7</w:t>
            </w:r>
          </w:p>
        </w:tc>
        <w:tc>
          <w:tcPr>
            <w:tcW w:w="6521" w:type="dxa"/>
          </w:tcPr>
          <w:p w:rsidR="00145E5D" w:rsidRDefault="00145E5D" w14:paraId="3A373C06" w14:textId="77777777">
            <w:r>
              <w:t xml:space="preserve">Hoeveel bedraagt naar verwachting de </w:t>
            </w:r>
            <w:proofErr w:type="spellStart"/>
            <w:r>
              <w:t>onderuitputting</w:t>
            </w:r>
            <w:proofErr w:type="spellEnd"/>
            <w:r>
              <w:t xml:space="preserve"> in 2025 en hoeveel bedragen naar verwachting de kasschuiven van 2025 naar latere begrotingsjaren?</w:t>
            </w:r>
          </w:p>
          <w:p w:rsidR="00145E5D" w:rsidRDefault="00145E5D" w14:paraId="368797E8" w14:textId="77777777"/>
          <w:p w:rsidRPr="00D35E79" w:rsidR="00145E5D" w:rsidRDefault="00145E5D" w14:paraId="11679E17" w14:textId="3851DA87">
            <w:pPr>
              <w:rPr>
                <w:b/>
                <w:bCs/>
              </w:rPr>
            </w:pPr>
            <w:r w:rsidRPr="00D35E79">
              <w:rPr>
                <w:b/>
                <w:bCs/>
              </w:rPr>
              <w:t>Antwoord:</w:t>
            </w:r>
          </w:p>
          <w:p w:rsidRPr="00AE1403" w:rsidR="00145E5D" w:rsidRDefault="00145E5D" w14:paraId="7133CD9A" w14:textId="33C2E285">
            <w:pPr>
              <w:rPr>
                <w:b/>
              </w:rPr>
            </w:pPr>
            <w:r>
              <w:rPr>
                <w:b/>
              </w:rPr>
              <w:t>Het budget voor 2025 is grotendeels juridisch verplicht en wordt naar verwachting uitgeput</w:t>
            </w:r>
            <w:r w:rsidRPr="00AE1403">
              <w:rPr>
                <w:b/>
              </w:rPr>
              <w:t xml:space="preserve">. Het kan voorkomen dat gedurende het jaar ontwikkelingen plaatsvinden waardoor </w:t>
            </w:r>
            <w:r>
              <w:rPr>
                <w:b/>
              </w:rPr>
              <w:t>geplande uitgaven vertraging oplopen</w:t>
            </w:r>
            <w:r w:rsidRPr="00AE1403">
              <w:rPr>
                <w:b/>
              </w:rPr>
              <w:t xml:space="preserve">. Indien noodzakelijk kunnen bij de tweede suppletoire begroting </w:t>
            </w:r>
            <w:r w:rsidRPr="00AE1403">
              <w:rPr>
                <w:b/>
              </w:rPr>
              <w:lastRenderedPageBreak/>
              <w:t xml:space="preserve">(wijziging samenhangend met de Najaarsnota) budgetten worden aangepast. Hierover wordt uw Kamer op dat moment geïnformeerd. Daarnaast informeren we uw Kamer </w:t>
            </w:r>
            <w:r>
              <w:rPr>
                <w:b/>
              </w:rPr>
              <w:t>bij</w:t>
            </w:r>
            <w:r w:rsidRPr="00AE1403">
              <w:rPr>
                <w:b/>
              </w:rPr>
              <w:t xml:space="preserve"> de decemberbrief over </w:t>
            </w:r>
            <w:r>
              <w:rPr>
                <w:b/>
              </w:rPr>
              <w:t xml:space="preserve">de voornaamste budgettaire mutaties </w:t>
            </w:r>
            <w:r w:rsidRPr="00AE1403">
              <w:rPr>
                <w:b/>
              </w:rPr>
              <w:t xml:space="preserve">ten opzichte van de tweede suppletoire begroting. </w:t>
            </w:r>
          </w:p>
          <w:p w:rsidR="00145E5D" w:rsidRDefault="00145E5D" w14:paraId="53578A12" w14:textId="77777777"/>
        </w:tc>
        <w:tc>
          <w:tcPr>
            <w:tcW w:w="855" w:type="dxa"/>
          </w:tcPr>
          <w:p w:rsidR="00145E5D" w:rsidRDefault="00145E5D" w14:paraId="4518318F" w14:textId="77777777">
            <w:pPr>
              <w:jc w:val="right"/>
            </w:pPr>
          </w:p>
        </w:tc>
        <w:tc>
          <w:tcPr>
            <w:tcW w:w="567" w:type="dxa"/>
          </w:tcPr>
          <w:p w:rsidR="00145E5D" w:rsidRDefault="00145E5D" w14:paraId="4C320295" w14:textId="77777777">
            <w:pPr>
              <w:jc w:val="right"/>
            </w:pPr>
            <w:r>
              <w:t xml:space="preserve"> </w:t>
            </w:r>
          </w:p>
        </w:tc>
      </w:tr>
      <w:tr w:rsidR="00145E5D" w:rsidTr="00BE5B54" w14:paraId="0D9513AA" w14:textId="77777777">
        <w:tc>
          <w:tcPr>
            <w:tcW w:w="567" w:type="dxa"/>
          </w:tcPr>
          <w:p w:rsidR="00145E5D" w:rsidRDefault="00145E5D" w14:paraId="6A5F7E0B" w14:textId="77777777">
            <w:r>
              <w:t>8</w:t>
            </w:r>
          </w:p>
        </w:tc>
        <w:tc>
          <w:tcPr>
            <w:tcW w:w="6521" w:type="dxa"/>
          </w:tcPr>
          <w:p w:rsidR="00145E5D" w:rsidRDefault="00145E5D" w14:paraId="559B8488" w14:textId="77777777">
            <w:r>
              <w:t>Kunt u toelichten uit welke mutaties de toename van de verplichtingen op artikel 2 van per saldo € 58 miljoen zijn opgebouwd?</w:t>
            </w:r>
          </w:p>
          <w:p w:rsidR="00145E5D" w:rsidRDefault="00145E5D" w14:paraId="677F40CF" w14:textId="77777777"/>
          <w:p w:rsidRPr="00D35E79" w:rsidR="00145E5D" w:rsidRDefault="00145E5D" w14:paraId="53C9A7A5" w14:textId="404A9F32">
            <w:pPr>
              <w:rPr>
                <w:b/>
                <w:bCs/>
              </w:rPr>
            </w:pPr>
            <w:r w:rsidRPr="00D35E79">
              <w:rPr>
                <w:b/>
                <w:bCs/>
              </w:rPr>
              <w:t>Antwoord:</w:t>
            </w:r>
          </w:p>
          <w:p w:rsidRPr="00A457DC" w:rsidR="00145E5D" w:rsidRDefault="00145E5D" w14:paraId="4ED209DC" w14:textId="750D7B45">
            <w:pPr>
              <w:rPr>
                <w:b/>
              </w:rPr>
            </w:pPr>
            <w:r w:rsidRPr="00A457DC">
              <w:rPr>
                <w:b/>
              </w:rPr>
              <w:t>De verplichtingenmutatie op artikel 2 wordt met name veroorzaakt door een aanvullende bijdrage aan het Ukraine Comprehensive Assistance Package (UCAP) trust fund van de NAVO van EUR 75 miljoen en extra uitgaven van EUR 10 miljoen voor het versterken van de cyberweerbaarheid van Oekraïne. Hier staat een verlaging van het verplichtingenbudget tegenover als gevolg van een overheveling naar het ministerie van Defensie voor de BSB</w:t>
            </w:r>
            <w:r>
              <w:rPr>
                <w:b/>
              </w:rPr>
              <w:t xml:space="preserve"> (Brigade Speciale Beveiligingsopdrachten) beveiliging </w:t>
            </w:r>
            <w:r w:rsidRPr="00A457DC">
              <w:rPr>
                <w:b/>
              </w:rPr>
              <w:t xml:space="preserve">van een aantal hoog-risicoposten van EUR 25,2 miljoen.  </w:t>
            </w:r>
          </w:p>
          <w:p w:rsidR="00145E5D" w:rsidRDefault="00145E5D" w14:paraId="6C735245" w14:textId="67CD0693"/>
        </w:tc>
        <w:tc>
          <w:tcPr>
            <w:tcW w:w="855" w:type="dxa"/>
          </w:tcPr>
          <w:p w:rsidR="00145E5D" w:rsidRDefault="00145E5D" w14:paraId="613809BF" w14:textId="77777777">
            <w:pPr>
              <w:jc w:val="right"/>
            </w:pPr>
          </w:p>
        </w:tc>
        <w:tc>
          <w:tcPr>
            <w:tcW w:w="567" w:type="dxa"/>
          </w:tcPr>
          <w:p w:rsidR="00145E5D" w:rsidRDefault="00145E5D" w14:paraId="3DDACA71" w14:textId="77777777">
            <w:pPr>
              <w:jc w:val="right"/>
            </w:pPr>
            <w:r>
              <w:t xml:space="preserve"> </w:t>
            </w:r>
          </w:p>
        </w:tc>
      </w:tr>
      <w:tr w:rsidR="00145E5D" w:rsidTr="00BE5B54" w14:paraId="1F90C8A2" w14:textId="77777777">
        <w:tc>
          <w:tcPr>
            <w:tcW w:w="567" w:type="dxa"/>
          </w:tcPr>
          <w:p w:rsidR="00145E5D" w:rsidRDefault="00145E5D" w14:paraId="2B202698" w14:textId="77777777">
            <w:r>
              <w:t>9</w:t>
            </w:r>
          </w:p>
        </w:tc>
        <w:tc>
          <w:tcPr>
            <w:tcW w:w="6521" w:type="dxa"/>
          </w:tcPr>
          <w:p w:rsidR="00145E5D" w:rsidRDefault="00145E5D" w14:paraId="01EC0908" w14:textId="77777777">
            <w:r>
              <w:t>Kunt u toezeggen dat onderbouwingen conform de werkwijze Beleidskeuzes uitgelegd (CW 3.1) voor 2025 nog tijdens de behandeling van deze suppletoire begroting naar de Kamer worden gestuurd, zodat de Kamer haar budgetrecht goed geïnformeerd kan uitoefenen?</w:t>
            </w:r>
          </w:p>
          <w:p w:rsidR="00145E5D" w:rsidRDefault="00145E5D" w14:paraId="7D6087F6" w14:textId="77777777"/>
          <w:p w:rsidRPr="00D35E79" w:rsidR="00145E5D" w:rsidP="00897D5E" w:rsidRDefault="00145E5D" w14:paraId="5C0B74E2" w14:textId="6C756E4E">
            <w:pPr>
              <w:rPr>
                <w:b/>
                <w:bCs/>
              </w:rPr>
            </w:pPr>
            <w:r w:rsidRPr="00D35E79">
              <w:rPr>
                <w:b/>
                <w:bCs/>
              </w:rPr>
              <w:t>Antwoord:</w:t>
            </w:r>
          </w:p>
          <w:p w:rsidRPr="003514D0" w:rsidR="00145E5D" w:rsidRDefault="00145E5D" w14:paraId="3EFCC54D" w14:textId="0AD78BB2">
            <w:pPr>
              <w:rPr>
                <w:b/>
              </w:rPr>
            </w:pPr>
            <w:r w:rsidRPr="00A457DC">
              <w:rPr>
                <w:b/>
              </w:rPr>
              <w:t xml:space="preserve">Voor de uitgaven in het kader van de </w:t>
            </w:r>
            <w:hyperlink w:history="1" r:id="rId12">
              <w:r w:rsidRPr="00A457DC">
                <w:rPr>
                  <w:rStyle w:val="Hyperlink"/>
                  <w:b/>
                </w:rPr>
                <w:t>NAVO-top</w:t>
              </w:r>
            </w:hyperlink>
            <w:r w:rsidRPr="00A457DC">
              <w:rPr>
                <w:b/>
              </w:rPr>
              <w:t xml:space="preserve"> is recent een CW 3.1 formulier aan uw Kamer </w:t>
            </w:r>
            <w:r>
              <w:rPr>
                <w:b/>
              </w:rPr>
              <w:t>ge</w:t>
            </w:r>
            <w:r w:rsidRPr="00A457DC">
              <w:rPr>
                <w:b/>
              </w:rPr>
              <w:t>stuurd. Met de ontwerpbegroting zal nog een CW 3.1 formulier worden meegestuurd betreffende de mutaties in de huisvestingsportefeuille.</w:t>
            </w:r>
          </w:p>
          <w:p w:rsidR="00145E5D" w:rsidRDefault="00145E5D" w14:paraId="0B7553CA" w14:textId="77777777"/>
        </w:tc>
        <w:tc>
          <w:tcPr>
            <w:tcW w:w="855" w:type="dxa"/>
          </w:tcPr>
          <w:p w:rsidR="00145E5D" w:rsidRDefault="00145E5D" w14:paraId="63194273" w14:textId="77777777">
            <w:pPr>
              <w:jc w:val="right"/>
            </w:pPr>
          </w:p>
        </w:tc>
        <w:tc>
          <w:tcPr>
            <w:tcW w:w="567" w:type="dxa"/>
          </w:tcPr>
          <w:p w:rsidR="00145E5D" w:rsidRDefault="00145E5D" w14:paraId="5B171516" w14:textId="77777777">
            <w:pPr>
              <w:jc w:val="right"/>
            </w:pPr>
            <w:r>
              <w:t xml:space="preserve"> </w:t>
            </w:r>
          </w:p>
        </w:tc>
      </w:tr>
      <w:tr w:rsidR="00145E5D" w:rsidTr="00BE5B54" w14:paraId="751E86C1" w14:textId="77777777">
        <w:tc>
          <w:tcPr>
            <w:tcW w:w="567" w:type="dxa"/>
          </w:tcPr>
          <w:p w:rsidR="00145E5D" w:rsidRDefault="00145E5D" w14:paraId="106DA7F3" w14:textId="77777777">
            <w:r>
              <w:t>10</w:t>
            </w:r>
          </w:p>
        </w:tc>
        <w:tc>
          <w:tcPr>
            <w:tcW w:w="6521" w:type="dxa"/>
          </w:tcPr>
          <w:p w:rsidR="00145E5D" w:rsidRDefault="00145E5D" w14:paraId="544E4D96" w14:textId="77777777">
            <w:r>
              <w:t>Kunt u een overzicht geven van de stand van het huisvestingsfonds in 2025 en de verschillende mutaties bij de suppletoire begroting?</w:t>
            </w:r>
          </w:p>
          <w:p w:rsidR="00145E5D" w:rsidRDefault="00145E5D" w14:paraId="27D1B207" w14:textId="77777777"/>
          <w:p w:rsidRPr="00D35E79" w:rsidR="00145E5D" w:rsidP="00897D5E" w:rsidRDefault="00145E5D" w14:paraId="32A78478" w14:textId="77777777">
            <w:pPr>
              <w:rPr>
                <w:b/>
                <w:bCs/>
              </w:rPr>
            </w:pPr>
            <w:r w:rsidRPr="00D35E79">
              <w:rPr>
                <w:b/>
                <w:bCs/>
              </w:rPr>
              <w:t>Antwoord:</w:t>
            </w:r>
          </w:p>
          <w:p w:rsidRPr="00A457DC" w:rsidR="00145E5D" w:rsidRDefault="00145E5D" w14:paraId="1C4BBC23" w14:textId="674CED52">
            <w:pPr>
              <w:rPr>
                <w:b/>
              </w:rPr>
            </w:pPr>
            <w:r w:rsidRPr="00A457DC">
              <w:rPr>
                <w:b/>
              </w:rPr>
              <w:t xml:space="preserve">De stand van de middelenafspraak is EUR 63,7 miljoen. </w:t>
            </w:r>
            <w:r>
              <w:rPr>
                <w:b/>
              </w:rPr>
              <w:t>Dit bedrag</w:t>
            </w:r>
            <w:r w:rsidR="00065E5E">
              <w:rPr>
                <w:b/>
              </w:rPr>
              <w:t xml:space="preserve"> was niet uitgeput in 2024 en</w:t>
            </w:r>
            <w:r>
              <w:rPr>
                <w:b/>
              </w:rPr>
              <w:t xml:space="preserve"> is in de eerste suppletoire begroting toegevoegd aan het budget</w:t>
            </w:r>
            <w:r w:rsidR="00065E5E">
              <w:rPr>
                <w:b/>
              </w:rPr>
              <w:t xml:space="preserve"> van 2025</w:t>
            </w:r>
            <w:r>
              <w:rPr>
                <w:b/>
              </w:rPr>
              <w:t xml:space="preserve">. </w:t>
            </w:r>
            <w:r w:rsidRPr="00A457DC">
              <w:rPr>
                <w:b/>
              </w:rPr>
              <w:t>Dit is ook weergegeven in het jaarverslag, zie ook onderstaande tabel.</w:t>
            </w:r>
          </w:p>
          <w:p w:rsidR="00145E5D" w:rsidRDefault="00145E5D" w14:paraId="71BC139E" w14:textId="1EE44080">
            <w:r>
              <w:rPr>
                <w:noProof/>
              </w:rPr>
              <w:drawing>
                <wp:inline distT="0" distB="0" distL="0" distR="0" wp14:anchorId="358B3AC7" wp14:editId="395ABAB0">
                  <wp:extent cx="4134485" cy="1195705"/>
                  <wp:effectExtent l="0" t="0" r="0" b="4445"/>
                  <wp:docPr id="1487844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44098" name=""/>
                          <pic:cNvPicPr/>
                        </pic:nvPicPr>
                        <pic:blipFill>
                          <a:blip r:embed="rId13"/>
                          <a:stretch>
                            <a:fillRect/>
                          </a:stretch>
                        </pic:blipFill>
                        <pic:spPr>
                          <a:xfrm>
                            <a:off x="0" y="0"/>
                            <a:ext cx="4134485" cy="1195705"/>
                          </a:xfrm>
                          <a:prstGeom prst="rect">
                            <a:avLst/>
                          </a:prstGeom>
                        </pic:spPr>
                      </pic:pic>
                    </a:graphicData>
                  </a:graphic>
                </wp:inline>
              </w:drawing>
            </w:r>
          </w:p>
          <w:p w:rsidR="00145E5D" w:rsidRDefault="00145E5D" w14:paraId="59D0D87D" w14:textId="77777777"/>
        </w:tc>
        <w:tc>
          <w:tcPr>
            <w:tcW w:w="855" w:type="dxa"/>
          </w:tcPr>
          <w:p w:rsidR="00145E5D" w:rsidRDefault="00145E5D" w14:paraId="01BA8674" w14:textId="77777777">
            <w:pPr>
              <w:jc w:val="right"/>
            </w:pPr>
          </w:p>
        </w:tc>
        <w:tc>
          <w:tcPr>
            <w:tcW w:w="567" w:type="dxa"/>
          </w:tcPr>
          <w:p w:rsidR="00145E5D" w:rsidRDefault="00145E5D" w14:paraId="6BC4B9F3" w14:textId="77777777">
            <w:pPr>
              <w:jc w:val="right"/>
            </w:pPr>
            <w:r>
              <w:t xml:space="preserve"> </w:t>
            </w:r>
          </w:p>
        </w:tc>
      </w:tr>
      <w:tr w:rsidR="00145E5D" w:rsidTr="00BE5B54" w14:paraId="0CCEEBF0" w14:textId="77777777">
        <w:tc>
          <w:tcPr>
            <w:tcW w:w="567" w:type="dxa"/>
          </w:tcPr>
          <w:p w:rsidR="00145E5D" w:rsidRDefault="00145E5D" w14:paraId="2F24850A" w14:textId="77777777">
            <w:r>
              <w:t>11</w:t>
            </w:r>
          </w:p>
        </w:tc>
        <w:tc>
          <w:tcPr>
            <w:tcW w:w="6521" w:type="dxa"/>
          </w:tcPr>
          <w:p w:rsidR="00145E5D" w:rsidRDefault="00145E5D" w14:paraId="765F7F33" w14:textId="77777777">
            <w:r>
              <w:t>Kunt u toelichten met welke grote verkoop de mutatie van € 452,5 miljoen in 2026 op artikel 7 is gemoeid?</w:t>
            </w:r>
          </w:p>
          <w:p w:rsidR="00145E5D" w:rsidRDefault="00145E5D" w14:paraId="3592D91C" w14:textId="77777777"/>
          <w:p w:rsidRPr="00D35E79" w:rsidR="00D35E79" w:rsidP="00D35E79" w:rsidRDefault="00D35E79" w14:paraId="377D6BE4" w14:textId="77777777">
            <w:pPr>
              <w:rPr>
                <w:b/>
                <w:bCs/>
              </w:rPr>
            </w:pPr>
            <w:r w:rsidRPr="00D35E79">
              <w:rPr>
                <w:b/>
                <w:bCs/>
              </w:rPr>
              <w:t>Antwoord:</w:t>
            </w:r>
          </w:p>
          <w:p w:rsidRPr="00A457DC" w:rsidR="00145E5D" w:rsidRDefault="00145E5D" w14:paraId="2B85B10B" w14:textId="2A169E47">
            <w:pPr>
              <w:rPr>
                <w:b/>
              </w:rPr>
            </w:pPr>
            <w:r w:rsidRPr="004D198E">
              <w:rPr>
                <w:b/>
              </w:rPr>
              <w:t xml:space="preserve">Zoals ook verder is toegelicht in het jaarverslag van het ministerie van BZ over 2024, Kamerstuk 36 740 V, nr. 1, wordt de wereldwijde </w:t>
            </w:r>
            <w:r w:rsidRPr="004D198E">
              <w:rPr>
                <w:b/>
              </w:rPr>
              <w:lastRenderedPageBreak/>
              <w:t>vastgoedportefeuille van het ministerie van BZ aangestuurd op basis van een professioneel portfoliomanagement, langs de lijnen van de huisvestingsvisie van het ministerie. In dat kader kan in voorkomende gevallen worden aangestuurd op het aankopen en/of verkopen van vastgoedobjecten. Via het jaarverslag wordt de Kamer daarover meer in detail geïnformeerd. Zoals wordt vermeld in de Memorie van Toelichting worden over lopende vastgoedtransacties geen mededelingen gedaan. Dit hangt samen met het commercieel-</w:t>
            </w:r>
            <w:proofErr w:type="spellStart"/>
            <w:r w:rsidRPr="004D198E">
              <w:rPr>
                <w:b/>
              </w:rPr>
              <w:t>vertrouwelĳke</w:t>
            </w:r>
            <w:proofErr w:type="spellEnd"/>
            <w:r w:rsidRPr="004D198E">
              <w:rPr>
                <w:b/>
              </w:rPr>
              <w:t xml:space="preserve"> karakter van dergelijke transacties zo lang als de onderhandelingen daarover nog lopen.</w:t>
            </w:r>
          </w:p>
          <w:p w:rsidR="00145E5D" w:rsidRDefault="00145E5D" w14:paraId="27108BE7" w14:textId="77777777"/>
        </w:tc>
        <w:tc>
          <w:tcPr>
            <w:tcW w:w="855" w:type="dxa"/>
          </w:tcPr>
          <w:p w:rsidR="00145E5D" w:rsidRDefault="00145E5D" w14:paraId="1CD3F77D" w14:textId="77777777">
            <w:pPr>
              <w:jc w:val="right"/>
            </w:pPr>
          </w:p>
        </w:tc>
        <w:tc>
          <w:tcPr>
            <w:tcW w:w="567" w:type="dxa"/>
          </w:tcPr>
          <w:p w:rsidR="00145E5D" w:rsidRDefault="00145E5D" w14:paraId="0ACA453D" w14:textId="77777777">
            <w:pPr>
              <w:jc w:val="right"/>
            </w:pPr>
            <w:r>
              <w:t xml:space="preserve"> </w:t>
            </w:r>
          </w:p>
        </w:tc>
      </w:tr>
      <w:tr w:rsidR="00145E5D" w:rsidTr="00BE5B54" w14:paraId="74988729" w14:textId="77777777">
        <w:tc>
          <w:tcPr>
            <w:tcW w:w="567" w:type="dxa"/>
          </w:tcPr>
          <w:p w:rsidR="00145E5D" w:rsidRDefault="00145E5D" w14:paraId="793E0131" w14:textId="77777777">
            <w:r>
              <w:t>12</w:t>
            </w:r>
          </w:p>
        </w:tc>
        <w:tc>
          <w:tcPr>
            <w:tcW w:w="6521" w:type="dxa"/>
          </w:tcPr>
          <w:p w:rsidR="00145E5D" w:rsidRDefault="00145E5D" w14:paraId="7ECD2CDF" w14:textId="77777777">
            <w:r>
              <w:t>In hoeverre is in de raming van de afdrachten aan de Europese Unie (EU) rekening gehouden met de voorgenomen bezuiniging van € 1,6 miljard op de verhoogde EU-afdrachten vanaf 2028?</w:t>
            </w:r>
          </w:p>
          <w:p w:rsidR="00145E5D" w:rsidRDefault="00145E5D" w14:paraId="3A4247EB" w14:textId="77777777"/>
          <w:p w:rsidRPr="00D35E79" w:rsidR="00D35E79" w:rsidP="00D35E79" w:rsidRDefault="00D35E79" w14:paraId="71D2FC8E" w14:textId="77777777">
            <w:pPr>
              <w:rPr>
                <w:b/>
                <w:bCs/>
              </w:rPr>
            </w:pPr>
            <w:r w:rsidRPr="00D35E79">
              <w:rPr>
                <w:b/>
                <w:bCs/>
              </w:rPr>
              <w:t>Antwoord:</w:t>
            </w:r>
          </w:p>
          <w:p w:rsidRPr="00C6412C" w:rsidR="00145E5D" w:rsidP="00C6412C" w:rsidRDefault="00145E5D" w14:paraId="4515C37F" w14:textId="7F4A852C">
            <w:pPr>
              <w:rPr>
                <w:b/>
                <w:bCs/>
              </w:rPr>
            </w:pPr>
            <w:r w:rsidRPr="00C6412C">
              <w:rPr>
                <w:b/>
                <w:bCs/>
              </w:rPr>
              <w:t xml:space="preserve">In lijn met de budgettaire afspraken uit het Hoofdlijnenakkoord zet het kabinet in op een beperking van de stijging van de Nederlandse afdrachten aan de EU-begroting </w:t>
            </w:r>
            <w:r>
              <w:rPr>
                <w:b/>
                <w:bCs/>
              </w:rPr>
              <w:t>met</w:t>
            </w:r>
            <w:r w:rsidRPr="00C6412C">
              <w:rPr>
                <w:b/>
                <w:bCs/>
              </w:rPr>
              <w:t xml:space="preserve"> 1,6 m</w:t>
            </w:r>
            <w:r>
              <w:rPr>
                <w:b/>
                <w:bCs/>
              </w:rPr>
              <w:t>iljard</w:t>
            </w:r>
            <w:r w:rsidRPr="00C6412C">
              <w:rPr>
                <w:b/>
                <w:bCs/>
              </w:rPr>
              <w:t xml:space="preserve"> ten opzichte van de meerjarige raming. De maatregel uit het Hoofdlijnenakkoord is structureel verwerkt in de raming. De meerjarige raming van de EU-afdrachten beweegt mee met inschattingen van de economische ontwikkeling, inflatie en marktrente.</w:t>
            </w:r>
          </w:p>
          <w:p w:rsidR="00145E5D" w:rsidRDefault="00145E5D" w14:paraId="5AC0BF0B" w14:textId="77777777"/>
        </w:tc>
        <w:tc>
          <w:tcPr>
            <w:tcW w:w="855" w:type="dxa"/>
          </w:tcPr>
          <w:p w:rsidR="00145E5D" w:rsidRDefault="00145E5D" w14:paraId="2661B4E1" w14:textId="77777777">
            <w:pPr>
              <w:jc w:val="right"/>
            </w:pPr>
          </w:p>
        </w:tc>
        <w:tc>
          <w:tcPr>
            <w:tcW w:w="567" w:type="dxa"/>
          </w:tcPr>
          <w:p w:rsidR="00145E5D" w:rsidRDefault="00145E5D" w14:paraId="0D64F1AF" w14:textId="77777777">
            <w:pPr>
              <w:jc w:val="right"/>
            </w:pPr>
            <w:r>
              <w:t xml:space="preserve"> </w:t>
            </w:r>
          </w:p>
        </w:tc>
      </w:tr>
      <w:tr w:rsidR="00145E5D" w:rsidTr="00BE5B54" w14:paraId="6072B5EA" w14:textId="77777777">
        <w:tc>
          <w:tcPr>
            <w:tcW w:w="567" w:type="dxa"/>
          </w:tcPr>
          <w:p w:rsidR="00145E5D" w:rsidRDefault="00145E5D" w14:paraId="1A861FC4" w14:textId="77777777">
            <w:r>
              <w:t>13</w:t>
            </w:r>
          </w:p>
        </w:tc>
        <w:tc>
          <w:tcPr>
            <w:tcW w:w="6521" w:type="dxa"/>
          </w:tcPr>
          <w:p w:rsidR="00145E5D" w:rsidRDefault="00145E5D" w14:paraId="0035342B" w14:textId="77777777">
            <w:r>
              <w:t>Hoeveel middelen zijn er in totaal vrijgemaakt in de Voorjaarsnota voor het bevorderen van de digitale soevereiniteit van uw departement en de relevante zelfstandige bestuursorganen (</w:t>
            </w:r>
            <w:proofErr w:type="spellStart"/>
            <w:r>
              <w:t>zbo's</w:t>
            </w:r>
            <w:proofErr w:type="spellEnd"/>
            <w:r>
              <w:t>) en agentschappen?</w:t>
            </w:r>
          </w:p>
          <w:p w:rsidR="00145E5D" w:rsidRDefault="00145E5D" w14:paraId="07957FC6" w14:textId="77777777"/>
          <w:p w:rsidRPr="00D35E79" w:rsidR="00D35E79" w:rsidP="00D35E79" w:rsidRDefault="00D35E79" w14:paraId="73B8BF7C" w14:textId="77777777">
            <w:pPr>
              <w:rPr>
                <w:b/>
                <w:bCs/>
              </w:rPr>
            </w:pPr>
            <w:r w:rsidRPr="00D35E79">
              <w:rPr>
                <w:b/>
                <w:bCs/>
              </w:rPr>
              <w:t>Antwoord:</w:t>
            </w:r>
          </w:p>
          <w:p w:rsidR="00145E5D" w:rsidRDefault="00145E5D" w14:paraId="459A4158" w14:textId="0068971F">
            <w:r w:rsidRPr="2336F1BA">
              <w:rPr>
                <w:b/>
                <w:bCs/>
              </w:rPr>
              <w:t xml:space="preserve">In de Voorjaarsnota </w:t>
            </w:r>
            <w:r>
              <w:rPr>
                <w:b/>
                <w:bCs/>
              </w:rPr>
              <w:t>zijn</w:t>
            </w:r>
            <w:r w:rsidRPr="2336F1BA">
              <w:rPr>
                <w:b/>
                <w:bCs/>
              </w:rPr>
              <w:t xml:space="preserve"> niet expliciet </w:t>
            </w:r>
            <w:r>
              <w:rPr>
                <w:b/>
                <w:bCs/>
              </w:rPr>
              <w:t>middelen</w:t>
            </w:r>
            <w:r w:rsidRPr="2336F1BA">
              <w:rPr>
                <w:b/>
                <w:bCs/>
              </w:rPr>
              <w:t xml:space="preserve"> opgenomen inzake de realisatie van ‘digitale soevereiniteit’ van het departement. BZ streeft zeggenschap en controle over digitale middelen na door in verwerving van digitale diensten een zo groot mogelijk handelingsperspectief t.a.v. de leverancier na te streven en daarbij eisen te stellen over controle en zeggenschap in het kader van dataopslag en -verwerking.</w:t>
            </w:r>
          </w:p>
          <w:p w:rsidR="00145E5D" w:rsidRDefault="00145E5D" w14:paraId="267D5D06" w14:textId="77777777"/>
        </w:tc>
        <w:tc>
          <w:tcPr>
            <w:tcW w:w="855" w:type="dxa"/>
          </w:tcPr>
          <w:p w:rsidR="00145E5D" w:rsidRDefault="00145E5D" w14:paraId="2044D1C7" w14:textId="77777777">
            <w:pPr>
              <w:jc w:val="right"/>
            </w:pPr>
          </w:p>
        </w:tc>
        <w:tc>
          <w:tcPr>
            <w:tcW w:w="567" w:type="dxa"/>
          </w:tcPr>
          <w:p w:rsidR="00145E5D" w:rsidRDefault="00145E5D" w14:paraId="0B308BE0" w14:textId="77777777">
            <w:pPr>
              <w:jc w:val="right"/>
            </w:pPr>
            <w:r>
              <w:t xml:space="preserve"> </w:t>
            </w:r>
          </w:p>
        </w:tc>
      </w:tr>
      <w:tr w:rsidR="00145E5D" w:rsidTr="00BE5B54" w14:paraId="6157ABCE" w14:textId="77777777">
        <w:tc>
          <w:tcPr>
            <w:tcW w:w="567" w:type="dxa"/>
          </w:tcPr>
          <w:p w:rsidR="00145E5D" w:rsidRDefault="00145E5D" w14:paraId="2BB9ABEC" w14:textId="77777777">
            <w:r>
              <w:t>14</w:t>
            </w:r>
          </w:p>
        </w:tc>
        <w:tc>
          <w:tcPr>
            <w:tcW w:w="6521" w:type="dxa"/>
          </w:tcPr>
          <w:p w:rsidR="00145E5D" w:rsidRDefault="00145E5D" w14:paraId="1200A060" w14:textId="77777777">
            <w:r>
              <w:t>Met hoeveel is het EU-Bruto Nationaal Inkomen (BNI) in de periode 2023-2028 toegenomen?</w:t>
            </w:r>
          </w:p>
          <w:p w:rsidR="00145E5D" w:rsidRDefault="00145E5D" w14:paraId="72FDDEEA" w14:textId="77777777"/>
          <w:p w:rsidRPr="00D35E79" w:rsidR="00D35E79" w:rsidP="00D35E79" w:rsidRDefault="00D35E79" w14:paraId="0CF12505" w14:textId="77777777">
            <w:pPr>
              <w:rPr>
                <w:b/>
                <w:bCs/>
              </w:rPr>
            </w:pPr>
            <w:r w:rsidRPr="00D35E79">
              <w:rPr>
                <w:b/>
                <w:bCs/>
              </w:rPr>
              <w:t>Antwoord:</w:t>
            </w:r>
          </w:p>
          <w:p w:rsidRPr="00C6412C" w:rsidR="00145E5D" w:rsidP="00C6412C" w:rsidRDefault="00145E5D" w14:paraId="7E37565C" w14:textId="0A1B4583">
            <w:pPr>
              <w:rPr>
                <w:b/>
                <w:bCs/>
              </w:rPr>
            </w:pPr>
            <w:r w:rsidRPr="00C6412C">
              <w:rPr>
                <w:b/>
                <w:bCs/>
              </w:rPr>
              <w:t xml:space="preserve">De eerste realisatie cijfers uit de AMECO-database (macro-economische databank van de Commissie) wijzen op een bruto nationaal inkomen (bni) van de Europese Unie van circa 17,2 biljoen euro in 2023. Op basis van verwachte groeipercentages en gehanteerde aannames ramen we dat het EU-bni zal stijgen naar 20,5 biljoen euro in 2028. </w:t>
            </w:r>
          </w:p>
          <w:p w:rsidR="00145E5D" w:rsidRDefault="00145E5D" w14:paraId="0D055561" w14:textId="77777777"/>
        </w:tc>
        <w:tc>
          <w:tcPr>
            <w:tcW w:w="855" w:type="dxa"/>
          </w:tcPr>
          <w:p w:rsidR="00145E5D" w:rsidRDefault="00145E5D" w14:paraId="12366F0B" w14:textId="77777777">
            <w:pPr>
              <w:jc w:val="right"/>
            </w:pPr>
            <w:r>
              <w:t>4</w:t>
            </w:r>
          </w:p>
        </w:tc>
        <w:tc>
          <w:tcPr>
            <w:tcW w:w="567" w:type="dxa"/>
          </w:tcPr>
          <w:p w:rsidR="00145E5D" w:rsidRDefault="00145E5D" w14:paraId="4D4EC13A" w14:textId="77777777">
            <w:pPr>
              <w:jc w:val="right"/>
            </w:pPr>
            <w:r>
              <w:t xml:space="preserve"> </w:t>
            </w:r>
          </w:p>
        </w:tc>
      </w:tr>
      <w:tr w:rsidR="00145E5D" w:rsidTr="00BE5B54" w14:paraId="5160164F" w14:textId="77777777">
        <w:tc>
          <w:tcPr>
            <w:tcW w:w="567" w:type="dxa"/>
          </w:tcPr>
          <w:p w:rsidR="00145E5D" w:rsidRDefault="00145E5D" w14:paraId="7B66E097" w14:textId="77777777">
            <w:r>
              <w:t>15</w:t>
            </w:r>
          </w:p>
        </w:tc>
        <w:tc>
          <w:tcPr>
            <w:tcW w:w="6521" w:type="dxa"/>
          </w:tcPr>
          <w:p w:rsidR="00145E5D" w:rsidRDefault="00145E5D" w14:paraId="211E426C" w14:textId="77777777">
            <w:r>
              <w:t>Klopt het dat de ontvangsten van de "grote verkoop" in 2026 geraamd zijn op circa € 450 miljoen?</w:t>
            </w:r>
          </w:p>
          <w:p w:rsidR="00145E5D" w:rsidRDefault="00145E5D" w14:paraId="578AD74D" w14:textId="77777777"/>
          <w:p w:rsidRPr="00D35E79" w:rsidR="00D35E79" w:rsidP="00D35E79" w:rsidRDefault="00D35E79" w14:paraId="1264EDB8" w14:textId="77777777">
            <w:pPr>
              <w:rPr>
                <w:b/>
                <w:bCs/>
              </w:rPr>
            </w:pPr>
            <w:r w:rsidRPr="00D35E79">
              <w:rPr>
                <w:b/>
                <w:bCs/>
              </w:rPr>
              <w:t>Antwoord:</w:t>
            </w:r>
          </w:p>
          <w:p w:rsidRPr="004D198E" w:rsidR="00145E5D" w:rsidP="004D198E" w:rsidRDefault="00145E5D" w14:paraId="62F96116" w14:textId="6D1EAC86">
            <w:pPr>
              <w:rPr>
                <w:b/>
              </w:rPr>
            </w:pPr>
            <w:r w:rsidRPr="004D198E">
              <w:rPr>
                <w:b/>
              </w:rPr>
              <w:t xml:space="preserve">Zie het antwoord op vraag 11. Over de details van lopende vastgoedtransacties worden om de </w:t>
            </w:r>
            <w:r w:rsidR="00BE5B54">
              <w:rPr>
                <w:b/>
              </w:rPr>
              <w:t>voor</w:t>
            </w:r>
            <w:r w:rsidRPr="004D198E">
              <w:rPr>
                <w:b/>
              </w:rPr>
              <w:t>genoemde reden geen mededelingen gedaan.</w:t>
            </w:r>
          </w:p>
          <w:p w:rsidR="00145E5D" w:rsidRDefault="00145E5D" w14:paraId="34C2EA21" w14:textId="2175ADAE"/>
        </w:tc>
        <w:tc>
          <w:tcPr>
            <w:tcW w:w="855" w:type="dxa"/>
          </w:tcPr>
          <w:p w:rsidR="00145E5D" w:rsidRDefault="00145E5D" w14:paraId="7FC1C1FA" w14:textId="77777777">
            <w:pPr>
              <w:jc w:val="right"/>
            </w:pPr>
            <w:r>
              <w:t>5</w:t>
            </w:r>
          </w:p>
        </w:tc>
        <w:tc>
          <w:tcPr>
            <w:tcW w:w="567" w:type="dxa"/>
          </w:tcPr>
          <w:p w:rsidR="00145E5D" w:rsidRDefault="00145E5D" w14:paraId="473B84BD" w14:textId="77777777">
            <w:pPr>
              <w:jc w:val="right"/>
            </w:pPr>
            <w:r>
              <w:t xml:space="preserve"> </w:t>
            </w:r>
          </w:p>
        </w:tc>
      </w:tr>
      <w:tr w:rsidR="00145E5D" w:rsidTr="00BE5B54" w14:paraId="3B646FF1" w14:textId="77777777">
        <w:tc>
          <w:tcPr>
            <w:tcW w:w="567" w:type="dxa"/>
          </w:tcPr>
          <w:p w:rsidR="00145E5D" w:rsidRDefault="00145E5D" w14:paraId="6E44B1C2" w14:textId="77777777">
            <w:r>
              <w:lastRenderedPageBreak/>
              <w:t>16</w:t>
            </w:r>
          </w:p>
        </w:tc>
        <w:tc>
          <w:tcPr>
            <w:tcW w:w="6521" w:type="dxa"/>
          </w:tcPr>
          <w:p w:rsidR="00145E5D" w:rsidRDefault="00145E5D" w14:paraId="497D2038" w14:textId="77777777">
            <w:bookmarkStart w:name="_Hlk198897433" w:id="1"/>
            <w:r>
              <w:t>Met hoeveel stijgen de juridisch verplichte contributies aan de Noord-Atlantische Verdragsorganisatie (NAVO), de Organisatie voor Economische Samenwerking en Ontwikkeling (OESO), de Verenigde Naties (VN), de West-Europese Unie (WEU) en het Internationaal Strafhof exact?</w:t>
            </w:r>
          </w:p>
          <w:p w:rsidR="00145E5D" w:rsidRDefault="00145E5D" w14:paraId="0C22AB28" w14:textId="77777777"/>
          <w:p w:rsidRPr="00D35E79" w:rsidR="00D35E79" w:rsidP="00D35E79" w:rsidRDefault="00D35E79" w14:paraId="197887E2" w14:textId="77777777">
            <w:pPr>
              <w:rPr>
                <w:b/>
                <w:bCs/>
              </w:rPr>
            </w:pPr>
            <w:r w:rsidRPr="00D35E79">
              <w:rPr>
                <w:b/>
                <w:bCs/>
              </w:rPr>
              <w:t>Antwoord:</w:t>
            </w:r>
          </w:p>
          <w:p w:rsidRPr="00BE5B54" w:rsidR="00BE5B54" w:rsidP="00BE5B54" w:rsidRDefault="00145E5D" w14:paraId="1376DC0C" w14:textId="77777777">
            <w:pPr>
              <w:rPr>
                <w:b/>
                <w:bCs/>
              </w:rPr>
            </w:pPr>
            <w:r w:rsidRPr="00BE5B54">
              <w:rPr>
                <w:b/>
                <w:bCs/>
              </w:rPr>
              <w:t>In deze eerste suppletoire begroting zijn in 2025 de volgende verhogingen voor bovengenoemde verplichte contributies verwerkt op basis van de meest recente kasramingen:</w:t>
            </w:r>
          </w:p>
          <w:p w:rsidRPr="00BE5B54" w:rsidR="00145E5D" w:rsidP="00BE5B54" w:rsidRDefault="00145E5D" w14:paraId="31BAD547" w14:textId="16BAB322">
            <w:pPr>
              <w:pStyle w:val="ListParagraph"/>
              <w:numPr>
                <w:ilvl w:val="0"/>
                <w:numId w:val="8"/>
              </w:numPr>
              <w:rPr>
                <w:b/>
                <w:bCs/>
              </w:rPr>
            </w:pPr>
            <w:r w:rsidRPr="00BE5B54">
              <w:rPr>
                <w:b/>
                <w:bCs/>
              </w:rPr>
              <w:t>Noord-Atlantische Verdragsorganisatie (NAVO): EUR 750.000</w:t>
            </w:r>
          </w:p>
          <w:p w:rsidRPr="00BE5B54" w:rsidR="00145E5D" w:rsidP="00BE5B54" w:rsidRDefault="00145E5D" w14:paraId="03C4151D" w14:textId="77777777">
            <w:pPr>
              <w:pStyle w:val="ListParagraph"/>
              <w:numPr>
                <w:ilvl w:val="0"/>
                <w:numId w:val="8"/>
              </w:numPr>
              <w:rPr>
                <w:b/>
              </w:rPr>
            </w:pPr>
            <w:r w:rsidRPr="00BE5B54">
              <w:rPr>
                <w:b/>
              </w:rPr>
              <w:t>Organisatie voor Economische Samenwerking en Ontwikkeling (OESO): EUR 2,1 miljoen.</w:t>
            </w:r>
          </w:p>
          <w:p w:rsidRPr="00BE5B54" w:rsidR="00145E5D" w:rsidP="00BE5B54" w:rsidRDefault="00145E5D" w14:paraId="539870C2" w14:textId="77777777">
            <w:pPr>
              <w:pStyle w:val="ListParagraph"/>
              <w:numPr>
                <w:ilvl w:val="0"/>
                <w:numId w:val="8"/>
              </w:numPr>
              <w:rPr>
                <w:b/>
                <w:bCs/>
              </w:rPr>
            </w:pPr>
            <w:r w:rsidRPr="00BE5B54">
              <w:rPr>
                <w:b/>
                <w:bCs/>
              </w:rPr>
              <w:t xml:space="preserve">Verenigde Naties (VN): EUR 150.000 </w:t>
            </w:r>
          </w:p>
          <w:p w:rsidRPr="00BE5B54" w:rsidR="00145E5D" w:rsidP="00BE5B54" w:rsidRDefault="00145E5D" w14:paraId="1A2AA17D" w14:textId="77777777">
            <w:pPr>
              <w:pStyle w:val="ListParagraph"/>
              <w:numPr>
                <w:ilvl w:val="0"/>
                <w:numId w:val="8"/>
              </w:numPr>
              <w:rPr>
                <w:b/>
                <w:bCs/>
              </w:rPr>
            </w:pPr>
            <w:r w:rsidRPr="00BE5B54">
              <w:rPr>
                <w:b/>
                <w:bCs/>
              </w:rPr>
              <w:t>West-Europese Unie (WEU): EUR 140.000</w:t>
            </w:r>
          </w:p>
          <w:p w:rsidRPr="00BE5B54" w:rsidR="00145E5D" w:rsidP="00BE5B54" w:rsidRDefault="00145E5D" w14:paraId="7081F82C" w14:textId="77777777">
            <w:pPr>
              <w:pStyle w:val="ListParagraph"/>
              <w:numPr>
                <w:ilvl w:val="0"/>
                <w:numId w:val="8"/>
              </w:numPr>
              <w:rPr>
                <w:b/>
                <w:bCs/>
              </w:rPr>
            </w:pPr>
            <w:r w:rsidRPr="00BE5B54">
              <w:rPr>
                <w:b/>
              </w:rPr>
              <w:t xml:space="preserve">Internationaal Strafhof : EUR </w:t>
            </w:r>
            <w:r w:rsidRPr="00BE5B54">
              <w:rPr>
                <w:b/>
                <w:bCs/>
              </w:rPr>
              <w:t xml:space="preserve">590.000 </w:t>
            </w:r>
          </w:p>
          <w:bookmarkEnd w:id="1"/>
          <w:p w:rsidR="00145E5D" w:rsidP="001F7626" w:rsidRDefault="00145E5D" w14:paraId="5C64503E" w14:textId="34A4C437"/>
        </w:tc>
        <w:tc>
          <w:tcPr>
            <w:tcW w:w="855" w:type="dxa"/>
          </w:tcPr>
          <w:p w:rsidR="00145E5D" w:rsidRDefault="00145E5D" w14:paraId="0772CCE4" w14:textId="77777777">
            <w:pPr>
              <w:jc w:val="right"/>
            </w:pPr>
            <w:r>
              <w:t>5</w:t>
            </w:r>
          </w:p>
        </w:tc>
        <w:tc>
          <w:tcPr>
            <w:tcW w:w="567" w:type="dxa"/>
          </w:tcPr>
          <w:p w:rsidR="00145E5D" w:rsidRDefault="00145E5D" w14:paraId="5A2AEA1E" w14:textId="77777777">
            <w:pPr>
              <w:jc w:val="right"/>
            </w:pPr>
            <w:r>
              <w:t xml:space="preserve"> </w:t>
            </w:r>
          </w:p>
        </w:tc>
      </w:tr>
      <w:tr w:rsidR="00145E5D" w:rsidTr="00BE5B54" w14:paraId="527AE06A" w14:textId="77777777">
        <w:tc>
          <w:tcPr>
            <w:tcW w:w="567" w:type="dxa"/>
          </w:tcPr>
          <w:p w:rsidR="00145E5D" w:rsidRDefault="00145E5D" w14:paraId="172751BC" w14:textId="77777777">
            <w:r>
              <w:t>17</w:t>
            </w:r>
          </w:p>
        </w:tc>
        <w:tc>
          <w:tcPr>
            <w:tcW w:w="6521" w:type="dxa"/>
          </w:tcPr>
          <w:p w:rsidR="00145E5D" w:rsidRDefault="00145E5D" w14:paraId="0B90ED16" w14:textId="77777777">
            <w:r>
              <w:t>Klopt het dat de stijging van de juridisch verplichte contributies aan de NAVO, de OESO, de VN, de WEU en het Internationaal Strafhof lager is dan de € 10 miljoen die wordt weggehaald van het budget voor crisisbeheersingsoperaties?</w:t>
            </w:r>
          </w:p>
          <w:p w:rsidR="00145E5D" w:rsidRDefault="00145E5D" w14:paraId="39BBE08A" w14:textId="77777777"/>
          <w:p w:rsidRPr="00D35E79" w:rsidR="00D35E79" w:rsidP="00D35E79" w:rsidRDefault="00D35E79" w14:paraId="3D496C27" w14:textId="77777777">
            <w:pPr>
              <w:rPr>
                <w:b/>
                <w:bCs/>
              </w:rPr>
            </w:pPr>
            <w:r w:rsidRPr="00D35E79">
              <w:rPr>
                <w:b/>
                <w:bCs/>
              </w:rPr>
              <w:t>Antwoord:</w:t>
            </w:r>
          </w:p>
          <w:p w:rsidRPr="00A457DC" w:rsidR="00145E5D" w:rsidRDefault="00145E5D" w14:paraId="5574E0C3" w14:textId="740B6464">
            <w:pPr>
              <w:rPr>
                <w:b/>
              </w:rPr>
            </w:pPr>
            <w:r w:rsidRPr="004659D3">
              <w:rPr>
                <w:b/>
                <w:bCs/>
              </w:rPr>
              <w:t>De verlaging van EUR 10 miljoen betreft EUR 8,5 miljoen non-ODA en EUR 1,5 miljoen ODA, omdat 15% van het budget voor VN-Crisisbeheersingsoperaties wordt toegeregend aan ODA. De EUR 8,5 miljoen is</w:t>
            </w:r>
            <w:r>
              <w:rPr>
                <w:b/>
                <w:bCs/>
              </w:rPr>
              <w:t xml:space="preserve"> grotendeels</w:t>
            </w:r>
            <w:r w:rsidRPr="004659D3">
              <w:rPr>
                <w:b/>
                <w:bCs/>
              </w:rPr>
              <w:t xml:space="preserve"> ingezet voor contributiestijgingen van de NAVO, VN, OESO, WEU, OVSE, het Internationaal Strafhof, de Raad van Europa en de Benelux. De EUR 1,5 miljoen ODA is</w:t>
            </w:r>
            <w:r>
              <w:rPr>
                <w:b/>
                <w:bCs/>
              </w:rPr>
              <w:t xml:space="preserve"> gedeeltelijk</w:t>
            </w:r>
            <w:r w:rsidRPr="004659D3">
              <w:rPr>
                <w:b/>
                <w:bCs/>
              </w:rPr>
              <w:t xml:space="preserve"> ingezet voor</w:t>
            </w:r>
            <w:r>
              <w:rPr>
                <w:b/>
                <w:bCs/>
              </w:rPr>
              <w:t xml:space="preserve"> het ODA-deel van de verhoogde contributies met een ODA-component. Het resterende ODA-saldo is conform geldende systematiek overgeheveld naar de BHO-begroting. </w:t>
            </w:r>
          </w:p>
          <w:p w:rsidR="00145E5D" w:rsidRDefault="00145E5D" w14:paraId="5A776353" w14:textId="77777777"/>
        </w:tc>
        <w:tc>
          <w:tcPr>
            <w:tcW w:w="855" w:type="dxa"/>
          </w:tcPr>
          <w:p w:rsidR="00145E5D" w:rsidRDefault="00145E5D" w14:paraId="3FB2836D" w14:textId="77777777">
            <w:pPr>
              <w:jc w:val="right"/>
            </w:pPr>
            <w:r>
              <w:t>5</w:t>
            </w:r>
          </w:p>
        </w:tc>
        <w:tc>
          <w:tcPr>
            <w:tcW w:w="567" w:type="dxa"/>
          </w:tcPr>
          <w:p w:rsidR="00145E5D" w:rsidRDefault="00145E5D" w14:paraId="3E68B880" w14:textId="77777777">
            <w:pPr>
              <w:jc w:val="right"/>
            </w:pPr>
            <w:r>
              <w:t xml:space="preserve"> </w:t>
            </w:r>
          </w:p>
        </w:tc>
      </w:tr>
      <w:tr w:rsidR="00145E5D" w:rsidTr="00BE5B54" w14:paraId="6C6160E5" w14:textId="77777777">
        <w:tc>
          <w:tcPr>
            <w:tcW w:w="567" w:type="dxa"/>
          </w:tcPr>
          <w:p w:rsidR="00145E5D" w:rsidRDefault="00145E5D" w14:paraId="4F001B26" w14:textId="77777777">
            <w:r>
              <w:t>18</w:t>
            </w:r>
          </w:p>
        </w:tc>
        <w:tc>
          <w:tcPr>
            <w:tcW w:w="6521" w:type="dxa"/>
          </w:tcPr>
          <w:p w:rsidR="00145E5D" w:rsidRDefault="00145E5D" w14:paraId="26D37D77" w14:textId="77777777">
            <w:r>
              <w:t xml:space="preserve">Welke dossiers zijn </w:t>
            </w:r>
            <w:proofErr w:type="spellStart"/>
            <w:r>
              <w:t>herbeoordeeld</w:t>
            </w:r>
            <w:proofErr w:type="spellEnd"/>
            <w:r>
              <w:t xml:space="preserve"> in het kader van de nabetaling op de Traditionele Eigen Middelen?</w:t>
            </w:r>
          </w:p>
          <w:p w:rsidR="00145E5D" w:rsidRDefault="00145E5D" w14:paraId="605817D4" w14:textId="77777777"/>
          <w:p w:rsidRPr="00D35E79" w:rsidR="00D35E79" w:rsidP="00D35E79" w:rsidRDefault="00D35E79" w14:paraId="5546E8C9" w14:textId="77777777">
            <w:pPr>
              <w:rPr>
                <w:b/>
                <w:bCs/>
              </w:rPr>
            </w:pPr>
            <w:r w:rsidRPr="00D35E79">
              <w:rPr>
                <w:b/>
                <w:bCs/>
              </w:rPr>
              <w:t>Antwoord:</w:t>
            </w:r>
          </w:p>
          <w:p w:rsidRPr="00DC4C4A" w:rsidR="00145E5D" w:rsidP="00897D5E" w:rsidRDefault="00145E5D" w14:paraId="1FDFE1F5" w14:textId="0F76383A">
            <w:pPr>
              <w:rPr>
                <w:b/>
              </w:rPr>
            </w:pPr>
            <w:r w:rsidRPr="00DC4C4A">
              <w:rPr>
                <w:b/>
                <w:bCs/>
              </w:rPr>
              <w:t xml:space="preserve">In 2024 is op meerdere momenten in het jaar intern analyse en herbeoordeling van de </w:t>
            </w:r>
            <w:r w:rsidR="00BB6E6D">
              <w:rPr>
                <w:b/>
                <w:bCs/>
              </w:rPr>
              <w:t>Douane</w:t>
            </w:r>
            <w:r w:rsidRPr="00DC4C4A">
              <w:rPr>
                <w:b/>
                <w:bCs/>
              </w:rPr>
              <w:t>-boekhouding gedaan. Daarnaast heeft naar aanleiding van correspondentie met</w:t>
            </w:r>
            <w:r w:rsidR="00BB6E6D">
              <w:rPr>
                <w:b/>
                <w:bCs/>
              </w:rPr>
              <w:t xml:space="preserve"> de Europese Commissie</w:t>
            </w:r>
            <w:r w:rsidRPr="00DC4C4A">
              <w:rPr>
                <w:b/>
                <w:bCs/>
              </w:rPr>
              <w:t xml:space="preserve"> op een aantal momenten herbeoordelingen plaatsgevonden. In deze herbeoordelingen worden meerdere dossiers geanalyseerd. Deze herbeoordelingen kunnen leiden tot bevindingen (bv. onjuist ingehouden perceptiekosten, aanvaarding financiële aansprakelijkheid door Nederland) en worden correcties aangebracht.</w:t>
            </w:r>
          </w:p>
          <w:p w:rsidR="00145E5D" w:rsidRDefault="00145E5D" w14:paraId="521E5613" w14:textId="77777777"/>
        </w:tc>
        <w:tc>
          <w:tcPr>
            <w:tcW w:w="855" w:type="dxa"/>
          </w:tcPr>
          <w:p w:rsidR="00145E5D" w:rsidRDefault="00145E5D" w14:paraId="4BE94E18" w14:textId="77777777">
            <w:pPr>
              <w:jc w:val="right"/>
            </w:pPr>
            <w:r>
              <w:t>5</w:t>
            </w:r>
          </w:p>
        </w:tc>
        <w:tc>
          <w:tcPr>
            <w:tcW w:w="567" w:type="dxa"/>
          </w:tcPr>
          <w:p w:rsidR="00145E5D" w:rsidRDefault="00145E5D" w14:paraId="5065CC74" w14:textId="77777777">
            <w:pPr>
              <w:jc w:val="right"/>
            </w:pPr>
            <w:r>
              <w:t xml:space="preserve"> </w:t>
            </w:r>
          </w:p>
        </w:tc>
      </w:tr>
      <w:tr w:rsidR="00145E5D" w:rsidTr="00BE5B54" w14:paraId="52CA09B5" w14:textId="77777777">
        <w:tc>
          <w:tcPr>
            <w:tcW w:w="567" w:type="dxa"/>
          </w:tcPr>
          <w:p w:rsidR="00145E5D" w:rsidRDefault="00145E5D" w14:paraId="6ECF1A77" w14:textId="77777777">
            <w:r>
              <w:t>19</w:t>
            </w:r>
          </w:p>
        </w:tc>
        <w:tc>
          <w:tcPr>
            <w:tcW w:w="6521" w:type="dxa"/>
          </w:tcPr>
          <w:p w:rsidR="00145E5D" w:rsidRDefault="00145E5D" w14:paraId="00045E4A" w14:textId="77777777">
            <w:r>
              <w:t>Kunt u toelichten wat concreet de effecten zijn van het structureel verlagen van het budget voor crisisbeheersingsoperaties met € 10 miljoen?</w:t>
            </w:r>
          </w:p>
          <w:p w:rsidR="00145E5D" w:rsidRDefault="00145E5D" w14:paraId="5AFEBA8A" w14:textId="77777777"/>
          <w:p w:rsidRPr="00D35E79" w:rsidR="00D35E79" w:rsidP="00D35E79" w:rsidRDefault="00D35E79" w14:paraId="5900CE9B" w14:textId="77777777">
            <w:pPr>
              <w:rPr>
                <w:b/>
                <w:bCs/>
              </w:rPr>
            </w:pPr>
            <w:r w:rsidRPr="00D35E79">
              <w:rPr>
                <w:b/>
                <w:bCs/>
              </w:rPr>
              <w:t>Antwoord:</w:t>
            </w:r>
          </w:p>
          <w:p w:rsidR="00145E5D" w:rsidRDefault="00145E5D" w14:paraId="467CDC23" w14:textId="77777777">
            <w:pPr>
              <w:rPr>
                <w:b/>
              </w:rPr>
            </w:pPr>
            <w:r w:rsidRPr="007A574D">
              <w:rPr>
                <w:b/>
              </w:rPr>
              <w:t xml:space="preserve">De Nederlandse bijdrage aan VN-Crisisbeheersingsoperaties betreft een verdragsrechtelijke contributie. De hoogte van de verplichte Nederlandse contributie is afhankelijk van het aantal missies dat de VN uitvoert. Afgelopen jaren was er structureel sprake van </w:t>
            </w:r>
            <w:proofErr w:type="spellStart"/>
            <w:r w:rsidRPr="007A574D">
              <w:rPr>
                <w:b/>
              </w:rPr>
              <w:t>onderuitputting</w:t>
            </w:r>
            <w:proofErr w:type="spellEnd"/>
            <w:r w:rsidRPr="007A574D">
              <w:rPr>
                <w:b/>
              </w:rPr>
              <w:t xml:space="preserve"> op het budget van VN-Crisisbeheersingsoperaties. Daarom is besloten dit budget te verlagen om knelpunten elders op de begroting in te passen. Als blijkt dat </w:t>
            </w:r>
            <w:r w:rsidRPr="007A574D">
              <w:rPr>
                <w:b/>
              </w:rPr>
              <w:lastRenderedPageBreak/>
              <w:t>het lagere budget onvoldoende is om dit jaar aan de verplichte contributie te voldoen zal het budget bij de tweede suppletoire begroting worden opgehoogd.</w:t>
            </w:r>
          </w:p>
          <w:p w:rsidR="00145E5D" w:rsidRDefault="00145E5D" w14:paraId="1A372904" w14:textId="78913173"/>
        </w:tc>
        <w:tc>
          <w:tcPr>
            <w:tcW w:w="855" w:type="dxa"/>
          </w:tcPr>
          <w:p w:rsidR="00145E5D" w:rsidRDefault="00145E5D" w14:paraId="4E208649" w14:textId="77777777">
            <w:pPr>
              <w:jc w:val="right"/>
            </w:pPr>
            <w:r>
              <w:lastRenderedPageBreak/>
              <w:t>5</w:t>
            </w:r>
          </w:p>
        </w:tc>
        <w:tc>
          <w:tcPr>
            <w:tcW w:w="567" w:type="dxa"/>
          </w:tcPr>
          <w:p w:rsidR="00145E5D" w:rsidRDefault="00145E5D" w14:paraId="50CC9056" w14:textId="77777777">
            <w:pPr>
              <w:jc w:val="right"/>
            </w:pPr>
            <w:r>
              <w:t xml:space="preserve"> </w:t>
            </w:r>
          </w:p>
        </w:tc>
      </w:tr>
      <w:tr w:rsidR="00145E5D" w:rsidTr="00BE5B54" w14:paraId="51785829" w14:textId="77777777">
        <w:tc>
          <w:tcPr>
            <w:tcW w:w="567" w:type="dxa"/>
          </w:tcPr>
          <w:p w:rsidR="00145E5D" w:rsidRDefault="00145E5D" w14:paraId="2BE3561F" w14:textId="77777777">
            <w:r>
              <w:t>20</w:t>
            </w:r>
          </w:p>
        </w:tc>
        <w:tc>
          <w:tcPr>
            <w:tcW w:w="6521" w:type="dxa"/>
          </w:tcPr>
          <w:p w:rsidR="00145E5D" w:rsidRDefault="00145E5D" w14:paraId="11CA9A9B" w14:textId="77777777">
            <w:r>
              <w:t>Staat de daling van de subsidies (regelingen) van het mensenrechtenfonds van € 430.000 in directe relatie tot de stijging van de bijdrage (internationale organisaties) mensenrechtenfonds van € 438.000? Zo ja, klopt het dat er een stijging is van het budget van het mensenrechtenfonds en waar bestaat deze uit?</w:t>
            </w:r>
          </w:p>
          <w:p w:rsidR="00145E5D" w:rsidRDefault="00145E5D" w14:paraId="2499D526" w14:textId="77777777"/>
          <w:p w:rsidRPr="00D35E79" w:rsidR="00D35E79" w:rsidP="00D35E79" w:rsidRDefault="00D35E79" w14:paraId="7CD52234" w14:textId="77777777">
            <w:pPr>
              <w:rPr>
                <w:b/>
                <w:bCs/>
              </w:rPr>
            </w:pPr>
            <w:r w:rsidRPr="00D35E79">
              <w:rPr>
                <w:b/>
                <w:bCs/>
              </w:rPr>
              <w:t>Antwoord:</w:t>
            </w:r>
          </w:p>
          <w:p w:rsidR="00145E5D" w:rsidRDefault="00145E5D" w14:paraId="4A74905C" w14:textId="77777777">
            <w:pPr>
              <w:rPr>
                <w:b/>
              </w:rPr>
            </w:pPr>
            <w:bookmarkStart w:name="_Hlk199159130" w:id="2"/>
            <w:r w:rsidRPr="007A574D">
              <w:rPr>
                <w:b/>
              </w:rPr>
              <w:t>Ja, er bestaat een directe relatie tussen de verlaging van het onderdeel ‘subsidies’</w:t>
            </w:r>
            <w:r>
              <w:rPr>
                <w:b/>
              </w:rPr>
              <w:t xml:space="preserve"> </w:t>
            </w:r>
            <w:r w:rsidRPr="007A574D">
              <w:rPr>
                <w:b/>
              </w:rPr>
              <w:t xml:space="preserve">en de verhoging van het onderdeel ‘bijdrage aan internationale organisaties’. </w:t>
            </w:r>
            <w:r>
              <w:rPr>
                <w:b/>
              </w:rPr>
              <w:t>Een aantal voorgenomen financieringen valt niet onder de subsidiewetgeving, dit betreft een bedrag van EUR 430.000 en wordt overgeheveld naar ‘ bijdrage aan internationale organisaties’</w:t>
            </w:r>
            <w:r w:rsidRPr="007A574D">
              <w:rPr>
                <w:b/>
              </w:rPr>
              <w:t>. Daarnaast is</w:t>
            </w:r>
            <w:r>
              <w:rPr>
                <w:b/>
              </w:rPr>
              <w:t xml:space="preserve"> </w:t>
            </w:r>
            <w:r w:rsidRPr="007A574D">
              <w:rPr>
                <w:b/>
              </w:rPr>
              <w:t xml:space="preserve">op verzoek van een post een bedrag van </w:t>
            </w:r>
            <w:r>
              <w:rPr>
                <w:b/>
              </w:rPr>
              <w:t>EUR</w:t>
            </w:r>
            <w:r w:rsidRPr="007A574D">
              <w:rPr>
                <w:b/>
              </w:rPr>
              <w:t xml:space="preserve"> 8.000 </w:t>
            </w:r>
            <w:r>
              <w:rPr>
                <w:b/>
              </w:rPr>
              <w:t xml:space="preserve">toegekend </w:t>
            </w:r>
            <w:r w:rsidRPr="007A574D">
              <w:rPr>
                <w:b/>
              </w:rPr>
              <w:t xml:space="preserve">uit de eindejaarsmarge aan de </w:t>
            </w:r>
            <w:r>
              <w:rPr>
                <w:b/>
              </w:rPr>
              <w:t xml:space="preserve">betreffende </w:t>
            </w:r>
            <w:r w:rsidRPr="007A574D">
              <w:rPr>
                <w:b/>
              </w:rPr>
              <w:t>post.</w:t>
            </w:r>
            <w:bookmarkEnd w:id="2"/>
          </w:p>
          <w:p w:rsidR="00145E5D" w:rsidRDefault="00145E5D" w14:paraId="4B6BB648" w14:textId="3E4294EC"/>
        </w:tc>
        <w:tc>
          <w:tcPr>
            <w:tcW w:w="855" w:type="dxa"/>
          </w:tcPr>
          <w:p w:rsidR="00145E5D" w:rsidRDefault="00145E5D" w14:paraId="7D66943C" w14:textId="77777777">
            <w:pPr>
              <w:jc w:val="right"/>
            </w:pPr>
            <w:r>
              <w:t>7</w:t>
            </w:r>
          </w:p>
        </w:tc>
        <w:tc>
          <w:tcPr>
            <w:tcW w:w="567" w:type="dxa"/>
          </w:tcPr>
          <w:p w:rsidR="00145E5D" w:rsidRDefault="00145E5D" w14:paraId="6351BACE" w14:textId="77777777">
            <w:pPr>
              <w:jc w:val="right"/>
            </w:pPr>
            <w:r>
              <w:t xml:space="preserve"> </w:t>
            </w:r>
          </w:p>
        </w:tc>
      </w:tr>
      <w:tr w:rsidR="00145E5D" w:rsidTr="00BE5B54" w14:paraId="0FB6FEF2" w14:textId="77777777">
        <w:tc>
          <w:tcPr>
            <w:tcW w:w="567" w:type="dxa"/>
          </w:tcPr>
          <w:p w:rsidR="00145E5D" w:rsidRDefault="00145E5D" w14:paraId="10DB093E" w14:textId="77777777">
            <w:r>
              <w:t>21</w:t>
            </w:r>
          </w:p>
        </w:tc>
        <w:tc>
          <w:tcPr>
            <w:tcW w:w="6521" w:type="dxa"/>
          </w:tcPr>
          <w:p w:rsidR="00145E5D" w:rsidRDefault="00145E5D" w14:paraId="677BC821" w14:textId="77777777">
            <w:r>
              <w:t>Kunt u de overheveling van € 430.000 van subsidies mensenrechtenfonds naar de € 438.000 bijdrage mensenrechtenfonds toelichten?</w:t>
            </w:r>
          </w:p>
          <w:p w:rsidR="00145E5D" w:rsidRDefault="00145E5D" w14:paraId="725ABE21" w14:textId="77777777"/>
          <w:p w:rsidRPr="00D35E79" w:rsidR="00D35E79" w:rsidP="00D35E79" w:rsidRDefault="00D35E79" w14:paraId="7F9E1EDE" w14:textId="77777777">
            <w:pPr>
              <w:rPr>
                <w:b/>
                <w:bCs/>
              </w:rPr>
            </w:pPr>
            <w:r w:rsidRPr="00D35E79">
              <w:rPr>
                <w:b/>
                <w:bCs/>
              </w:rPr>
              <w:t>Antwoord:</w:t>
            </w:r>
          </w:p>
          <w:p w:rsidR="00145E5D" w:rsidRDefault="00145E5D" w14:paraId="5F0CBD81" w14:textId="77777777">
            <w:pPr>
              <w:rPr>
                <w:b/>
              </w:rPr>
            </w:pPr>
            <w:r w:rsidRPr="00A70971">
              <w:rPr>
                <w:b/>
              </w:rPr>
              <w:t>Zie het antwoord bij vraag 20</w:t>
            </w:r>
          </w:p>
          <w:p w:rsidRPr="00A70971" w:rsidR="00145E5D" w:rsidRDefault="00145E5D" w14:paraId="3DFE5C07" w14:textId="78F1BE47">
            <w:pPr>
              <w:rPr>
                <w:b/>
              </w:rPr>
            </w:pPr>
          </w:p>
        </w:tc>
        <w:tc>
          <w:tcPr>
            <w:tcW w:w="855" w:type="dxa"/>
          </w:tcPr>
          <w:p w:rsidR="00145E5D" w:rsidRDefault="00145E5D" w14:paraId="16CC4F5C" w14:textId="77777777">
            <w:pPr>
              <w:jc w:val="right"/>
            </w:pPr>
            <w:r>
              <w:t>8</w:t>
            </w:r>
          </w:p>
        </w:tc>
        <w:tc>
          <w:tcPr>
            <w:tcW w:w="567" w:type="dxa"/>
          </w:tcPr>
          <w:p w:rsidR="00145E5D" w:rsidRDefault="00145E5D" w14:paraId="370D2E53" w14:textId="77777777">
            <w:pPr>
              <w:jc w:val="right"/>
            </w:pPr>
            <w:r>
              <w:t xml:space="preserve"> </w:t>
            </w:r>
          </w:p>
        </w:tc>
      </w:tr>
      <w:tr w:rsidR="00145E5D" w:rsidTr="00BE5B54" w14:paraId="13D03618" w14:textId="77777777">
        <w:tc>
          <w:tcPr>
            <w:tcW w:w="567" w:type="dxa"/>
          </w:tcPr>
          <w:p w:rsidR="00145E5D" w:rsidRDefault="00145E5D" w14:paraId="7A5F46C1" w14:textId="77777777">
            <w:r>
              <w:t>22</w:t>
            </w:r>
          </w:p>
        </w:tc>
        <w:tc>
          <w:tcPr>
            <w:tcW w:w="6521" w:type="dxa"/>
          </w:tcPr>
          <w:p w:rsidR="00145E5D" w:rsidRDefault="00145E5D" w14:paraId="1D2650AF" w14:textId="77777777">
            <w:r>
              <w:t>Kunt u de contributieverhoging voor het Internationaal Strafhof van meer dan tien procent nader toelichten? Betalen alle landen die aangesloten zijn bij het Strafhof eenzelfde (procentuele) verhoging? Zo nee, waarom niet?</w:t>
            </w:r>
          </w:p>
          <w:p w:rsidR="00145E5D" w:rsidRDefault="00145E5D" w14:paraId="1E430DD7" w14:textId="77777777"/>
          <w:p w:rsidRPr="00D35E79" w:rsidR="00D35E79" w:rsidP="00D35E79" w:rsidRDefault="00D35E79" w14:paraId="00809C49" w14:textId="77777777">
            <w:pPr>
              <w:rPr>
                <w:b/>
                <w:bCs/>
              </w:rPr>
            </w:pPr>
            <w:r w:rsidRPr="00D35E79">
              <w:rPr>
                <w:b/>
                <w:bCs/>
              </w:rPr>
              <w:t>Antwoord:</w:t>
            </w:r>
          </w:p>
          <w:p w:rsidRPr="00582633" w:rsidR="00145E5D" w:rsidP="00246188" w:rsidRDefault="00145E5D" w14:paraId="0F622CCD" w14:textId="6DE7D033">
            <w:pPr>
              <w:rPr>
                <w:b/>
                <w:bCs/>
              </w:rPr>
            </w:pPr>
            <w:r w:rsidRPr="00582633">
              <w:rPr>
                <w:b/>
                <w:bCs/>
              </w:rPr>
              <w:t xml:space="preserve">De door de Vergadering van </w:t>
            </w:r>
            <w:r>
              <w:rPr>
                <w:b/>
                <w:bCs/>
              </w:rPr>
              <w:t>V</w:t>
            </w:r>
            <w:r w:rsidRPr="00582633">
              <w:rPr>
                <w:b/>
                <w:bCs/>
              </w:rPr>
              <w:t>erdragspartijen (</w:t>
            </w:r>
            <w:r w:rsidRPr="00582633">
              <w:rPr>
                <w:b/>
                <w:bCs/>
                <w:i/>
                <w:iCs/>
              </w:rPr>
              <w:t>Assembly of States Parties</w:t>
            </w:r>
            <w:r w:rsidRPr="00582633">
              <w:rPr>
                <w:b/>
                <w:bCs/>
              </w:rPr>
              <w:t>) vastgestelde verhoging van het budget voor 2025 houdt hoofdzakelijk verband met inflatiekosten, het noodzakelijke onderhoud van het gebouw, de kosten voor de versterking van de (cyber)veiligheid, extra (tijdelijk) personeel en de tijdelijke verlenging van het mandaat van drie rechters, zodat zij een reeds lang lopende strafzaak kunnen afronden.</w:t>
            </w:r>
          </w:p>
          <w:p w:rsidRPr="00582633" w:rsidR="00145E5D" w:rsidP="00246188" w:rsidRDefault="00145E5D" w14:paraId="4FD3D6A7" w14:textId="001563FA">
            <w:pPr>
              <w:rPr>
                <w:b/>
                <w:bCs/>
              </w:rPr>
            </w:pPr>
            <w:r w:rsidRPr="00582633">
              <w:rPr>
                <w:b/>
                <w:bCs/>
              </w:rPr>
              <w:t>Het budget van het Internationaal Strafhof (ISH) wordt door alle 125 verdragspartijen betaald op basis van een verdeelsleutel (</w:t>
            </w:r>
            <w:proofErr w:type="spellStart"/>
            <w:r w:rsidRPr="00582633">
              <w:rPr>
                <w:b/>
                <w:bCs/>
                <w:i/>
                <w:iCs/>
              </w:rPr>
              <w:t>scales</w:t>
            </w:r>
            <w:proofErr w:type="spellEnd"/>
            <w:r w:rsidRPr="00582633">
              <w:rPr>
                <w:b/>
                <w:bCs/>
                <w:i/>
                <w:iCs/>
              </w:rPr>
              <w:t xml:space="preserve"> of assessment</w:t>
            </w:r>
            <w:r w:rsidRPr="00582633">
              <w:rPr>
                <w:b/>
                <w:bCs/>
              </w:rPr>
              <w:t>), die is gebaseerd op de verdeelsleutel van de VN. De verdeelsleutel van de VN wordt iedere drie jaar opnieuw vastgesteld en in 2024 is de verdeelsleutel vastgesteld voor de periode 2025-2027. Door veranderingen in de verdeelsleutel betalen niet alle verdragspartijen eenzelfde (procentuele) verhoging.</w:t>
            </w:r>
          </w:p>
          <w:p w:rsidR="00145E5D" w:rsidRDefault="00145E5D" w14:paraId="4D042EB6" w14:textId="77777777">
            <w:pPr>
              <w:rPr>
                <w:b/>
                <w:bCs/>
              </w:rPr>
            </w:pPr>
            <w:r w:rsidRPr="00582633">
              <w:rPr>
                <w:b/>
                <w:bCs/>
              </w:rPr>
              <w:t>Daarnaast leidt de wijze waarop de door Nederland verstrekte lening voor het gebouw van het ISH wordt afgelost tot verschillen in de hoogte van de verplichte contributies. Sommige verdragspartijen hebben in een eerder stadium hun aandeel in de aflossing van deze lening al in één keer betaald, andere verdragspartijen betalen ieder jaar een deel van de aflossing en de rente.</w:t>
            </w:r>
          </w:p>
          <w:p w:rsidR="00145E5D" w:rsidRDefault="00145E5D" w14:paraId="342A46D6" w14:textId="3C496BA7"/>
        </w:tc>
        <w:tc>
          <w:tcPr>
            <w:tcW w:w="855" w:type="dxa"/>
          </w:tcPr>
          <w:p w:rsidR="00145E5D" w:rsidRDefault="00145E5D" w14:paraId="07B197C6" w14:textId="77777777">
            <w:pPr>
              <w:jc w:val="right"/>
            </w:pPr>
            <w:r>
              <w:t>9</w:t>
            </w:r>
          </w:p>
        </w:tc>
        <w:tc>
          <w:tcPr>
            <w:tcW w:w="567" w:type="dxa"/>
          </w:tcPr>
          <w:p w:rsidR="00145E5D" w:rsidRDefault="00145E5D" w14:paraId="43183C5B" w14:textId="77777777">
            <w:pPr>
              <w:jc w:val="right"/>
            </w:pPr>
            <w:r>
              <w:t xml:space="preserve"> </w:t>
            </w:r>
          </w:p>
        </w:tc>
      </w:tr>
      <w:tr w:rsidR="00145E5D" w:rsidTr="00BE5B54" w14:paraId="3ED109D4" w14:textId="77777777">
        <w:tc>
          <w:tcPr>
            <w:tcW w:w="567" w:type="dxa"/>
          </w:tcPr>
          <w:p w:rsidR="00145E5D" w:rsidRDefault="00145E5D" w14:paraId="35B7F1B0" w14:textId="77777777">
            <w:r>
              <w:t>23</w:t>
            </w:r>
          </w:p>
        </w:tc>
        <w:tc>
          <w:tcPr>
            <w:tcW w:w="6521" w:type="dxa"/>
          </w:tcPr>
          <w:p w:rsidR="00145E5D" w:rsidRDefault="00145E5D" w14:paraId="25216759" w14:textId="77777777">
            <w:r>
              <w:t>Met welke rekenformule wordt de contributie voor het Strafhof vastgesteld? Kunt u een overzicht geven van alle landen die contributie betalen aan het Internationaal Strafhof inclusief de bedragen?</w:t>
            </w:r>
          </w:p>
          <w:p w:rsidR="00145E5D" w:rsidRDefault="00145E5D" w14:paraId="7D977433" w14:textId="77777777"/>
          <w:p w:rsidRPr="00D35E79" w:rsidR="00D35E79" w:rsidP="00D35E79" w:rsidRDefault="00D35E79" w14:paraId="25E82F22" w14:textId="77777777">
            <w:pPr>
              <w:rPr>
                <w:b/>
                <w:bCs/>
              </w:rPr>
            </w:pPr>
            <w:r w:rsidRPr="00D35E79">
              <w:rPr>
                <w:b/>
                <w:bCs/>
              </w:rPr>
              <w:lastRenderedPageBreak/>
              <w:t>Antwoord:</w:t>
            </w:r>
          </w:p>
          <w:p w:rsidR="00145E5D" w:rsidRDefault="00145E5D" w14:paraId="41075DF8" w14:textId="77777777">
            <w:pPr>
              <w:rPr>
                <w:b/>
                <w:bCs/>
              </w:rPr>
            </w:pPr>
            <w:r w:rsidRPr="00582633">
              <w:rPr>
                <w:b/>
                <w:bCs/>
              </w:rPr>
              <w:t>Zie voor de rekenformule het antwoord op vraag 22. De hoogte van de contributies van individuele verdragspartijen is geen openbare informatie en kan derhalve niet in dit verband worden gedeeld.</w:t>
            </w:r>
          </w:p>
          <w:p w:rsidR="00145E5D" w:rsidRDefault="00145E5D" w14:paraId="6CBFC4E7" w14:textId="225E6C02"/>
        </w:tc>
        <w:tc>
          <w:tcPr>
            <w:tcW w:w="855" w:type="dxa"/>
          </w:tcPr>
          <w:p w:rsidR="00145E5D" w:rsidRDefault="00145E5D" w14:paraId="3AC132EE" w14:textId="77777777">
            <w:pPr>
              <w:jc w:val="right"/>
            </w:pPr>
            <w:r>
              <w:lastRenderedPageBreak/>
              <w:t>9</w:t>
            </w:r>
          </w:p>
        </w:tc>
        <w:tc>
          <w:tcPr>
            <w:tcW w:w="567" w:type="dxa"/>
          </w:tcPr>
          <w:p w:rsidR="00145E5D" w:rsidRDefault="00145E5D" w14:paraId="20CBA04A" w14:textId="77777777">
            <w:pPr>
              <w:jc w:val="right"/>
            </w:pPr>
            <w:r>
              <w:t xml:space="preserve"> </w:t>
            </w:r>
          </w:p>
        </w:tc>
      </w:tr>
      <w:tr w:rsidR="00145E5D" w:rsidTr="00BE5B54" w14:paraId="7E0EA631" w14:textId="77777777">
        <w:tc>
          <w:tcPr>
            <w:tcW w:w="567" w:type="dxa"/>
          </w:tcPr>
          <w:p w:rsidR="00145E5D" w:rsidRDefault="00145E5D" w14:paraId="7472E6C6" w14:textId="77777777">
            <w:r>
              <w:t>24</w:t>
            </w:r>
          </w:p>
        </w:tc>
        <w:tc>
          <w:tcPr>
            <w:tcW w:w="6521" w:type="dxa"/>
          </w:tcPr>
          <w:p w:rsidR="00145E5D" w:rsidRDefault="00145E5D" w14:paraId="6B548005" w14:textId="77777777">
            <w:r>
              <w:t>Waaruit bestaat de verhoging van het budget voor het Stabiliteitsfonds?</w:t>
            </w:r>
          </w:p>
          <w:p w:rsidR="00145E5D" w:rsidRDefault="00145E5D" w14:paraId="21A9CE76" w14:textId="77777777"/>
          <w:p w:rsidRPr="00D35E79" w:rsidR="00D35E79" w:rsidP="00D35E79" w:rsidRDefault="00D35E79" w14:paraId="551B644D" w14:textId="77777777">
            <w:pPr>
              <w:rPr>
                <w:b/>
                <w:bCs/>
              </w:rPr>
            </w:pPr>
            <w:r w:rsidRPr="00D35E79">
              <w:rPr>
                <w:b/>
                <w:bCs/>
              </w:rPr>
              <w:t>Antwoord:</w:t>
            </w:r>
          </w:p>
          <w:p w:rsidRPr="008A47CF" w:rsidR="00145E5D" w:rsidP="00EB5A7A" w:rsidRDefault="00145E5D" w14:paraId="0B6C7B76" w14:textId="5764E7BF">
            <w:pPr>
              <w:rPr>
                <w:b/>
                <w:bCs/>
              </w:rPr>
            </w:pPr>
            <w:r>
              <w:br/>
            </w:r>
            <w:r w:rsidRPr="008A47CF">
              <w:rPr>
                <w:b/>
                <w:bCs/>
                <w:color w:val="000000" w:themeColor="text1"/>
              </w:rPr>
              <w:t>Het budget van het non-ODA deel van het Stabiliteitsfonds wordt in 2025 eenmalig opgehoogd met EUR 6 m</w:t>
            </w:r>
            <w:r>
              <w:rPr>
                <w:b/>
                <w:bCs/>
                <w:color w:val="000000" w:themeColor="text1"/>
              </w:rPr>
              <w:t>iljoen</w:t>
            </w:r>
            <w:r w:rsidRPr="008A47CF">
              <w:rPr>
                <w:b/>
                <w:bCs/>
                <w:color w:val="000000" w:themeColor="text1"/>
              </w:rPr>
              <w:t xml:space="preserve"> ten behoeve van non-lethale steun aan de </w:t>
            </w:r>
            <w:proofErr w:type="spellStart"/>
            <w:r w:rsidRPr="008A47CF">
              <w:rPr>
                <w:b/>
                <w:bCs/>
                <w:color w:val="000000" w:themeColor="text1"/>
              </w:rPr>
              <w:t>Lebanese</w:t>
            </w:r>
            <w:proofErr w:type="spellEnd"/>
            <w:r w:rsidRPr="008A47CF">
              <w:rPr>
                <w:b/>
                <w:bCs/>
                <w:color w:val="000000" w:themeColor="text1"/>
              </w:rPr>
              <w:t xml:space="preserve"> </w:t>
            </w:r>
            <w:proofErr w:type="spellStart"/>
            <w:r w:rsidRPr="008A47CF">
              <w:rPr>
                <w:b/>
                <w:bCs/>
                <w:color w:val="000000" w:themeColor="text1"/>
              </w:rPr>
              <w:t>Armed</w:t>
            </w:r>
            <w:proofErr w:type="spellEnd"/>
            <w:r w:rsidRPr="008A47CF">
              <w:rPr>
                <w:b/>
                <w:bCs/>
                <w:color w:val="000000" w:themeColor="text1"/>
              </w:rPr>
              <w:t xml:space="preserve"> Forces (LAF), waarvoor het Stabiliteitsfonds technisch als budgetplaats dient. Daar tegenover staan twee overboekingen vanuit het Stabiliteitsfonds naar het Matra-programma en het budget voor Contra-terrorisme van respectievelijk EUR 600.000 en EUR 630.000 EUR wat resulteert in de mutatie van EUR 4,77 miljoen onder art. 2.4.</w:t>
            </w:r>
          </w:p>
          <w:p w:rsidR="00145E5D" w:rsidRDefault="00145E5D" w14:paraId="770C352F" w14:textId="77777777"/>
        </w:tc>
        <w:tc>
          <w:tcPr>
            <w:tcW w:w="855" w:type="dxa"/>
          </w:tcPr>
          <w:p w:rsidR="00145E5D" w:rsidRDefault="00145E5D" w14:paraId="7092DEBA" w14:textId="77777777">
            <w:pPr>
              <w:jc w:val="right"/>
            </w:pPr>
            <w:r>
              <w:t>11</w:t>
            </w:r>
          </w:p>
        </w:tc>
        <w:tc>
          <w:tcPr>
            <w:tcW w:w="567" w:type="dxa"/>
          </w:tcPr>
          <w:p w:rsidR="00145E5D" w:rsidRDefault="00145E5D" w14:paraId="4D778AA4" w14:textId="77777777">
            <w:pPr>
              <w:jc w:val="right"/>
            </w:pPr>
            <w:r>
              <w:t xml:space="preserve"> </w:t>
            </w:r>
          </w:p>
        </w:tc>
      </w:tr>
      <w:tr w:rsidR="00145E5D" w:rsidTr="00BE5B54" w14:paraId="4C42D763" w14:textId="77777777">
        <w:tc>
          <w:tcPr>
            <w:tcW w:w="567" w:type="dxa"/>
          </w:tcPr>
          <w:p w:rsidR="00145E5D" w:rsidRDefault="00145E5D" w14:paraId="130AA63B" w14:textId="77777777">
            <w:r>
              <w:t>25</w:t>
            </w:r>
          </w:p>
        </w:tc>
        <w:tc>
          <w:tcPr>
            <w:tcW w:w="6521" w:type="dxa"/>
          </w:tcPr>
          <w:p w:rsidR="00145E5D" w:rsidRDefault="00145E5D" w14:paraId="478B16D7" w14:textId="77777777">
            <w:r>
              <w:t>Klopt het dat het Ukraine Women Fund uit het Stabiliteitsfonds wordt gefinancierd?</w:t>
            </w:r>
          </w:p>
          <w:p w:rsidR="00145E5D" w:rsidRDefault="00145E5D" w14:paraId="6E8E9F58" w14:textId="77777777"/>
          <w:p w:rsidRPr="00D35E79" w:rsidR="00145E5D" w:rsidP="00897D5E" w:rsidRDefault="00D35E79" w14:paraId="46AEF72D" w14:textId="075CA2B4">
            <w:pPr>
              <w:rPr>
                <w:b/>
                <w:bCs/>
              </w:rPr>
            </w:pPr>
            <w:r w:rsidRPr="00D35E79">
              <w:rPr>
                <w:b/>
                <w:bCs/>
              </w:rPr>
              <w:t>Antwoord:</w:t>
            </w:r>
            <w:r w:rsidR="00145E5D">
              <w:rPr>
                <w:color w:val="000000" w:themeColor="text1"/>
              </w:rPr>
              <w:br/>
            </w:r>
            <w:r w:rsidRPr="008A47CF" w:rsidR="00145E5D">
              <w:rPr>
                <w:b/>
                <w:bCs/>
                <w:color w:val="000000" w:themeColor="text1"/>
              </w:rPr>
              <w:t>Ja, dit project wordt vanuit het Stabiliteitsfonds gefinancierd.</w:t>
            </w:r>
          </w:p>
          <w:p w:rsidR="00145E5D" w:rsidRDefault="00145E5D" w14:paraId="1A97E5CD" w14:textId="77777777"/>
        </w:tc>
        <w:tc>
          <w:tcPr>
            <w:tcW w:w="855" w:type="dxa"/>
          </w:tcPr>
          <w:p w:rsidR="00145E5D" w:rsidRDefault="00145E5D" w14:paraId="4C580602" w14:textId="77777777">
            <w:pPr>
              <w:jc w:val="right"/>
            </w:pPr>
            <w:r>
              <w:t>11</w:t>
            </w:r>
          </w:p>
        </w:tc>
        <w:tc>
          <w:tcPr>
            <w:tcW w:w="567" w:type="dxa"/>
          </w:tcPr>
          <w:p w:rsidR="00145E5D" w:rsidRDefault="00145E5D" w14:paraId="67EB6306" w14:textId="77777777">
            <w:pPr>
              <w:jc w:val="right"/>
            </w:pPr>
            <w:r>
              <w:t xml:space="preserve"> </w:t>
            </w:r>
          </w:p>
        </w:tc>
      </w:tr>
      <w:tr w:rsidR="00145E5D" w:rsidTr="00BE5B54" w14:paraId="17A83A76" w14:textId="77777777">
        <w:tc>
          <w:tcPr>
            <w:tcW w:w="567" w:type="dxa"/>
          </w:tcPr>
          <w:p w:rsidR="00145E5D" w:rsidRDefault="00145E5D" w14:paraId="3B4DD49F" w14:textId="77777777">
            <w:r>
              <w:t>26</w:t>
            </w:r>
          </w:p>
        </w:tc>
        <w:tc>
          <w:tcPr>
            <w:tcW w:w="6521" w:type="dxa"/>
          </w:tcPr>
          <w:p w:rsidR="00145E5D" w:rsidRDefault="00145E5D" w14:paraId="1EF28046" w14:textId="77777777">
            <w:r>
              <w:t>Klopt het dat het Ukraine Women Fund uit het stabiliteitsfonds wordt wegbezuinigd? Zo ja, is hier een impactanalyse van gemaakt? Welke projecten vallen er precies weg? Kunt u ook toelichten waarom deze bezuiniging plaatsvindt?</w:t>
            </w:r>
          </w:p>
          <w:p w:rsidR="00145E5D" w:rsidRDefault="00145E5D" w14:paraId="3A09D5CA" w14:textId="77777777"/>
          <w:p w:rsidRPr="00D35E79" w:rsidR="00145E5D" w:rsidP="00897D5E" w:rsidRDefault="00D35E79" w14:paraId="265B6F5D" w14:textId="2768EFB6">
            <w:pPr>
              <w:rPr>
                <w:b/>
                <w:bCs/>
              </w:rPr>
            </w:pPr>
            <w:r w:rsidRPr="00D35E79">
              <w:rPr>
                <w:b/>
                <w:bCs/>
              </w:rPr>
              <w:t>Antwoord:</w:t>
            </w:r>
            <w:r w:rsidR="00145E5D">
              <w:rPr>
                <w:b/>
                <w:bCs/>
              </w:rPr>
              <w:br/>
            </w:r>
            <w:r w:rsidRPr="008A47CF" w:rsidR="00145E5D">
              <w:rPr>
                <w:b/>
                <w:bCs/>
                <w:color w:val="000000" w:themeColor="text1"/>
              </w:rPr>
              <w:t>Nee. De oorspronkelijke looptijd van dit project was van 1 januari 2022 tot 1 december 2024, maar het project is verlengd tot 31 augustus 2025. De reden hiervoor is dat het UWF het geld nog niet volledig had besteed. Er is nog geen verzoek voor vervolgfinanciering ingediend.</w:t>
            </w:r>
          </w:p>
          <w:p w:rsidR="00145E5D" w:rsidRDefault="00145E5D" w14:paraId="33E2A191" w14:textId="77777777"/>
        </w:tc>
        <w:tc>
          <w:tcPr>
            <w:tcW w:w="855" w:type="dxa"/>
          </w:tcPr>
          <w:p w:rsidR="00145E5D" w:rsidRDefault="00145E5D" w14:paraId="44FA2C30" w14:textId="77777777">
            <w:pPr>
              <w:jc w:val="right"/>
            </w:pPr>
            <w:r>
              <w:t>11</w:t>
            </w:r>
          </w:p>
        </w:tc>
        <w:tc>
          <w:tcPr>
            <w:tcW w:w="567" w:type="dxa"/>
          </w:tcPr>
          <w:p w:rsidR="00145E5D" w:rsidRDefault="00145E5D" w14:paraId="4C7DF837" w14:textId="77777777">
            <w:pPr>
              <w:jc w:val="right"/>
            </w:pPr>
            <w:r>
              <w:t xml:space="preserve"> </w:t>
            </w:r>
          </w:p>
        </w:tc>
      </w:tr>
      <w:tr w:rsidR="00145E5D" w:rsidTr="00BE5B54" w14:paraId="17B6E9B0" w14:textId="77777777">
        <w:tc>
          <w:tcPr>
            <w:tcW w:w="567" w:type="dxa"/>
          </w:tcPr>
          <w:p w:rsidR="00145E5D" w:rsidRDefault="00145E5D" w14:paraId="2BD78A99" w14:textId="77777777">
            <w:r>
              <w:t>27</w:t>
            </w:r>
          </w:p>
        </w:tc>
        <w:tc>
          <w:tcPr>
            <w:tcW w:w="6521" w:type="dxa"/>
          </w:tcPr>
          <w:p w:rsidR="00145E5D" w:rsidRDefault="00145E5D" w14:paraId="5CFA3D3A" w14:textId="77777777">
            <w:r>
              <w:t>Kunt u de overheveling van € 1.564.000 voor ‘accountability Oekraïne’ onder ‘bijdrage aan internationale organisaties’ naar € 1.064.000 voor ‘accountability Oekraïne’ onder subsidies toelichten?</w:t>
            </w:r>
          </w:p>
          <w:p w:rsidR="00145E5D" w:rsidRDefault="00145E5D" w14:paraId="69E1A235" w14:textId="77777777"/>
          <w:p w:rsidRPr="00D35E79" w:rsidR="00D35E79" w:rsidP="00D35E79" w:rsidRDefault="00D35E79" w14:paraId="1DEF2979" w14:textId="77777777">
            <w:pPr>
              <w:rPr>
                <w:b/>
                <w:bCs/>
              </w:rPr>
            </w:pPr>
            <w:r w:rsidRPr="00D35E79">
              <w:rPr>
                <w:b/>
                <w:bCs/>
              </w:rPr>
              <w:t>Antwoord:</w:t>
            </w:r>
          </w:p>
          <w:p w:rsidR="00145E5D" w:rsidP="0084502A" w:rsidRDefault="00145E5D" w14:paraId="3F73014C" w14:textId="04F47497">
            <w:r w:rsidRPr="004A3E91">
              <w:rPr>
                <w:b/>
              </w:rPr>
              <w:t>Het budget voor accountability Oekraïne is in zijn geheel toegekend op ‘bijdrage aan internationale organisaties’. Er zijn echter uit die bijdrage ook organisaties gefinancierd die onder de subsidiewetgeving vallen. Vandaar dat de financiering voor die organisaties is overgeheveld naar ‘subsidies’.</w:t>
            </w:r>
          </w:p>
          <w:p w:rsidR="00145E5D" w:rsidRDefault="00145E5D" w14:paraId="06ECDF3C" w14:textId="7E99AAF1"/>
        </w:tc>
        <w:tc>
          <w:tcPr>
            <w:tcW w:w="855" w:type="dxa"/>
          </w:tcPr>
          <w:p w:rsidR="00145E5D" w:rsidRDefault="00145E5D" w14:paraId="5C584D8A" w14:textId="77777777">
            <w:pPr>
              <w:jc w:val="right"/>
            </w:pPr>
            <w:r>
              <w:t>11</w:t>
            </w:r>
          </w:p>
        </w:tc>
        <w:tc>
          <w:tcPr>
            <w:tcW w:w="567" w:type="dxa"/>
          </w:tcPr>
          <w:p w:rsidR="00145E5D" w:rsidRDefault="00145E5D" w14:paraId="42A38F22" w14:textId="77777777">
            <w:pPr>
              <w:jc w:val="right"/>
            </w:pPr>
            <w:r>
              <w:t xml:space="preserve">12 </w:t>
            </w:r>
          </w:p>
        </w:tc>
      </w:tr>
      <w:tr w:rsidR="00145E5D" w:rsidTr="00BE5B54" w14:paraId="0E394374" w14:textId="77777777">
        <w:tc>
          <w:tcPr>
            <w:tcW w:w="567" w:type="dxa"/>
          </w:tcPr>
          <w:p w:rsidR="00145E5D" w:rsidRDefault="00145E5D" w14:paraId="5F2FD2B6" w14:textId="77777777">
            <w:r>
              <w:t>28</w:t>
            </w:r>
          </w:p>
        </w:tc>
        <w:tc>
          <w:tcPr>
            <w:tcW w:w="6521" w:type="dxa"/>
          </w:tcPr>
          <w:p w:rsidR="00145E5D" w:rsidRDefault="00145E5D" w14:paraId="00BC4D63" w14:textId="77777777">
            <w:bookmarkStart w:name="_Hlk199170309" w:id="3"/>
            <w:r>
              <w:t>Op welke manier zal Nederland bijdragen aan cyberweerbaarheid van Oekraïne?</w:t>
            </w:r>
          </w:p>
          <w:p w:rsidR="00145E5D" w:rsidRDefault="00145E5D" w14:paraId="16F2118B" w14:textId="77777777"/>
          <w:p w:rsidRPr="00D35E79" w:rsidR="00D35E79" w:rsidP="00D35E79" w:rsidRDefault="00D35E79" w14:paraId="6C6F637D" w14:textId="77777777">
            <w:pPr>
              <w:rPr>
                <w:b/>
                <w:bCs/>
              </w:rPr>
            </w:pPr>
            <w:r w:rsidRPr="00D35E79">
              <w:rPr>
                <w:b/>
                <w:bCs/>
              </w:rPr>
              <w:t>Antwoord:</w:t>
            </w:r>
          </w:p>
          <w:p w:rsidRPr="00814F1A" w:rsidR="00145E5D" w:rsidP="00814F1A" w:rsidRDefault="00145E5D" w14:paraId="6C08CA03" w14:textId="77777777">
            <w:pPr>
              <w:rPr>
                <w:b/>
                <w:bCs/>
              </w:rPr>
            </w:pPr>
            <w:r w:rsidRPr="00814F1A">
              <w:rPr>
                <w:b/>
                <w:bCs/>
              </w:rPr>
              <w:t xml:space="preserve">Middelen worden ingezet ten behoeve van cybersecurity-projecten die enerzijds gericht zijn op de versterking van overheidsorganisaties met de meest kwetsbare IT-systemen. Anderzijds, steunt Nederland samen met andere partners - zoals het Verenigd Koninkrijk – de digitale veiligheid van organisaties die het meest cruciaal zijn voor de Oekraïense </w:t>
            </w:r>
            <w:r w:rsidRPr="00814F1A">
              <w:rPr>
                <w:b/>
                <w:bCs/>
              </w:rPr>
              <w:lastRenderedPageBreak/>
              <w:t>cybersecurityarchitectuur en, of daardoor, het meest in de belangstelling staan van Rusland. In beide gevallen is het doel niet om Oekraïne volledig te behoeden voor cyberaanvallen, maar om het land een minder aantrekkelijk doelwit te maken voor cyberaanvallen omdat overheidsorganisaties beter beveiligd zijn en cyberincidenten sneller en effectiever worden gemitigeerd. De implementerende partners zijn NGO’s of cybersecurity bedrijven met een actieve presentie in Oekraïne.</w:t>
            </w:r>
          </w:p>
          <w:p w:rsidRPr="00814F1A" w:rsidR="00145E5D" w:rsidP="00814F1A" w:rsidRDefault="00145E5D" w14:paraId="15E0ACC4" w14:textId="1325B22A">
            <w:pPr>
              <w:rPr>
                <w:b/>
                <w:bCs/>
              </w:rPr>
            </w:pPr>
            <w:r w:rsidRPr="00814F1A">
              <w:rPr>
                <w:b/>
                <w:bCs/>
              </w:rPr>
              <w:t xml:space="preserve">Oekraïne bepaalt welke problemen het meest urgent </w:t>
            </w:r>
            <w:r>
              <w:rPr>
                <w:b/>
                <w:bCs/>
              </w:rPr>
              <w:t>zijn.</w:t>
            </w:r>
            <w:bookmarkEnd w:id="3"/>
          </w:p>
          <w:p w:rsidR="00145E5D" w:rsidRDefault="00145E5D" w14:paraId="48B37EC9" w14:textId="77777777"/>
        </w:tc>
        <w:tc>
          <w:tcPr>
            <w:tcW w:w="855" w:type="dxa"/>
          </w:tcPr>
          <w:p w:rsidR="00145E5D" w:rsidRDefault="00145E5D" w14:paraId="772E9CD7" w14:textId="77777777">
            <w:pPr>
              <w:jc w:val="right"/>
            </w:pPr>
            <w:r>
              <w:lastRenderedPageBreak/>
              <w:t>14</w:t>
            </w:r>
          </w:p>
        </w:tc>
        <w:tc>
          <w:tcPr>
            <w:tcW w:w="567" w:type="dxa"/>
          </w:tcPr>
          <w:p w:rsidR="00145E5D" w:rsidRDefault="00145E5D" w14:paraId="5243CDC1" w14:textId="77777777">
            <w:pPr>
              <w:jc w:val="right"/>
            </w:pPr>
            <w:r>
              <w:t xml:space="preserve"> </w:t>
            </w:r>
          </w:p>
        </w:tc>
      </w:tr>
      <w:tr w:rsidR="00145E5D" w:rsidTr="00BE5B54" w14:paraId="10345737" w14:textId="77777777">
        <w:tc>
          <w:tcPr>
            <w:tcW w:w="567" w:type="dxa"/>
          </w:tcPr>
          <w:p w:rsidR="00145E5D" w:rsidRDefault="00145E5D" w14:paraId="45DD608E" w14:textId="77777777">
            <w:r>
              <w:t>29</w:t>
            </w:r>
          </w:p>
        </w:tc>
        <w:tc>
          <w:tcPr>
            <w:tcW w:w="6521" w:type="dxa"/>
          </w:tcPr>
          <w:p w:rsidR="00145E5D" w:rsidRDefault="00145E5D" w14:paraId="604C486C" w14:textId="77777777">
            <w:r>
              <w:t>Wanneer ontvangt de Kamer de verantwoording en controle van de € 267.046.000 die Nederland aan de Europese Vredesfaciliteit bijdraagt?</w:t>
            </w:r>
          </w:p>
          <w:p w:rsidR="00145E5D" w:rsidRDefault="00145E5D" w14:paraId="68FB97B4" w14:textId="77777777"/>
          <w:p w:rsidRPr="00D35E79" w:rsidR="00D35E79" w:rsidP="00D35E79" w:rsidRDefault="00D35E79" w14:paraId="3D1DD0F0" w14:textId="77777777">
            <w:pPr>
              <w:rPr>
                <w:b/>
                <w:bCs/>
              </w:rPr>
            </w:pPr>
            <w:r w:rsidRPr="00D35E79">
              <w:rPr>
                <w:b/>
                <w:bCs/>
              </w:rPr>
              <w:t>Antwoord:</w:t>
            </w:r>
          </w:p>
          <w:p w:rsidRPr="00A457DC" w:rsidR="00145E5D" w:rsidP="00952624" w:rsidRDefault="00145E5D" w14:paraId="384D4041" w14:textId="7107E464">
            <w:pPr>
              <w:rPr>
                <w:b/>
                <w:bCs/>
              </w:rPr>
            </w:pPr>
            <w:r w:rsidRPr="00A457DC">
              <w:rPr>
                <w:b/>
                <w:bCs/>
              </w:rPr>
              <w:t xml:space="preserve">Om parlementaire controle op de Europese Vredesfaciliteit (EPF) zo goed mogelijk te faciliteren wordt uw Kamer uitvoerig geïnformeerd over de inzet van dit instrument. Gedurende het jaar gebeurt dat voorafgaande de besluitvorming wanneer het een voorstel tot het leveren van lethale steun betreft, bijvoorbeeld via de geannoteerde agenda van een Raad Buitenlandse Zaken. Daarnaast ontvangt uw Kamer een </w:t>
            </w:r>
            <w:r>
              <w:rPr>
                <w:b/>
              </w:rPr>
              <w:t>periodieke</w:t>
            </w:r>
            <w:r w:rsidRPr="00A457DC">
              <w:rPr>
                <w:b/>
                <w:bCs/>
              </w:rPr>
              <w:t xml:space="preserve"> terug- en vooruitblik. </w:t>
            </w:r>
          </w:p>
          <w:p w:rsidR="00145E5D" w:rsidRDefault="00145E5D" w14:paraId="11603B97" w14:textId="372178BD">
            <w:pPr>
              <w:rPr>
                <w:b/>
                <w:bCs/>
              </w:rPr>
            </w:pPr>
            <w:r w:rsidRPr="00A457DC">
              <w:rPr>
                <w:b/>
                <w:bCs/>
              </w:rPr>
              <w:t xml:space="preserve">De formeel opgestelde Raadsdocumenten </w:t>
            </w:r>
            <w:r>
              <w:rPr>
                <w:b/>
              </w:rPr>
              <w:t>met betrekking tot EPF</w:t>
            </w:r>
            <w:r w:rsidRPr="00A457DC">
              <w:rPr>
                <w:b/>
                <w:bCs/>
              </w:rPr>
              <w:t xml:space="preserve"> steunmaatregelen zijn voor Kamerleden direct toegankelijk op het </w:t>
            </w:r>
            <w:r w:rsidRPr="00A457DC">
              <w:rPr>
                <w:b/>
                <w:bCs/>
                <w:i/>
                <w:iCs/>
              </w:rPr>
              <w:t xml:space="preserve">EU </w:t>
            </w:r>
            <w:proofErr w:type="spellStart"/>
            <w:r w:rsidRPr="00A457DC">
              <w:rPr>
                <w:b/>
                <w:bCs/>
                <w:i/>
                <w:iCs/>
              </w:rPr>
              <w:t>Delegates</w:t>
            </w:r>
            <w:proofErr w:type="spellEnd"/>
            <w:r w:rsidRPr="00A457DC">
              <w:rPr>
                <w:b/>
                <w:bCs/>
                <w:i/>
                <w:iCs/>
              </w:rPr>
              <w:t xml:space="preserve"> Portal</w:t>
            </w:r>
            <w:r w:rsidRPr="00A457DC">
              <w:rPr>
                <w:b/>
                <w:bCs/>
              </w:rPr>
              <w:t xml:space="preserve"> en het uiteindelijke Raadsbesluit wordt gepubliceerd op EUR-Lex. </w:t>
            </w:r>
            <w:r w:rsidRPr="00A457DC">
              <w:rPr>
                <w:b/>
              </w:rPr>
              <w:t xml:space="preserve">Het </w:t>
            </w:r>
            <w:r>
              <w:rPr>
                <w:b/>
              </w:rPr>
              <w:t>jaarlijkse auditrapport</w:t>
            </w:r>
            <w:r w:rsidRPr="00A457DC">
              <w:rPr>
                <w:b/>
                <w:bCs/>
              </w:rPr>
              <w:t xml:space="preserve"> van het externe toezichthoudende College van Auditors </w:t>
            </w:r>
            <w:r>
              <w:rPr>
                <w:b/>
              </w:rPr>
              <w:t>is</w:t>
            </w:r>
            <w:r w:rsidRPr="00A457DC">
              <w:rPr>
                <w:b/>
                <w:bCs/>
              </w:rPr>
              <w:t xml:space="preserve"> op dit moment </w:t>
            </w:r>
            <w:r>
              <w:rPr>
                <w:b/>
              </w:rPr>
              <w:t>alleen toegankelijk</w:t>
            </w:r>
            <w:r w:rsidRPr="00A457DC">
              <w:rPr>
                <w:b/>
                <w:bCs/>
              </w:rPr>
              <w:t xml:space="preserve"> voor het </w:t>
            </w:r>
            <w:r>
              <w:rPr>
                <w:b/>
              </w:rPr>
              <w:t xml:space="preserve">kabinet. </w:t>
            </w:r>
            <w:r w:rsidRPr="00A457DC">
              <w:rPr>
                <w:b/>
                <w:bCs/>
              </w:rPr>
              <w:t>Omdat het kabinet hecht aan transparantie, heeft het Kabinet bij de recent afgeronde herziening van de EPF ingezet op het versterken van het financiële toezicht en beleid binnen de EPF en op het vergroten van transparantie.</w:t>
            </w:r>
            <w:r w:rsidRPr="00A457DC">
              <w:rPr>
                <w:rStyle w:val="FootnoteReference"/>
                <w:b/>
                <w:bCs/>
              </w:rPr>
              <w:footnoteReference w:id="2"/>
            </w:r>
            <w:r w:rsidRPr="00A457DC">
              <w:rPr>
                <w:b/>
                <w:bCs/>
              </w:rPr>
              <w:t xml:space="preserve"> </w:t>
            </w:r>
            <w:r>
              <w:rPr>
                <w:b/>
              </w:rPr>
              <w:t>Als gevolg van deze inzet is - i</w:t>
            </w:r>
            <w:r w:rsidRPr="00A457DC">
              <w:rPr>
                <w:b/>
              </w:rPr>
              <w:t>n</w:t>
            </w:r>
            <w:r w:rsidRPr="00A457DC">
              <w:rPr>
                <w:b/>
                <w:bCs/>
              </w:rPr>
              <w:t xml:space="preserve"> lijn met de motie Jasper van Dijk en Omtzigt c.s.</w:t>
            </w:r>
            <w:r w:rsidRPr="00A457DC">
              <w:rPr>
                <w:rStyle w:val="FootnoteReference"/>
                <w:b/>
                <w:bCs/>
              </w:rPr>
              <w:footnoteReference w:id="3"/>
            </w:r>
            <w:r w:rsidRPr="00A457DC">
              <w:rPr>
                <w:b/>
                <w:bCs/>
              </w:rPr>
              <w:t xml:space="preserve"> </w:t>
            </w:r>
            <w:r>
              <w:rPr>
                <w:b/>
              </w:rPr>
              <w:t>-</w:t>
            </w:r>
            <w:r w:rsidRPr="00A457DC">
              <w:rPr>
                <w:b/>
                <w:bCs/>
              </w:rPr>
              <w:t xml:space="preserve"> in het EPF Raadsbesluit opgenomen dat na goedkeuring van het EPF-comité, audit rapporten, opinies en jaarverslagen (gedeeltelijk) openbaar gemaakt kunnen worden. Het kabinet zet zich ervoor in dat aankomende </w:t>
            </w:r>
            <w:r w:rsidRPr="00A457DC">
              <w:rPr>
                <w:b/>
              </w:rPr>
              <w:t>auditrappo</w:t>
            </w:r>
            <w:r>
              <w:rPr>
                <w:b/>
              </w:rPr>
              <w:t xml:space="preserve">rten en </w:t>
            </w:r>
            <w:r w:rsidRPr="00A457DC">
              <w:rPr>
                <w:b/>
              </w:rPr>
              <w:t>jaarverslagen</w:t>
            </w:r>
            <w:r w:rsidRPr="00A457DC">
              <w:rPr>
                <w:b/>
                <w:bCs/>
              </w:rPr>
              <w:t xml:space="preserve"> voor eenieder openbaar worden gemaakt. </w:t>
            </w:r>
          </w:p>
          <w:p w:rsidR="00145E5D" w:rsidRDefault="00145E5D" w14:paraId="58CDEFE4" w14:textId="39ADD579"/>
        </w:tc>
        <w:tc>
          <w:tcPr>
            <w:tcW w:w="855" w:type="dxa"/>
          </w:tcPr>
          <w:p w:rsidR="00145E5D" w:rsidRDefault="00145E5D" w14:paraId="0B975A0B" w14:textId="77777777">
            <w:pPr>
              <w:jc w:val="right"/>
            </w:pPr>
            <w:r>
              <w:t>17</w:t>
            </w:r>
          </w:p>
        </w:tc>
        <w:tc>
          <w:tcPr>
            <w:tcW w:w="567" w:type="dxa"/>
          </w:tcPr>
          <w:p w:rsidR="00145E5D" w:rsidRDefault="00145E5D" w14:paraId="48661B5B" w14:textId="77777777">
            <w:pPr>
              <w:jc w:val="right"/>
            </w:pPr>
            <w:r>
              <w:t xml:space="preserve"> </w:t>
            </w:r>
          </w:p>
        </w:tc>
      </w:tr>
      <w:tr w:rsidR="00145E5D" w:rsidTr="00BE5B54" w14:paraId="0E54A908" w14:textId="77777777">
        <w:tc>
          <w:tcPr>
            <w:tcW w:w="567" w:type="dxa"/>
          </w:tcPr>
          <w:p w:rsidR="00145E5D" w:rsidRDefault="00145E5D" w14:paraId="430294B3" w14:textId="77777777">
            <w:r>
              <w:t>30</w:t>
            </w:r>
          </w:p>
        </w:tc>
        <w:tc>
          <w:tcPr>
            <w:tcW w:w="6521" w:type="dxa"/>
          </w:tcPr>
          <w:p w:rsidR="00145E5D" w:rsidRDefault="00145E5D" w14:paraId="7A6D2CD6" w14:textId="77777777">
            <w:r>
              <w:t>Kunt u toelichten wat de daling van de post publieksdiplomatie met € 287.000 inhoudt?</w:t>
            </w:r>
          </w:p>
          <w:p w:rsidR="00145E5D" w:rsidRDefault="00145E5D" w14:paraId="394C8306" w14:textId="77777777"/>
          <w:p w:rsidRPr="00D35E79" w:rsidR="00D35E79" w:rsidP="00D35E79" w:rsidRDefault="00D35E79" w14:paraId="2426090D" w14:textId="77777777">
            <w:pPr>
              <w:rPr>
                <w:b/>
                <w:bCs/>
              </w:rPr>
            </w:pPr>
            <w:r w:rsidRPr="00D35E79">
              <w:rPr>
                <w:b/>
                <w:bCs/>
              </w:rPr>
              <w:t>Antwoord:</w:t>
            </w:r>
          </w:p>
          <w:p w:rsidRPr="00D42F21" w:rsidR="00145E5D" w:rsidP="008B3DAB" w:rsidRDefault="00145E5D" w14:paraId="3CFF7E55" w14:textId="4195720D">
            <w:pPr>
              <w:rPr>
                <w:b/>
                <w:bCs/>
              </w:rPr>
            </w:pPr>
            <w:r w:rsidRPr="00D42F21">
              <w:rPr>
                <w:b/>
                <w:bCs/>
              </w:rPr>
              <w:t>Het budget voor Publieksdiplomatie is onderdeel van het totale KPF non-ODA budget en wordt in de komende jaren verder gekort. Deze daling heeft betrekking op de kortingen die bij de voorjaarsnota op de budgetten (subsidies) van de posten zijn doorgevoerd.</w:t>
            </w:r>
          </w:p>
          <w:p w:rsidRPr="00D42F21" w:rsidR="00145E5D" w:rsidP="008B3DAB" w:rsidRDefault="00145E5D" w14:paraId="7C303981" w14:textId="5CB96F1D">
            <w:pPr>
              <w:rPr>
                <w:b/>
                <w:bCs/>
              </w:rPr>
            </w:pPr>
            <w:r w:rsidRPr="00D42F21">
              <w:rPr>
                <w:b/>
                <w:bCs/>
              </w:rPr>
              <w:t xml:space="preserve">Publieksdiplomatie is een strategisch instrument dat als doel heeft begrip en draagvlak te vergroten voor het geïntegreerde buitenlandbeleid (HGIS) en het eenduidig versterken van de beeldvorming over Nederland in het buitenland. De veranderende geopolitieke realiteit en de kortingen op het budget vragen om een verdere aanscherping van de keuzes voor de inzet van het budget voor Publieksdiplomatie.  Dit houdt in dat strategische posten en regio’s voor de beleidsdoelen van het kabinet voorrang zullen krijgen op een deel van het (gedelegeerde) budget. Het gaat hierbij bijvoorbeeld over belangrijke </w:t>
            </w:r>
            <w:proofErr w:type="spellStart"/>
            <w:r w:rsidRPr="00D42F21">
              <w:rPr>
                <w:b/>
                <w:bCs/>
              </w:rPr>
              <w:t>PV’s</w:t>
            </w:r>
            <w:proofErr w:type="spellEnd"/>
            <w:r w:rsidRPr="00D42F21">
              <w:rPr>
                <w:b/>
                <w:bCs/>
              </w:rPr>
              <w:t xml:space="preserve"> bij multilaterale instellingen, posten in landen waar Nederland binnen de EU strategische relaties mee heeft, voor </w:t>
            </w:r>
            <w:r w:rsidRPr="00D42F21">
              <w:rPr>
                <w:b/>
                <w:bCs/>
              </w:rPr>
              <w:lastRenderedPageBreak/>
              <w:t>Nederland belangrijke strategische posten in de ring om Europa, grote belangrijke bondgenoten buiten de EU en posten in landen waar Nederland nieuwe strategische partnerschappen mee wil sluiten, denk aan BRICS en ASEAN landen.</w:t>
            </w:r>
          </w:p>
          <w:p w:rsidR="00145E5D" w:rsidP="00897D5E" w:rsidRDefault="00145E5D" w14:paraId="1D9DF0B1" w14:textId="7C6556F9">
            <w:r w:rsidRPr="00D42F21">
              <w:rPr>
                <w:b/>
                <w:bCs/>
              </w:rPr>
              <w:t>Het centraal beheerde deel van het budget wordt ingezet voor de ontwikkeling van publieksdiplomatiemiddelen en instrumenten die makkelijk door alle posten (kleinere posten en posten in niet prioritaire regio’s) ingezet kunnen worden.</w:t>
            </w:r>
          </w:p>
          <w:p w:rsidR="00145E5D" w:rsidRDefault="00145E5D" w14:paraId="550F67F3" w14:textId="77777777"/>
        </w:tc>
        <w:tc>
          <w:tcPr>
            <w:tcW w:w="855" w:type="dxa"/>
          </w:tcPr>
          <w:p w:rsidR="00145E5D" w:rsidRDefault="00145E5D" w14:paraId="4E2ED830" w14:textId="77777777">
            <w:pPr>
              <w:jc w:val="right"/>
            </w:pPr>
            <w:r>
              <w:lastRenderedPageBreak/>
              <w:t>19</w:t>
            </w:r>
          </w:p>
        </w:tc>
        <w:tc>
          <w:tcPr>
            <w:tcW w:w="567" w:type="dxa"/>
          </w:tcPr>
          <w:p w:rsidR="00145E5D" w:rsidRDefault="00145E5D" w14:paraId="762897CE" w14:textId="77777777">
            <w:pPr>
              <w:jc w:val="right"/>
            </w:pPr>
            <w:r>
              <w:t xml:space="preserve">20 </w:t>
            </w:r>
          </w:p>
        </w:tc>
      </w:tr>
      <w:tr w:rsidR="00145E5D" w:rsidTr="00BE5B54" w14:paraId="650CF029" w14:textId="77777777">
        <w:tc>
          <w:tcPr>
            <w:tcW w:w="567" w:type="dxa"/>
          </w:tcPr>
          <w:p w:rsidR="00145E5D" w:rsidRDefault="00145E5D" w14:paraId="60E560A9" w14:textId="77777777">
            <w:r>
              <w:t>31</w:t>
            </w:r>
          </w:p>
        </w:tc>
        <w:tc>
          <w:tcPr>
            <w:tcW w:w="6521" w:type="dxa"/>
          </w:tcPr>
          <w:p w:rsidR="00145E5D" w:rsidRDefault="00145E5D" w14:paraId="1CD216AF" w14:textId="77777777">
            <w:r>
              <w:t>Kunt u specifiek toelichten waar, naast de circa € 11 miljoen aan consulaire dienstverlening, de € 43,9 miljoen structureel aan extra externe inhuur aan wordt uitgegeven?</w:t>
            </w:r>
          </w:p>
          <w:p w:rsidR="00145E5D" w:rsidRDefault="00145E5D" w14:paraId="65C2D5AF" w14:textId="77777777"/>
          <w:p w:rsidRPr="00D35E79" w:rsidR="00D35E79" w:rsidP="00D35E79" w:rsidRDefault="00D35E79" w14:paraId="3C8488C4" w14:textId="77777777">
            <w:pPr>
              <w:rPr>
                <w:b/>
                <w:bCs/>
              </w:rPr>
            </w:pPr>
            <w:r w:rsidRPr="00D35E79">
              <w:rPr>
                <w:b/>
                <w:bCs/>
              </w:rPr>
              <w:t>Antwoord:</w:t>
            </w:r>
          </w:p>
          <w:p w:rsidRPr="00141191" w:rsidR="00145E5D" w:rsidP="00B06EE4" w:rsidRDefault="00145E5D" w14:paraId="1C9C4356" w14:textId="3768FBD8">
            <w:pPr>
              <w:rPr>
                <w:b/>
              </w:rPr>
            </w:pPr>
            <w:r w:rsidRPr="00141191">
              <w:rPr>
                <w:b/>
              </w:rPr>
              <w:t>De mutatie van EUR 43,9 miljoen is een technische mutatie om inhuur externen zo realistisch mogelijk te ramen</w:t>
            </w:r>
            <w:r>
              <w:rPr>
                <w:b/>
              </w:rPr>
              <w:t xml:space="preserve"> en in lijn te brengen met de realisatie van de afgelopen jaren</w:t>
            </w:r>
            <w:r w:rsidRPr="00141191">
              <w:rPr>
                <w:b/>
              </w:rPr>
              <w:t>. Dit betreft niet extra externe inhuur, maar voortzetting van bestaande externe inhuur.</w:t>
            </w:r>
          </w:p>
          <w:p w:rsidRPr="00141191" w:rsidR="00145E5D" w:rsidP="0051506B" w:rsidRDefault="00145E5D" w14:paraId="3C1A916F" w14:textId="77777777">
            <w:pPr>
              <w:rPr>
                <w:b/>
              </w:rPr>
            </w:pPr>
            <w:r w:rsidRPr="00141191">
              <w:rPr>
                <w:b/>
              </w:rPr>
              <w:t xml:space="preserve">Naast het realistisch ramen is het externe inhuurbudget van beleidsartikel 4 overgeheveld naar niet beleidsartikel 7 conform Rijksbegrotingsvoorschriften zoals vermeld in de </w:t>
            </w:r>
            <w:hyperlink w:history="1" r:id="rId14">
              <w:r w:rsidRPr="00141191">
                <w:rPr>
                  <w:rStyle w:val="Hyperlink"/>
                  <w:b/>
                </w:rPr>
                <w:t>Decemberbrief Buitenlandse Zaken 2024</w:t>
              </w:r>
            </w:hyperlink>
            <w:r w:rsidRPr="00141191">
              <w:rPr>
                <w:b/>
              </w:rPr>
              <w:t>. Dit betreft circa EUR 11 miljoen m.b.t. consulaire dienstverlening.</w:t>
            </w:r>
          </w:p>
          <w:p w:rsidRPr="003412C8" w:rsidR="00145E5D" w:rsidP="00116191" w:rsidRDefault="00145E5D" w14:paraId="7115DFE8" w14:textId="77777777">
            <w:pPr>
              <w:rPr>
                <w:b/>
                <w:bCs/>
              </w:rPr>
            </w:pPr>
            <w:r w:rsidRPr="00141191">
              <w:rPr>
                <w:b/>
              </w:rPr>
              <w:t xml:space="preserve">Het uitgavenbudget voor inhuur externen wordt voornamelijk uitgegeven aan ICT-gerelateerde inhuur en inhuur voor consulaire dienstverlening. Dit is in lijn met inhuuruitgaven in </w:t>
            </w:r>
            <w:r w:rsidRPr="003412C8">
              <w:rPr>
                <w:b/>
              </w:rPr>
              <w:t xml:space="preserve">voorgaande jaren. </w:t>
            </w:r>
          </w:p>
          <w:p w:rsidR="00145E5D" w:rsidP="00116191" w:rsidRDefault="00145E5D" w14:paraId="69B84EBB" w14:textId="77777777">
            <w:pPr>
              <w:rPr>
                <w:b/>
                <w:bCs/>
              </w:rPr>
            </w:pPr>
            <w:r w:rsidRPr="003412C8">
              <w:rPr>
                <w:b/>
                <w:bCs/>
              </w:rPr>
              <w:t>Zie ook antwoord op vraag 39.</w:t>
            </w:r>
          </w:p>
          <w:p w:rsidR="00145E5D" w:rsidP="00116191" w:rsidRDefault="00145E5D" w14:paraId="5ABA1B8B" w14:textId="210225CC"/>
        </w:tc>
        <w:tc>
          <w:tcPr>
            <w:tcW w:w="855" w:type="dxa"/>
          </w:tcPr>
          <w:p w:rsidR="00145E5D" w:rsidRDefault="00145E5D" w14:paraId="3FFB3E1A" w14:textId="77777777">
            <w:pPr>
              <w:jc w:val="right"/>
            </w:pPr>
            <w:r>
              <w:t>21</w:t>
            </w:r>
          </w:p>
        </w:tc>
        <w:tc>
          <w:tcPr>
            <w:tcW w:w="567" w:type="dxa"/>
          </w:tcPr>
          <w:p w:rsidR="00145E5D" w:rsidRDefault="00145E5D" w14:paraId="248A3481" w14:textId="77777777">
            <w:pPr>
              <w:jc w:val="right"/>
            </w:pPr>
            <w:r>
              <w:t xml:space="preserve">22 </w:t>
            </w:r>
          </w:p>
        </w:tc>
      </w:tr>
      <w:tr w:rsidR="00145E5D" w:rsidTr="00BE5B54" w14:paraId="2C77D45D" w14:textId="77777777">
        <w:tc>
          <w:tcPr>
            <w:tcW w:w="567" w:type="dxa"/>
          </w:tcPr>
          <w:p w:rsidR="00145E5D" w:rsidRDefault="00145E5D" w14:paraId="3C6630AF" w14:textId="77777777">
            <w:r>
              <w:t>32</w:t>
            </w:r>
          </w:p>
        </w:tc>
        <w:tc>
          <w:tcPr>
            <w:tcW w:w="6521" w:type="dxa"/>
          </w:tcPr>
          <w:p w:rsidR="00145E5D" w:rsidRDefault="00145E5D" w14:paraId="7DDB9C92" w14:textId="77777777">
            <w:r>
              <w:t>Hoeveel van artikel 6.1 is gereserveerd voor loon- en prijsbijstelling?</w:t>
            </w:r>
          </w:p>
          <w:p w:rsidR="00145E5D" w:rsidRDefault="00145E5D" w14:paraId="7C28D09C" w14:textId="77777777"/>
          <w:p w:rsidRPr="00D35E79" w:rsidR="00D35E79" w:rsidP="00D35E79" w:rsidRDefault="00D35E79" w14:paraId="23F989B1" w14:textId="77777777">
            <w:pPr>
              <w:rPr>
                <w:b/>
                <w:bCs/>
              </w:rPr>
            </w:pPr>
            <w:r w:rsidRPr="00D35E79">
              <w:rPr>
                <w:b/>
                <w:bCs/>
              </w:rPr>
              <w:t>Antwoord:</w:t>
            </w:r>
          </w:p>
          <w:p w:rsidR="00145E5D" w:rsidP="008B3DAB" w:rsidRDefault="00145E5D" w14:paraId="56A4DD76" w14:textId="1B13B23D">
            <w:pPr>
              <w:rPr>
                <w:b/>
                <w:bCs/>
              </w:rPr>
            </w:pPr>
            <w:r w:rsidRPr="00B70339">
              <w:rPr>
                <w:b/>
              </w:rPr>
              <w:t xml:space="preserve">Het geheel van begrotingsartikel 6 is in beginsel gereserveerd voor loon- en prijsbijstelling (LPB). Derhalve is LPB van EUR 5,0 miljoen (2025), EUR 7,9 miljoen (2026), EUR 8,2 miljoen (2027), EUR 8,4 miljoen (2028), EUR 8,5 miljoen (2029) en EUR 8,8 miljoen (2030) in het voorjaar 2025 toegekend aan diverse HGIS-budgetten op departementale begrotingen. Dit betreft de departementen van BZ, BHO, J&amp;V, BZK, OCW, FIN, DEF, I&amp;W, EZ, LVVN, SZW en VWS. </w:t>
            </w:r>
          </w:p>
          <w:p w:rsidRPr="008B3DAB" w:rsidR="00145E5D" w:rsidP="008B3DAB" w:rsidRDefault="00145E5D" w14:paraId="213D4515" w14:textId="2DEE1820">
            <w:pPr>
              <w:rPr>
                <w:b/>
              </w:rPr>
            </w:pPr>
            <w:r w:rsidRPr="00B70339">
              <w:rPr>
                <w:b/>
              </w:rPr>
              <w:t xml:space="preserve">In het voorjaar 2025 is door de taakstelling op LPB een meerjarige reeks afgeroomd door FIN ten behoeve van </w:t>
            </w:r>
            <w:r>
              <w:rPr>
                <w:b/>
              </w:rPr>
              <w:t xml:space="preserve">het </w:t>
            </w:r>
            <w:r w:rsidRPr="00B70339">
              <w:rPr>
                <w:b/>
              </w:rPr>
              <w:t xml:space="preserve">generale beeld. Deze meerjarige taakstelling is EUR 12,5 miljoen (2025), EUR 13,3 miljoen (2026), EUR 12,1 miljoen (2027), EUR 11,1 miljoen (2028), EUR 10,7 miljoen (2029) en EUR 10,4 miljoen structureel vanaf 2030. </w:t>
            </w:r>
          </w:p>
          <w:p w:rsidR="00145E5D" w:rsidP="007466BB" w:rsidRDefault="00145E5D" w14:paraId="52F235DD" w14:textId="760BAA1E">
            <w:pPr>
              <w:rPr>
                <w:b/>
              </w:rPr>
            </w:pPr>
            <w:r>
              <w:rPr>
                <w:b/>
              </w:rPr>
              <w:t>Daarnaast</w:t>
            </w:r>
            <w:r w:rsidRPr="00746B13">
              <w:rPr>
                <w:b/>
              </w:rPr>
              <w:t xml:space="preserve"> worden</w:t>
            </w:r>
            <w:r>
              <w:rPr>
                <w:b/>
              </w:rPr>
              <w:t xml:space="preserve"> soms</w:t>
            </w:r>
            <w:r w:rsidRPr="00746B13">
              <w:rPr>
                <w:b/>
              </w:rPr>
              <w:t xml:space="preserve"> </w:t>
            </w:r>
            <w:r>
              <w:rPr>
                <w:b/>
              </w:rPr>
              <w:t xml:space="preserve">onvermijdelijke incidentele claims en incidentele </w:t>
            </w:r>
            <w:r w:rsidRPr="00746B13">
              <w:rPr>
                <w:b/>
              </w:rPr>
              <w:t xml:space="preserve"> tegenvallers</w:t>
            </w:r>
            <w:r>
              <w:rPr>
                <w:b/>
              </w:rPr>
              <w:t xml:space="preserve"> </w:t>
            </w:r>
            <w:r w:rsidRPr="00746B13">
              <w:rPr>
                <w:b/>
              </w:rPr>
              <w:t>gefinancierd vanuit artikel 6.   </w:t>
            </w:r>
          </w:p>
          <w:p w:rsidR="00145E5D" w:rsidP="007466BB" w:rsidRDefault="00145E5D" w14:paraId="3766709B" w14:textId="0DD0E065"/>
        </w:tc>
        <w:tc>
          <w:tcPr>
            <w:tcW w:w="855" w:type="dxa"/>
          </w:tcPr>
          <w:p w:rsidR="00145E5D" w:rsidRDefault="00145E5D" w14:paraId="03632A8C" w14:textId="77777777">
            <w:pPr>
              <w:jc w:val="right"/>
            </w:pPr>
            <w:r>
              <w:t>23</w:t>
            </w:r>
          </w:p>
        </w:tc>
        <w:tc>
          <w:tcPr>
            <w:tcW w:w="567" w:type="dxa"/>
          </w:tcPr>
          <w:p w:rsidR="00145E5D" w:rsidRDefault="00145E5D" w14:paraId="0E63F9EE" w14:textId="77777777">
            <w:pPr>
              <w:jc w:val="right"/>
            </w:pPr>
            <w:r>
              <w:t xml:space="preserve"> </w:t>
            </w:r>
          </w:p>
        </w:tc>
      </w:tr>
      <w:tr w:rsidR="00145E5D" w:rsidTr="00BE5B54" w14:paraId="466A4EA8" w14:textId="77777777">
        <w:tc>
          <w:tcPr>
            <w:tcW w:w="567" w:type="dxa"/>
          </w:tcPr>
          <w:p w:rsidR="00145E5D" w:rsidRDefault="00145E5D" w14:paraId="0C1AB068" w14:textId="77777777">
            <w:r>
              <w:t>33</w:t>
            </w:r>
          </w:p>
        </w:tc>
        <w:tc>
          <w:tcPr>
            <w:tcW w:w="6521" w:type="dxa"/>
          </w:tcPr>
          <w:p w:rsidR="00145E5D" w:rsidRDefault="00145E5D" w14:paraId="1A417391" w14:textId="77777777">
            <w:r>
              <w:t>Kunt u een overzicht geven van de taakstelling in het kader van de 22 procent besparing op apparaatskosten voor de komende vijf jaar?</w:t>
            </w:r>
          </w:p>
          <w:p w:rsidRPr="001B4F06" w:rsidR="00145E5D" w:rsidP="009B5640" w:rsidRDefault="00145E5D" w14:paraId="6B5C1127" w14:textId="77777777">
            <w:pPr>
              <w:spacing w:before="0" w:after="0"/>
              <w:contextualSpacing/>
            </w:pPr>
            <w:r w:rsidRPr="001B4F06">
              <w:t>Antwoord:</w:t>
            </w:r>
          </w:p>
          <w:p w:rsidRPr="008A16FE" w:rsidR="00145E5D" w:rsidP="009B5640" w:rsidRDefault="00145E5D" w14:paraId="6213C6F2" w14:textId="39F50C6A">
            <w:pPr>
              <w:spacing w:before="0" w:after="0"/>
              <w:contextualSpacing/>
              <w:rPr>
                <w:b/>
                <w:bCs/>
              </w:rPr>
            </w:pPr>
            <w:r w:rsidRPr="008A16FE">
              <w:rPr>
                <w:b/>
                <w:bCs/>
              </w:rPr>
              <w:t xml:space="preserve">De totale apparaatstaakstelling voor de komende vijf jaar </w:t>
            </w:r>
            <w:r>
              <w:rPr>
                <w:b/>
                <w:bCs/>
              </w:rPr>
              <w:t>is opgenomen in onderstaande tabel.</w:t>
            </w:r>
            <w:r w:rsidRPr="008A16FE">
              <w:rPr>
                <w:b/>
                <w:bCs/>
              </w:rPr>
              <w:t xml:space="preserve"> </w:t>
            </w:r>
            <w:proofErr w:type="spellStart"/>
            <w:r w:rsidRPr="008A16FE">
              <w:rPr>
                <w:b/>
                <w:bCs/>
              </w:rPr>
              <w:t>Hierbĳ</w:t>
            </w:r>
            <w:proofErr w:type="spellEnd"/>
            <w:r w:rsidRPr="008A16FE">
              <w:rPr>
                <w:b/>
                <w:bCs/>
              </w:rPr>
              <w:t xml:space="preserve"> is de aanvullende taakstelling van EUR 7,395 miljoen </w:t>
            </w:r>
            <w:r w:rsidRPr="009B5640">
              <w:rPr>
                <w:b/>
                <w:bCs/>
              </w:rPr>
              <w:t>vanuit het amendement</w:t>
            </w:r>
            <w:r w:rsidRPr="008A16FE">
              <w:rPr>
                <w:b/>
                <w:bCs/>
              </w:rPr>
              <w:t xml:space="preserve"> Bontenbal inbegrepen.</w:t>
            </w:r>
          </w:p>
          <w:p w:rsidRPr="008A16FE" w:rsidR="00145E5D" w:rsidP="009B5640" w:rsidRDefault="00145E5D" w14:paraId="2434ADC8" w14:textId="77777777">
            <w:pPr>
              <w:spacing w:before="0" w:after="0"/>
              <w:contextualSpacing/>
              <w:rPr>
                <w:b/>
              </w:rPr>
            </w:pPr>
          </w:p>
          <w:tbl>
            <w:tblPr>
              <w:tblW w:w="6073" w:type="dxa"/>
              <w:tblCellMar>
                <w:left w:w="70" w:type="dxa"/>
                <w:right w:w="70" w:type="dxa"/>
              </w:tblCellMar>
              <w:tblLook w:val="04A0" w:firstRow="1" w:lastRow="0" w:firstColumn="1" w:lastColumn="0" w:noHBand="0" w:noVBand="1"/>
            </w:tblPr>
            <w:tblGrid>
              <w:gridCol w:w="854"/>
              <w:gridCol w:w="810"/>
              <w:gridCol w:w="810"/>
              <w:gridCol w:w="900"/>
              <w:gridCol w:w="1080"/>
              <w:gridCol w:w="1619"/>
            </w:tblGrid>
            <w:tr w:rsidRPr="00DC5207" w:rsidR="00145E5D" w:rsidTr="00DC5207" w14:paraId="711E0919" w14:textId="77777777">
              <w:trPr>
                <w:trHeight w:val="230"/>
              </w:trPr>
              <w:tc>
                <w:tcPr>
                  <w:tcW w:w="6073" w:type="dxa"/>
                  <w:gridSpan w:val="6"/>
                  <w:tcBorders>
                    <w:top w:val="single" w:color="00B0F0" w:sz="4" w:space="0"/>
                    <w:left w:val="single" w:color="00B0F0" w:sz="4" w:space="0"/>
                    <w:bottom w:val="nil"/>
                    <w:right w:val="single" w:color="00B0F0" w:sz="4" w:space="0"/>
                  </w:tcBorders>
                  <w:shd w:val="clear" w:color="000000" w:fill="00B0F0"/>
                  <w:noWrap/>
                  <w:vAlign w:val="bottom"/>
                  <w:hideMark/>
                </w:tcPr>
                <w:p w:rsidRPr="00DC5207" w:rsidR="00145E5D" w:rsidP="00DC5207" w:rsidRDefault="00145E5D" w14:paraId="1499F378" w14:textId="77777777">
                  <w:pPr>
                    <w:spacing w:before="0" w:after="0"/>
                    <w:jc w:val="center"/>
                    <w:rPr>
                      <w:rFonts w:ascii="Verdana" w:hAnsi="Verdana"/>
                      <w:b/>
                      <w:bCs/>
                      <w:color w:val="FFFFFF"/>
                      <w:sz w:val="18"/>
                      <w:szCs w:val="18"/>
                    </w:rPr>
                  </w:pPr>
                  <w:r w:rsidRPr="00DC5207">
                    <w:rPr>
                      <w:rFonts w:ascii="Verdana" w:hAnsi="Verdana"/>
                      <w:b/>
                      <w:bCs/>
                      <w:color w:val="FFFFFF"/>
                      <w:sz w:val="18"/>
                      <w:szCs w:val="18"/>
                    </w:rPr>
                    <w:t>Taakstelling op begrotingsartikel 7 Apparaat</w:t>
                  </w:r>
                </w:p>
              </w:tc>
            </w:tr>
            <w:tr w:rsidRPr="00DC5207" w:rsidR="00145E5D" w:rsidTr="00205CDE" w14:paraId="44E27D5A" w14:textId="77777777">
              <w:trPr>
                <w:trHeight w:val="230"/>
              </w:trPr>
              <w:tc>
                <w:tcPr>
                  <w:tcW w:w="6073" w:type="dxa"/>
                  <w:gridSpan w:val="6"/>
                  <w:tcBorders>
                    <w:top w:val="nil"/>
                    <w:left w:val="single" w:color="00B0F0" w:sz="4" w:space="0"/>
                    <w:bottom w:val="nil"/>
                    <w:right w:val="single" w:color="00B0F0" w:sz="4" w:space="0"/>
                  </w:tcBorders>
                  <w:shd w:val="clear" w:color="auto" w:fill="auto"/>
                  <w:noWrap/>
                  <w:vAlign w:val="bottom"/>
                  <w:hideMark/>
                </w:tcPr>
                <w:p w:rsidRPr="00DC5207" w:rsidR="00145E5D" w:rsidP="00DC5207" w:rsidRDefault="00145E5D" w14:paraId="5D9F573C" w14:textId="136CC124">
                  <w:pPr>
                    <w:spacing w:before="0" w:after="0"/>
                    <w:jc w:val="right"/>
                    <w:rPr>
                      <w:rFonts w:ascii="Verdana" w:hAnsi="Verdana"/>
                      <w:color w:val="000000"/>
                      <w:sz w:val="18"/>
                      <w:szCs w:val="18"/>
                    </w:rPr>
                  </w:pPr>
                  <w:r w:rsidRPr="00DC5207">
                    <w:rPr>
                      <w:rFonts w:ascii="Verdana" w:hAnsi="Verdana"/>
                      <w:color w:val="000000"/>
                      <w:sz w:val="18"/>
                      <w:szCs w:val="18"/>
                    </w:rPr>
                    <w:lastRenderedPageBreak/>
                    <w:t> Bedragen in miljoenen EUR</w:t>
                  </w:r>
                </w:p>
              </w:tc>
            </w:tr>
            <w:tr w:rsidRPr="00DC5207" w:rsidR="00145E5D" w:rsidTr="00DC5207" w14:paraId="3C2579C8" w14:textId="77777777">
              <w:trPr>
                <w:trHeight w:val="230"/>
              </w:trPr>
              <w:tc>
                <w:tcPr>
                  <w:tcW w:w="854" w:type="dxa"/>
                  <w:tcBorders>
                    <w:top w:val="nil"/>
                    <w:left w:val="single" w:color="00B0F0" w:sz="4" w:space="0"/>
                    <w:bottom w:val="nil"/>
                    <w:right w:val="nil"/>
                  </w:tcBorders>
                  <w:shd w:val="clear" w:color="auto" w:fill="auto"/>
                  <w:noWrap/>
                  <w:vAlign w:val="bottom"/>
                  <w:hideMark/>
                </w:tcPr>
                <w:p w:rsidRPr="00DC5207" w:rsidR="00145E5D" w:rsidP="00DC5207" w:rsidRDefault="00145E5D" w14:paraId="3FEFB665" w14:textId="77777777">
                  <w:pPr>
                    <w:spacing w:before="0" w:after="0"/>
                    <w:jc w:val="right"/>
                    <w:rPr>
                      <w:rFonts w:ascii="Verdana" w:hAnsi="Verdana"/>
                      <w:b/>
                      <w:bCs/>
                      <w:color w:val="000000"/>
                      <w:sz w:val="18"/>
                      <w:szCs w:val="18"/>
                    </w:rPr>
                  </w:pPr>
                  <w:r w:rsidRPr="00DC5207">
                    <w:rPr>
                      <w:rFonts w:ascii="Verdana" w:hAnsi="Verdana"/>
                      <w:b/>
                      <w:bCs/>
                      <w:color w:val="000000"/>
                      <w:sz w:val="18"/>
                      <w:szCs w:val="18"/>
                    </w:rPr>
                    <w:t>2025</w:t>
                  </w:r>
                </w:p>
              </w:tc>
              <w:tc>
                <w:tcPr>
                  <w:tcW w:w="810" w:type="dxa"/>
                  <w:tcBorders>
                    <w:top w:val="nil"/>
                    <w:left w:val="nil"/>
                    <w:bottom w:val="nil"/>
                    <w:right w:val="nil"/>
                  </w:tcBorders>
                  <w:shd w:val="clear" w:color="auto" w:fill="auto"/>
                  <w:noWrap/>
                  <w:vAlign w:val="bottom"/>
                  <w:hideMark/>
                </w:tcPr>
                <w:p w:rsidRPr="00DC5207" w:rsidR="00145E5D" w:rsidP="00DC5207" w:rsidRDefault="00145E5D" w14:paraId="6A350C38" w14:textId="77777777">
                  <w:pPr>
                    <w:spacing w:before="0" w:after="0"/>
                    <w:jc w:val="right"/>
                    <w:rPr>
                      <w:rFonts w:ascii="Verdana" w:hAnsi="Verdana"/>
                      <w:b/>
                      <w:bCs/>
                      <w:color w:val="000000"/>
                      <w:sz w:val="18"/>
                      <w:szCs w:val="18"/>
                    </w:rPr>
                  </w:pPr>
                  <w:r w:rsidRPr="00DC5207">
                    <w:rPr>
                      <w:rFonts w:ascii="Verdana" w:hAnsi="Verdana"/>
                      <w:b/>
                      <w:bCs/>
                      <w:color w:val="000000"/>
                      <w:sz w:val="18"/>
                      <w:szCs w:val="18"/>
                    </w:rPr>
                    <w:t>2026</w:t>
                  </w:r>
                </w:p>
              </w:tc>
              <w:tc>
                <w:tcPr>
                  <w:tcW w:w="810" w:type="dxa"/>
                  <w:tcBorders>
                    <w:top w:val="nil"/>
                    <w:left w:val="nil"/>
                    <w:bottom w:val="nil"/>
                    <w:right w:val="nil"/>
                  </w:tcBorders>
                  <w:shd w:val="clear" w:color="auto" w:fill="auto"/>
                  <w:noWrap/>
                  <w:vAlign w:val="bottom"/>
                  <w:hideMark/>
                </w:tcPr>
                <w:p w:rsidRPr="00DC5207" w:rsidR="00145E5D" w:rsidP="00DC5207" w:rsidRDefault="00145E5D" w14:paraId="10229DC8" w14:textId="77777777">
                  <w:pPr>
                    <w:spacing w:before="0" w:after="0"/>
                    <w:jc w:val="right"/>
                    <w:rPr>
                      <w:rFonts w:ascii="Verdana" w:hAnsi="Verdana"/>
                      <w:b/>
                      <w:bCs/>
                      <w:color w:val="000000"/>
                      <w:sz w:val="18"/>
                      <w:szCs w:val="18"/>
                    </w:rPr>
                  </w:pPr>
                  <w:r w:rsidRPr="00DC5207">
                    <w:rPr>
                      <w:rFonts w:ascii="Verdana" w:hAnsi="Verdana"/>
                      <w:b/>
                      <w:bCs/>
                      <w:color w:val="000000"/>
                      <w:sz w:val="18"/>
                      <w:szCs w:val="18"/>
                    </w:rPr>
                    <w:t>2027</w:t>
                  </w:r>
                </w:p>
              </w:tc>
              <w:tc>
                <w:tcPr>
                  <w:tcW w:w="900" w:type="dxa"/>
                  <w:tcBorders>
                    <w:top w:val="nil"/>
                    <w:left w:val="nil"/>
                    <w:bottom w:val="nil"/>
                    <w:right w:val="nil"/>
                  </w:tcBorders>
                  <w:shd w:val="clear" w:color="auto" w:fill="auto"/>
                  <w:noWrap/>
                  <w:vAlign w:val="bottom"/>
                  <w:hideMark/>
                </w:tcPr>
                <w:p w:rsidRPr="00DC5207" w:rsidR="00145E5D" w:rsidP="00DC5207" w:rsidRDefault="00145E5D" w14:paraId="1B0BC88A" w14:textId="77777777">
                  <w:pPr>
                    <w:spacing w:before="0" w:after="0"/>
                    <w:jc w:val="right"/>
                    <w:rPr>
                      <w:rFonts w:ascii="Verdana" w:hAnsi="Verdana"/>
                      <w:b/>
                      <w:bCs/>
                      <w:color w:val="000000"/>
                      <w:sz w:val="18"/>
                      <w:szCs w:val="18"/>
                    </w:rPr>
                  </w:pPr>
                  <w:r w:rsidRPr="00DC5207">
                    <w:rPr>
                      <w:rFonts w:ascii="Verdana" w:hAnsi="Verdana"/>
                      <w:b/>
                      <w:bCs/>
                      <w:color w:val="000000"/>
                      <w:sz w:val="18"/>
                      <w:szCs w:val="18"/>
                    </w:rPr>
                    <w:t>2028</w:t>
                  </w:r>
                </w:p>
              </w:tc>
              <w:tc>
                <w:tcPr>
                  <w:tcW w:w="1080" w:type="dxa"/>
                  <w:tcBorders>
                    <w:top w:val="nil"/>
                    <w:left w:val="nil"/>
                    <w:bottom w:val="nil"/>
                    <w:right w:val="nil"/>
                  </w:tcBorders>
                  <w:shd w:val="clear" w:color="auto" w:fill="auto"/>
                  <w:noWrap/>
                  <w:vAlign w:val="bottom"/>
                  <w:hideMark/>
                </w:tcPr>
                <w:p w:rsidRPr="00DC5207" w:rsidR="00145E5D" w:rsidP="00DC5207" w:rsidRDefault="00145E5D" w14:paraId="2E192988" w14:textId="77777777">
                  <w:pPr>
                    <w:spacing w:before="0" w:after="0"/>
                    <w:jc w:val="right"/>
                    <w:rPr>
                      <w:rFonts w:ascii="Verdana" w:hAnsi="Verdana"/>
                      <w:b/>
                      <w:bCs/>
                      <w:color w:val="000000"/>
                      <w:sz w:val="18"/>
                      <w:szCs w:val="18"/>
                    </w:rPr>
                  </w:pPr>
                  <w:r w:rsidRPr="00DC5207">
                    <w:rPr>
                      <w:rFonts w:ascii="Verdana" w:hAnsi="Verdana"/>
                      <w:b/>
                      <w:bCs/>
                      <w:color w:val="000000"/>
                      <w:sz w:val="18"/>
                      <w:szCs w:val="18"/>
                    </w:rPr>
                    <w:t>2029</w:t>
                  </w:r>
                </w:p>
              </w:tc>
              <w:tc>
                <w:tcPr>
                  <w:tcW w:w="1619" w:type="dxa"/>
                  <w:tcBorders>
                    <w:top w:val="nil"/>
                    <w:left w:val="nil"/>
                    <w:bottom w:val="nil"/>
                    <w:right w:val="single" w:color="00B0F0" w:sz="4" w:space="0"/>
                  </w:tcBorders>
                  <w:shd w:val="clear" w:color="auto" w:fill="auto"/>
                  <w:noWrap/>
                  <w:vAlign w:val="bottom"/>
                  <w:hideMark/>
                </w:tcPr>
                <w:p w:rsidRPr="00DC5207" w:rsidR="00145E5D" w:rsidP="00DC5207" w:rsidRDefault="00145E5D" w14:paraId="165B0041" w14:textId="77777777">
                  <w:pPr>
                    <w:spacing w:before="0" w:after="0"/>
                    <w:jc w:val="right"/>
                    <w:rPr>
                      <w:rFonts w:ascii="Verdana" w:hAnsi="Verdana"/>
                      <w:b/>
                      <w:bCs/>
                      <w:color w:val="000000"/>
                      <w:sz w:val="18"/>
                      <w:szCs w:val="18"/>
                    </w:rPr>
                  </w:pPr>
                  <w:r w:rsidRPr="00DC5207">
                    <w:rPr>
                      <w:rFonts w:ascii="Verdana" w:hAnsi="Verdana"/>
                      <w:b/>
                      <w:bCs/>
                      <w:color w:val="000000"/>
                      <w:sz w:val="18"/>
                      <w:szCs w:val="18"/>
                    </w:rPr>
                    <w:t>Structureel</w:t>
                  </w:r>
                </w:p>
              </w:tc>
            </w:tr>
            <w:tr w:rsidRPr="00DC5207" w:rsidR="00145E5D" w:rsidTr="00DC5207" w14:paraId="1482E860" w14:textId="77777777">
              <w:trPr>
                <w:trHeight w:val="230"/>
              </w:trPr>
              <w:tc>
                <w:tcPr>
                  <w:tcW w:w="854" w:type="dxa"/>
                  <w:tcBorders>
                    <w:top w:val="nil"/>
                    <w:left w:val="single" w:color="00B0F0" w:sz="4" w:space="0"/>
                    <w:bottom w:val="single" w:color="00B0F0" w:sz="4" w:space="0"/>
                    <w:right w:val="nil"/>
                  </w:tcBorders>
                  <w:shd w:val="clear" w:color="auto" w:fill="auto"/>
                  <w:noWrap/>
                  <w:vAlign w:val="bottom"/>
                  <w:hideMark/>
                </w:tcPr>
                <w:p w:rsidRPr="00DC5207" w:rsidR="00145E5D" w:rsidP="00DC5207" w:rsidRDefault="00145E5D" w14:paraId="04BDC208" w14:textId="77777777">
                  <w:pPr>
                    <w:spacing w:before="0" w:after="0"/>
                    <w:jc w:val="right"/>
                    <w:rPr>
                      <w:rFonts w:ascii="Verdana" w:hAnsi="Verdana"/>
                      <w:color w:val="000000"/>
                      <w:sz w:val="18"/>
                      <w:szCs w:val="18"/>
                    </w:rPr>
                  </w:pPr>
                  <w:r w:rsidRPr="00DC5207">
                    <w:rPr>
                      <w:rFonts w:ascii="Verdana" w:hAnsi="Verdana"/>
                      <w:color w:val="000000"/>
                      <w:sz w:val="18"/>
                      <w:szCs w:val="18"/>
                    </w:rPr>
                    <w:t>34,595</w:t>
                  </w:r>
                </w:p>
              </w:tc>
              <w:tc>
                <w:tcPr>
                  <w:tcW w:w="810" w:type="dxa"/>
                  <w:tcBorders>
                    <w:top w:val="nil"/>
                    <w:left w:val="nil"/>
                    <w:bottom w:val="single" w:color="00B0F0" w:sz="4" w:space="0"/>
                    <w:right w:val="nil"/>
                  </w:tcBorders>
                  <w:shd w:val="clear" w:color="auto" w:fill="auto"/>
                  <w:noWrap/>
                  <w:vAlign w:val="bottom"/>
                  <w:hideMark/>
                </w:tcPr>
                <w:p w:rsidRPr="00DC5207" w:rsidR="00145E5D" w:rsidP="00DC5207" w:rsidRDefault="00145E5D" w14:paraId="7EC94E3F" w14:textId="77777777">
                  <w:pPr>
                    <w:spacing w:before="0" w:after="0"/>
                    <w:jc w:val="right"/>
                    <w:rPr>
                      <w:rFonts w:ascii="Verdana" w:hAnsi="Verdana"/>
                      <w:color w:val="000000"/>
                      <w:sz w:val="18"/>
                      <w:szCs w:val="18"/>
                    </w:rPr>
                  </w:pPr>
                  <w:r w:rsidRPr="00DC5207">
                    <w:rPr>
                      <w:rFonts w:ascii="Verdana" w:hAnsi="Verdana"/>
                      <w:color w:val="000000"/>
                      <w:sz w:val="18"/>
                      <w:szCs w:val="18"/>
                    </w:rPr>
                    <w:t>64,395</w:t>
                  </w:r>
                </w:p>
              </w:tc>
              <w:tc>
                <w:tcPr>
                  <w:tcW w:w="810" w:type="dxa"/>
                  <w:tcBorders>
                    <w:top w:val="nil"/>
                    <w:left w:val="nil"/>
                    <w:bottom w:val="single" w:color="00B0F0" w:sz="4" w:space="0"/>
                    <w:right w:val="nil"/>
                  </w:tcBorders>
                  <w:shd w:val="clear" w:color="auto" w:fill="auto"/>
                  <w:noWrap/>
                  <w:vAlign w:val="bottom"/>
                  <w:hideMark/>
                </w:tcPr>
                <w:p w:rsidRPr="00DC5207" w:rsidR="00145E5D" w:rsidP="00DC5207" w:rsidRDefault="00145E5D" w14:paraId="0BCBC093" w14:textId="77777777">
                  <w:pPr>
                    <w:spacing w:before="0" w:after="0"/>
                    <w:jc w:val="right"/>
                    <w:rPr>
                      <w:rFonts w:ascii="Verdana" w:hAnsi="Verdana"/>
                      <w:color w:val="000000"/>
                      <w:sz w:val="18"/>
                      <w:szCs w:val="18"/>
                    </w:rPr>
                  </w:pPr>
                  <w:r w:rsidRPr="00DC5207">
                    <w:rPr>
                      <w:rFonts w:ascii="Verdana" w:hAnsi="Verdana"/>
                      <w:color w:val="000000"/>
                      <w:sz w:val="18"/>
                      <w:szCs w:val="18"/>
                    </w:rPr>
                    <w:t>92,695</w:t>
                  </w:r>
                </w:p>
              </w:tc>
              <w:tc>
                <w:tcPr>
                  <w:tcW w:w="900" w:type="dxa"/>
                  <w:tcBorders>
                    <w:top w:val="nil"/>
                    <w:left w:val="nil"/>
                    <w:bottom w:val="single" w:color="00B0F0" w:sz="4" w:space="0"/>
                    <w:right w:val="nil"/>
                  </w:tcBorders>
                  <w:shd w:val="clear" w:color="auto" w:fill="auto"/>
                  <w:noWrap/>
                  <w:vAlign w:val="bottom"/>
                  <w:hideMark/>
                </w:tcPr>
                <w:p w:rsidRPr="00DC5207" w:rsidR="00145E5D" w:rsidP="00DC5207" w:rsidRDefault="00145E5D" w14:paraId="22A77A48" w14:textId="77777777">
                  <w:pPr>
                    <w:spacing w:before="0" w:after="0"/>
                    <w:jc w:val="right"/>
                    <w:rPr>
                      <w:rFonts w:ascii="Verdana" w:hAnsi="Verdana"/>
                      <w:color w:val="000000"/>
                      <w:sz w:val="18"/>
                      <w:szCs w:val="18"/>
                    </w:rPr>
                  </w:pPr>
                  <w:r w:rsidRPr="00DC5207">
                    <w:rPr>
                      <w:rFonts w:ascii="Verdana" w:hAnsi="Verdana"/>
                      <w:color w:val="000000"/>
                      <w:sz w:val="18"/>
                      <w:szCs w:val="18"/>
                    </w:rPr>
                    <w:t>121,095</w:t>
                  </w:r>
                </w:p>
              </w:tc>
              <w:tc>
                <w:tcPr>
                  <w:tcW w:w="1080" w:type="dxa"/>
                  <w:tcBorders>
                    <w:top w:val="nil"/>
                    <w:left w:val="nil"/>
                    <w:bottom w:val="single" w:color="00B0F0" w:sz="4" w:space="0"/>
                    <w:right w:val="nil"/>
                  </w:tcBorders>
                  <w:shd w:val="clear" w:color="auto" w:fill="auto"/>
                  <w:noWrap/>
                  <w:vAlign w:val="bottom"/>
                  <w:hideMark/>
                </w:tcPr>
                <w:p w:rsidRPr="00DC5207" w:rsidR="00145E5D" w:rsidP="00DC5207" w:rsidRDefault="00145E5D" w14:paraId="0E0ADC73" w14:textId="77777777">
                  <w:pPr>
                    <w:spacing w:before="0" w:after="0"/>
                    <w:jc w:val="right"/>
                    <w:rPr>
                      <w:rFonts w:ascii="Verdana" w:hAnsi="Verdana"/>
                      <w:color w:val="000000"/>
                      <w:sz w:val="18"/>
                      <w:szCs w:val="18"/>
                    </w:rPr>
                  </w:pPr>
                  <w:r w:rsidRPr="00DC5207">
                    <w:rPr>
                      <w:rFonts w:ascii="Verdana" w:hAnsi="Verdana"/>
                      <w:color w:val="000000"/>
                      <w:sz w:val="18"/>
                      <w:szCs w:val="18"/>
                    </w:rPr>
                    <w:t>132,495</w:t>
                  </w:r>
                </w:p>
              </w:tc>
              <w:tc>
                <w:tcPr>
                  <w:tcW w:w="1619" w:type="dxa"/>
                  <w:tcBorders>
                    <w:top w:val="nil"/>
                    <w:left w:val="nil"/>
                    <w:bottom w:val="single" w:color="00B0F0" w:sz="4" w:space="0"/>
                    <w:right w:val="single" w:color="00B0F0" w:sz="4" w:space="0"/>
                  </w:tcBorders>
                  <w:shd w:val="clear" w:color="auto" w:fill="auto"/>
                  <w:noWrap/>
                  <w:vAlign w:val="bottom"/>
                  <w:hideMark/>
                </w:tcPr>
                <w:p w:rsidRPr="00DC5207" w:rsidR="00145E5D" w:rsidP="00DC5207" w:rsidRDefault="00145E5D" w14:paraId="51B7D568" w14:textId="77777777">
                  <w:pPr>
                    <w:spacing w:before="0" w:after="0"/>
                    <w:jc w:val="right"/>
                    <w:rPr>
                      <w:rFonts w:ascii="Verdana" w:hAnsi="Verdana"/>
                      <w:color w:val="000000"/>
                      <w:sz w:val="18"/>
                      <w:szCs w:val="18"/>
                    </w:rPr>
                  </w:pPr>
                  <w:r w:rsidRPr="00DC5207">
                    <w:rPr>
                      <w:rFonts w:ascii="Verdana" w:hAnsi="Verdana"/>
                      <w:color w:val="000000"/>
                      <w:sz w:val="18"/>
                      <w:szCs w:val="18"/>
                    </w:rPr>
                    <w:t>132,495</w:t>
                  </w:r>
                </w:p>
              </w:tc>
            </w:tr>
          </w:tbl>
          <w:p w:rsidR="00145E5D" w:rsidP="00592414" w:rsidRDefault="00145E5D" w14:paraId="535B5BDD" w14:textId="35C1F0BC">
            <w:pPr>
              <w:rPr>
                <w:b/>
                <w:bCs/>
              </w:rPr>
            </w:pPr>
            <w:r>
              <w:rPr>
                <w:b/>
                <w:bCs/>
              </w:rPr>
              <w:t>Z</w:t>
            </w:r>
            <w:r w:rsidRPr="008A16FE">
              <w:rPr>
                <w:b/>
                <w:bCs/>
              </w:rPr>
              <w:t xml:space="preserve">owel </w:t>
            </w:r>
            <w:r>
              <w:rPr>
                <w:b/>
                <w:bCs/>
              </w:rPr>
              <w:t xml:space="preserve"> het </w:t>
            </w:r>
            <w:r w:rsidRPr="008A16FE">
              <w:rPr>
                <w:b/>
                <w:bCs/>
              </w:rPr>
              <w:t xml:space="preserve">kerndepartement van BZ als het postennet </w:t>
            </w:r>
            <w:r>
              <w:rPr>
                <w:b/>
                <w:bCs/>
              </w:rPr>
              <w:t xml:space="preserve">maken </w:t>
            </w:r>
            <w:r w:rsidRPr="008A16FE">
              <w:rPr>
                <w:b/>
                <w:bCs/>
              </w:rPr>
              <w:t>onderdeel uit</w:t>
            </w:r>
            <w:r w:rsidR="00C14622">
              <w:rPr>
                <w:b/>
                <w:bCs/>
              </w:rPr>
              <w:t xml:space="preserve"> </w:t>
            </w:r>
            <w:r w:rsidRPr="008A16FE">
              <w:rPr>
                <w:b/>
                <w:bCs/>
              </w:rPr>
              <w:t xml:space="preserve">van de grondslag. De taakstelling op het postennet is in het Regeerprogramma verlaagd van 22% naar 10% ten behoeve van </w:t>
            </w:r>
            <w:r w:rsidR="00AD1D3B">
              <w:rPr>
                <w:b/>
                <w:bCs/>
              </w:rPr>
              <w:t xml:space="preserve">de instandhouding van </w:t>
            </w:r>
            <w:r w:rsidR="007B4AC8">
              <w:rPr>
                <w:b/>
                <w:bCs/>
              </w:rPr>
              <w:t>een adequaat</w:t>
            </w:r>
            <w:r w:rsidRPr="008A16FE">
              <w:rPr>
                <w:b/>
                <w:bCs/>
              </w:rPr>
              <w:t xml:space="preserve"> postennet.</w:t>
            </w:r>
          </w:p>
          <w:p w:rsidR="00145E5D" w:rsidRDefault="00145E5D" w14:paraId="76EE373B" w14:textId="6B00391F"/>
        </w:tc>
        <w:tc>
          <w:tcPr>
            <w:tcW w:w="855" w:type="dxa"/>
          </w:tcPr>
          <w:p w:rsidR="00145E5D" w:rsidRDefault="00145E5D" w14:paraId="77F610B8" w14:textId="77777777">
            <w:pPr>
              <w:jc w:val="right"/>
            </w:pPr>
            <w:r>
              <w:lastRenderedPageBreak/>
              <w:t>24</w:t>
            </w:r>
          </w:p>
        </w:tc>
        <w:tc>
          <w:tcPr>
            <w:tcW w:w="567" w:type="dxa"/>
          </w:tcPr>
          <w:p w:rsidR="00145E5D" w:rsidRDefault="00145E5D" w14:paraId="35EC5449" w14:textId="77777777">
            <w:pPr>
              <w:jc w:val="right"/>
            </w:pPr>
            <w:r>
              <w:t xml:space="preserve"> </w:t>
            </w:r>
          </w:p>
        </w:tc>
      </w:tr>
      <w:tr w:rsidR="00145E5D" w:rsidTr="00BE5B54" w14:paraId="614AC00C" w14:textId="77777777">
        <w:tc>
          <w:tcPr>
            <w:tcW w:w="567" w:type="dxa"/>
          </w:tcPr>
          <w:p w:rsidR="00145E5D" w:rsidRDefault="00145E5D" w14:paraId="77587093" w14:textId="77777777">
            <w:r>
              <w:t>34</w:t>
            </w:r>
          </w:p>
        </w:tc>
        <w:tc>
          <w:tcPr>
            <w:tcW w:w="6521" w:type="dxa"/>
          </w:tcPr>
          <w:p w:rsidR="00145E5D" w:rsidRDefault="00145E5D" w14:paraId="2B9E3017" w14:textId="77777777">
            <w:r>
              <w:t>Wat is de realisatie van deze taakstelling voor het jaar 2024 en wat is de voortgang voor 2025?</w:t>
            </w:r>
          </w:p>
          <w:p w:rsidR="00145E5D" w:rsidRDefault="00145E5D" w14:paraId="330E45CC" w14:textId="77777777"/>
          <w:p w:rsidRPr="001B4F06" w:rsidR="00145E5D" w:rsidP="009B5640" w:rsidRDefault="00145E5D" w14:paraId="459860A0" w14:textId="77777777">
            <w:pPr>
              <w:spacing w:before="0" w:after="0"/>
            </w:pPr>
            <w:r w:rsidRPr="001B4F06">
              <w:t>Antwoord:</w:t>
            </w:r>
          </w:p>
          <w:p w:rsidR="00145E5D" w:rsidP="009B5640" w:rsidRDefault="00145E5D" w14:paraId="381C5F0D" w14:textId="67FF02E3">
            <w:pPr>
              <w:spacing w:before="0" w:after="0"/>
              <w:rPr>
                <w:b/>
              </w:rPr>
            </w:pPr>
            <w:r w:rsidRPr="009B5640">
              <w:rPr>
                <w:b/>
              </w:rPr>
              <w:t xml:space="preserve">De taakstelling </w:t>
            </w:r>
            <w:r w:rsidR="00354049">
              <w:rPr>
                <w:b/>
              </w:rPr>
              <w:t>start in 2025 en is structureel vanaf 2029.</w:t>
            </w:r>
            <w:r w:rsidRPr="009B5640">
              <w:rPr>
                <w:b/>
              </w:rPr>
              <w:t xml:space="preserve"> Voor 2025 is deze volledig ingevuld met beleidsarme technische maatregelen. Deze zijn verwerkt in de voorjaarsnota. </w:t>
            </w:r>
          </w:p>
          <w:p w:rsidR="00145E5D" w:rsidP="004F2A2C" w:rsidRDefault="00145E5D" w14:paraId="16E3A6AC" w14:textId="77777777">
            <w:pPr>
              <w:spacing w:before="0" w:after="0"/>
            </w:pPr>
          </w:p>
        </w:tc>
        <w:tc>
          <w:tcPr>
            <w:tcW w:w="855" w:type="dxa"/>
          </w:tcPr>
          <w:p w:rsidR="00145E5D" w:rsidRDefault="00145E5D" w14:paraId="16AB8928" w14:textId="77777777">
            <w:pPr>
              <w:jc w:val="right"/>
            </w:pPr>
            <w:r>
              <w:t>24</w:t>
            </w:r>
          </w:p>
        </w:tc>
        <w:tc>
          <w:tcPr>
            <w:tcW w:w="567" w:type="dxa"/>
          </w:tcPr>
          <w:p w:rsidR="00145E5D" w:rsidRDefault="00145E5D" w14:paraId="4DB985B1" w14:textId="77777777">
            <w:pPr>
              <w:jc w:val="right"/>
            </w:pPr>
            <w:r>
              <w:t xml:space="preserve"> </w:t>
            </w:r>
          </w:p>
        </w:tc>
      </w:tr>
      <w:tr w:rsidR="00145E5D" w:rsidTr="00BE5B54" w14:paraId="2F275D64" w14:textId="77777777">
        <w:tc>
          <w:tcPr>
            <w:tcW w:w="567" w:type="dxa"/>
          </w:tcPr>
          <w:p w:rsidR="00145E5D" w:rsidRDefault="00145E5D" w14:paraId="0BB68A05" w14:textId="77777777">
            <w:r>
              <w:t>35</w:t>
            </w:r>
          </w:p>
        </w:tc>
        <w:tc>
          <w:tcPr>
            <w:tcW w:w="6521" w:type="dxa"/>
          </w:tcPr>
          <w:p w:rsidR="00145E5D" w:rsidRDefault="00145E5D" w14:paraId="3322B3FF" w14:textId="77777777">
            <w:r>
              <w:t>Welk deel van die taakstelling wordt ingevuld vanuit apparaatsgelden en welk deel vanuit andere middelen en welke zijn dat?</w:t>
            </w:r>
          </w:p>
          <w:p w:rsidR="00145E5D" w:rsidRDefault="00145E5D" w14:paraId="627A2B9B" w14:textId="77777777"/>
          <w:p w:rsidRPr="00D35E79" w:rsidR="00D35E79" w:rsidP="00D35E79" w:rsidRDefault="00D35E79" w14:paraId="6E5EB9F0" w14:textId="77777777">
            <w:pPr>
              <w:rPr>
                <w:b/>
                <w:bCs/>
              </w:rPr>
            </w:pPr>
            <w:r w:rsidRPr="00D35E79">
              <w:rPr>
                <w:b/>
                <w:bCs/>
              </w:rPr>
              <w:t>Antwoord:</w:t>
            </w:r>
          </w:p>
          <w:p w:rsidR="00145E5D" w:rsidP="004F2A2C" w:rsidRDefault="00145E5D" w14:paraId="1A836583" w14:textId="27EFB1EB">
            <w:pPr>
              <w:spacing w:before="0" w:after="0"/>
              <w:rPr>
                <w:b/>
                <w:bCs/>
              </w:rPr>
            </w:pPr>
            <w:r w:rsidRPr="009B5640">
              <w:rPr>
                <w:b/>
                <w:bCs/>
              </w:rPr>
              <w:t xml:space="preserve">Het ministerie van Buitenlandse Zaken kent een </w:t>
            </w:r>
            <w:r>
              <w:rPr>
                <w:b/>
                <w:bCs/>
              </w:rPr>
              <w:t>bezuiniging</w:t>
            </w:r>
            <w:r w:rsidRPr="009B5640">
              <w:rPr>
                <w:b/>
                <w:bCs/>
              </w:rPr>
              <w:t xml:space="preserve"> op het ODA budget, een </w:t>
            </w:r>
            <w:r>
              <w:rPr>
                <w:b/>
                <w:bCs/>
              </w:rPr>
              <w:t>bezuiniging</w:t>
            </w:r>
            <w:r w:rsidRPr="009B5640">
              <w:rPr>
                <w:b/>
                <w:bCs/>
              </w:rPr>
              <w:t xml:space="preserve"> op de non-ODA programmagelden en een apparaatstaakstelling. De taakstelling op het apparaat wordt grotendeels ingevuld door bezuinigingen op personele en materiële budgetten. Een minimaal deel wordt ingevuld door programmageld. </w:t>
            </w:r>
          </w:p>
          <w:p w:rsidR="00145E5D" w:rsidP="004F2A2C" w:rsidRDefault="00145E5D" w14:paraId="74D98661" w14:textId="77777777">
            <w:pPr>
              <w:spacing w:before="0" w:after="0"/>
            </w:pPr>
          </w:p>
        </w:tc>
        <w:tc>
          <w:tcPr>
            <w:tcW w:w="855" w:type="dxa"/>
          </w:tcPr>
          <w:p w:rsidR="00145E5D" w:rsidRDefault="00145E5D" w14:paraId="591BD398" w14:textId="77777777">
            <w:pPr>
              <w:jc w:val="right"/>
            </w:pPr>
            <w:r>
              <w:t>24</w:t>
            </w:r>
          </w:p>
        </w:tc>
        <w:tc>
          <w:tcPr>
            <w:tcW w:w="567" w:type="dxa"/>
          </w:tcPr>
          <w:p w:rsidR="00145E5D" w:rsidRDefault="00145E5D" w14:paraId="1B914596" w14:textId="77777777">
            <w:pPr>
              <w:jc w:val="right"/>
            </w:pPr>
            <w:r>
              <w:t xml:space="preserve"> </w:t>
            </w:r>
          </w:p>
        </w:tc>
      </w:tr>
      <w:tr w:rsidR="00145E5D" w:rsidTr="00BE5B54" w14:paraId="33926D2D" w14:textId="77777777">
        <w:tc>
          <w:tcPr>
            <w:tcW w:w="567" w:type="dxa"/>
          </w:tcPr>
          <w:p w:rsidR="00145E5D" w:rsidRDefault="00145E5D" w14:paraId="14368D43" w14:textId="77777777">
            <w:r>
              <w:t>36</w:t>
            </w:r>
          </w:p>
        </w:tc>
        <w:tc>
          <w:tcPr>
            <w:tcW w:w="6521" w:type="dxa"/>
          </w:tcPr>
          <w:p w:rsidR="00145E5D" w:rsidRDefault="00145E5D" w14:paraId="21E043A8" w14:textId="77777777">
            <w:r>
              <w:t>Welke ICT-vernieuwingen zullen niet of later plaatsvinden als gevolg van de taakstelling op apparaatskosten?</w:t>
            </w:r>
          </w:p>
          <w:p w:rsidR="00145E5D" w:rsidRDefault="00145E5D" w14:paraId="438DCFC5" w14:textId="77777777"/>
          <w:p w:rsidRPr="00D35E79" w:rsidR="00D35E79" w:rsidP="00D35E79" w:rsidRDefault="00D35E79" w14:paraId="5472EF26" w14:textId="77777777">
            <w:pPr>
              <w:rPr>
                <w:b/>
                <w:bCs/>
              </w:rPr>
            </w:pPr>
            <w:r w:rsidRPr="00D35E79">
              <w:rPr>
                <w:b/>
                <w:bCs/>
              </w:rPr>
              <w:t>Antwoord:</w:t>
            </w:r>
          </w:p>
          <w:p w:rsidRPr="00423588" w:rsidR="00145E5D" w:rsidP="008D2C32" w:rsidRDefault="00145E5D" w14:paraId="137682DD" w14:textId="48215151">
            <w:pPr>
              <w:rPr>
                <w:b/>
                <w:bCs/>
              </w:rPr>
            </w:pPr>
            <w:r w:rsidRPr="00423588">
              <w:rPr>
                <w:b/>
                <w:bCs/>
              </w:rPr>
              <w:t>In het Hoofdlijnenplan BZ is opgenomen dat het ontwikkelbudget voor I-vernieuwingsprojecten structureel wordt verlaagd. I-vernieuwingsprojecten zijn projecten met een IT-component en een vernieuwingscomponent. Door de taakstelling op de apparaatskosten zijn de komende jaren minder personele en materiële middelen beschikbaar voor het I-(</w:t>
            </w:r>
            <w:proofErr w:type="spellStart"/>
            <w:r w:rsidRPr="00423588">
              <w:rPr>
                <w:b/>
                <w:bCs/>
              </w:rPr>
              <w:t>vernieuwings</w:t>
            </w:r>
            <w:proofErr w:type="spellEnd"/>
            <w:r w:rsidRPr="00423588">
              <w:rPr>
                <w:b/>
                <w:bCs/>
              </w:rPr>
              <w:t>)portfolio. Het structurele karakter van de korting beperkt de mogelijkheden om in de komende jaren I-vernieuwingsprojecten op te starten. Dit zal ertoe leiden dat er scherpe keuzes gemaakt moeten worden en er meer nadruk zal liggen op projecten ten behoeve van de continuïteit van BZ-processen, het voldoen aan wet- en regelgeving en vervanging van end-of-life/end-of-support applicaties. ICT-vernieuwing met oog op verhoging van de cyberweerbaarheid en met het oog op ontwikkeling van AI zal wel zoveel mogelijk doorgang vinden.</w:t>
            </w:r>
          </w:p>
          <w:p w:rsidR="00145E5D" w:rsidRDefault="00145E5D" w14:paraId="0BD60535" w14:textId="3D212D31"/>
        </w:tc>
        <w:tc>
          <w:tcPr>
            <w:tcW w:w="855" w:type="dxa"/>
          </w:tcPr>
          <w:p w:rsidR="00145E5D" w:rsidRDefault="00145E5D" w14:paraId="07CA0EFC" w14:textId="77777777">
            <w:pPr>
              <w:jc w:val="right"/>
            </w:pPr>
            <w:r>
              <w:t>24</w:t>
            </w:r>
          </w:p>
        </w:tc>
        <w:tc>
          <w:tcPr>
            <w:tcW w:w="567" w:type="dxa"/>
          </w:tcPr>
          <w:p w:rsidR="00145E5D" w:rsidRDefault="00145E5D" w14:paraId="6DAD7C9C" w14:textId="77777777">
            <w:pPr>
              <w:jc w:val="right"/>
            </w:pPr>
            <w:r>
              <w:t xml:space="preserve"> </w:t>
            </w:r>
          </w:p>
        </w:tc>
      </w:tr>
      <w:tr w:rsidR="00145E5D" w:rsidTr="00BE5B54" w14:paraId="72AEEDA4" w14:textId="77777777">
        <w:tc>
          <w:tcPr>
            <w:tcW w:w="567" w:type="dxa"/>
          </w:tcPr>
          <w:p w:rsidR="00145E5D" w:rsidRDefault="00145E5D" w14:paraId="13731E9C" w14:textId="77777777">
            <w:r>
              <w:t>37</w:t>
            </w:r>
          </w:p>
        </w:tc>
        <w:tc>
          <w:tcPr>
            <w:tcW w:w="6521" w:type="dxa"/>
          </w:tcPr>
          <w:p w:rsidR="00145E5D" w:rsidRDefault="00145E5D" w14:paraId="5D540BF9" w14:textId="77777777">
            <w:r>
              <w:t>⁠Welk deel van deze taakstelling valt neer bij uitvoeringsorganisaties en wat zijn hier de operationele gevolgen van?</w:t>
            </w:r>
          </w:p>
          <w:p w:rsidR="00145E5D" w:rsidRDefault="00145E5D" w14:paraId="79BCB6D8" w14:textId="77777777"/>
          <w:p w:rsidR="00D35E79" w:rsidP="00D35E79" w:rsidRDefault="00D35E79" w14:paraId="0B90DBEF" w14:textId="77777777">
            <w:pPr>
              <w:rPr>
                <w:b/>
                <w:bCs/>
              </w:rPr>
            </w:pPr>
            <w:r w:rsidRPr="00D35E79">
              <w:rPr>
                <w:b/>
                <w:bCs/>
              </w:rPr>
              <w:t>Antwoord:</w:t>
            </w:r>
          </w:p>
          <w:p w:rsidRPr="00047DDA" w:rsidR="00047DDA" w:rsidP="00047DDA" w:rsidRDefault="00047DDA" w14:paraId="59B5C9D5" w14:textId="03552D26">
            <w:pPr>
              <w:rPr>
                <w:b/>
                <w:bCs/>
              </w:rPr>
            </w:pPr>
            <w:r w:rsidRPr="00047DDA">
              <w:rPr>
                <w:b/>
                <w:bCs/>
              </w:rPr>
              <w:t>Het ministerie van Buitenlandse Zaken kent formeel geen uitvoeringsorganisaties zoals deze bij andere ministeries binnen de Rijksoverheid zijn ingericht. Echter zijn er binnen Buitenlandse Zaken naast ondersteunende directies met uitvoerende werkzaamheden, zoals o.a. de Financiële Service Organisatie (FSO), de Hoofddirectie Bedrijfsvoering (HDBV)</w:t>
            </w:r>
            <w:r w:rsidR="00CA4B00">
              <w:rPr>
                <w:b/>
                <w:bCs/>
              </w:rPr>
              <w:t xml:space="preserve"> en</w:t>
            </w:r>
            <w:r w:rsidRPr="00047DDA">
              <w:rPr>
                <w:b/>
                <w:bCs/>
              </w:rPr>
              <w:t xml:space="preserve"> Wereldwijd Werken (3W) ook de uitvoering van de consulaire </w:t>
            </w:r>
            <w:r w:rsidRPr="00047DDA">
              <w:rPr>
                <w:b/>
                <w:bCs/>
              </w:rPr>
              <w:lastRenderedPageBreak/>
              <w:t>dienstverlening aan de burger binnen de Hoofddirectie Consulaire Zaken (HDCV). De taakstelling zal effect hebben op al deze werkzaamheden.</w:t>
            </w:r>
          </w:p>
          <w:p w:rsidRPr="00047DDA" w:rsidR="00047DDA" w:rsidP="00047DDA" w:rsidRDefault="00047DDA" w14:paraId="2E0CD695" w14:textId="77777777">
            <w:pPr>
              <w:rPr>
                <w:b/>
                <w:bCs/>
              </w:rPr>
            </w:pPr>
            <w:r w:rsidRPr="00047DDA">
              <w:rPr>
                <w:b/>
                <w:bCs/>
              </w:rPr>
              <w:t xml:space="preserve">Het postennet dat opereert ten dienste van het gehele rijk kent een taakstelling van 10%. </w:t>
            </w:r>
          </w:p>
          <w:p w:rsidRPr="004F2A2C" w:rsidR="00145E5D" w:rsidP="00047DDA" w:rsidRDefault="00145E5D" w14:paraId="4269F02F" w14:textId="77777777">
            <w:pPr>
              <w:rPr>
                <w:b/>
              </w:rPr>
            </w:pPr>
          </w:p>
        </w:tc>
        <w:tc>
          <w:tcPr>
            <w:tcW w:w="855" w:type="dxa"/>
          </w:tcPr>
          <w:p w:rsidR="00145E5D" w:rsidRDefault="00145E5D" w14:paraId="4E7CFF40" w14:textId="77777777">
            <w:pPr>
              <w:jc w:val="right"/>
            </w:pPr>
            <w:r>
              <w:lastRenderedPageBreak/>
              <w:t>24</w:t>
            </w:r>
          </w:p>
        </w:tc>
        <w:tc>
          <w:tcPr>
            <w:tcW w:w="567" w:type="dxa"/>
          </w:tcPr>
          <w:p w:rsidR="00145E5D" w:rsidRDefault="00145E5D" w14:paraId="2C592360" w14:textId="77777777">
            <w:pPr>
              <w:jc w:val="right"/>
            </w:pPr>
            <w:r>
              <w:t xml:space="preserve"> </w:t>
            </w:r>
          </w:p>
        </w:tc>
      </w:tr>
      <w:tr w:rsidR="00145E5D" w:rsidTr="00BE5B54" w14:paraId="0C109021" w14:textId="77777777">
        <w:tc>
          <w:tcPr>
            <w:tcW w:w="567" w:type="dxa"/>
          </w:tcPr>
          <w:p w:rsidR="00145E5D" w:rsidRDefault="00145E5D" w14:paraId="3BDFAFA1" w14:textId="77777777">
            <w:r>
              <w:t>38</w:t>
            </w:r>
          </w:p>
        </w:tc>
        <w:tc>
          <w:tcPr>
            <w:tcW w:w="6521" w:type="dxa"/>
          </w:tcPr>
          <w:p w:rsidR="00145E5D" w:rsidRDefault="00145E5D" w14:paraId="43D8FCB8" w14:textId="77777777">
            <w:r>
              <w:t>Welke kaders hanteert u voor het realiseren van de taakstelling op de apparaatsuitgaven?</w:t>
            </w:r>
          </w:p>
          <w:p w:rsidR="00145E5D" w:rsidRDefault="00145E5D" w14:paraId="765ECB30" w14:textId="77777777"/>
          <w:p w:rsidRPr="00D35E79" w:rsidR="00D35E79" w:rsidP="00D35E79" w:rsidRDefault="00D35E79" w14:paraId="678D90C9" w14:textId="77777777">
            <w:pPr>
              <w:rPr>
                <w:b/>
                <w:bCs/>
              </w:rPr>
            </w:pPr>
            <w:r w:rsidRPr="00D35E79">
              <w:rPr>
                <w:b/>
                <w:bCs/>
              </w:rPr>
              <w:t>Antwoord:</w:t>
            </w:r>
          </w:p>
          <w:p w:rsidR="00145E5D" w:rsidP="009B5640" w:rsidRDefault="00145E5D" w14:paraId="3EB3C997" w14:textId="68E74E20">
            <w:pPr>
              <w:spacing w:before="0" w:after="0"/>
              <w:rPr>
                <w:b/>
              </w:rPr>
            </w:pPr>
            <w:r w:rsidRPr="00596F02">
              <w:rPr>
                <w:b/>
                <w:bCs/>
              </w:rPr>
              <w:t xml:space="preserve">In een tijd die vraagt om een slagvaardige diplomatie, moet </w:t>
            </w:r>
            <w:r>
              <w:rPr>
                <w:b/>
                <w:bCs/>
              </w:rPr>
              <w:t>het ministerie van Buitenlandse Zaken</w:t>
            </w:r>
            <w:r w:rsidRPr="00596F02">
              <w:rPr>
                <w:b/>
                <w:bCs/>
              </w:rPr>
              <w:t xml:space="preserve"> het doen met minder geld en minder mensen. Dit dwingt ons nog scherper te kiezen voor wat minimaal nodig is om op te komen voor het Nederlands belang</w:t>
            </w:r>
            <w:r w:rsidR="00B32985">
              <w:rPr>
                <w:b/>
                <w:bCs/>
              </w:rPr>
              <w:t>.</w:t>
            </w:r>
            <w:r w:rsidRPr="00596F02">
              <w:rPr>
                <w:b/>
                <w:bCs/>
              </w:rPr>
              <w:t xml:space="preserve"> </w:t>
            </w:r>
            <w:r w:rsidRPr="009B5640">
              <w:rPr>
                <w:b/>
                <w:bCs/>
              </w:rPr>
              <w:t xml:space="preserve">Voor de invulling van de apparaatstaakstelling is </w:t>
            </w:r>
            <w:r>
              <w:rPr>
                <w:b/>
                <w:bCs/>
              </w:rPr>
              <w:t>daarom</w:t>
            </w:r>
            <w:r w:rsidRPr="009B5640">
              <w:rPr>
                <w:b/>
                <w:bCs/>
              </w:rPr>
              <w:t xml:space="preserve"> gekeken naar inhoudelijke keuzes zoals onder meer zijn opgenomen in de beleidsbrief voor Ontwikkelingshulp en Buitenlandse Handel. Tevens is ervoor gekozen om beleidsterreinen die raken aan veiligheid en verdienvermogen relatief te ontzien. Ditzelfde geldt voor dienstverlening aan de burger, zoals consulaire dienstverlening. Tot slot is een efficiencyslag toegepast op de gehele organisatie. </w:t>
            </w:r>
          </w:p>
          <w:p w:rsidR="00145E5D" w:rsidP="004F2A2C" w:rsidRDefault="00145E5D" w14:paraId="0F61817E" w14:textId="77777777">
            <w:pPr>
              <w:spacing w:before="0" w:after="0"/>
            </w:pPr>
          </w:p>
        </w:tc>
        <w:tc>
          <w:tcPr>
            <w:tcW w:w="855" w:type="dxa"/>
          </w:tcPr>
          <w:p w:rsidR="00145E5D" w:rsidRDefault="00145E5D" w14:paraId="74FA2D19" w14:textId="77777777">
            <w:pPr>
              <w:jc w:val="right"/>
            </w:pPr>
            <w:r>
              <w:t>24</w:t>
            </w:r>
          </w:p>
        </w:tc>
        <w:tc>
          <w:tcPr>
            <w:tcW w:w="567" w:type="dxa"/>
          </w:tcPr>
          <w:p w:rsidR="00145E5D" w:rsidRDefault="00145E5D" w14:paraId="3CA11E34" w14:textId="77777777">
            <w:pPr>
              <w:jc w:val="right"/>
            </w:pPr>
            <w:r>
              <w:t xml:space="preserve"> </w:t>
            </w:r>
          </w:p>
        </w:tc>
      </w:tr>
      <w:tr w:rsidR="00145E5D" w:rsidTr="00BE5B54" w14:paraId="0271DFD6" w14:textId="77777777">
        <w:tc>
          <w:tcPr>
            <w:tcW w:w="567" w:type="dxa"/>
          </w:tcPr>
          <w:p w:rsidR="00145E5D" w:rsidRDefault="00145E5D" w14:paraId="7275F04B" w14:textId="77777777">
            <w:r>
              <w:t>39</w:t>
            </w:r>
          </w:p>
        </w:tc>
        <w:tc>
          <w:tcPr>
            <w:tcW w:w="6521" w:type="dxa"/>
          </w:tcPr>
          <w:p w:rsidR="00145E5D" w:rsidRDefault="00145E5D" w14:paraId="27401913" w14:textId="77777777">
            <w:r>
              <w:t>Kunt u een overzicht geven van de ontwikkeling van externe inhuur in de afgelopen vijf jaar en de doelstelling voor de komende vijf jaar?</w:t>
            </w:r>
          </w:p>
          <w:p w:rsidR="00145E5D" w:rsidRDefault="00145E5D" w14:paraId="0CEF6E45" w14:textId="77777777"/>
          <w:p w:rsidRPr="00D35E79" w:rsidR="00D35E79" w:rsidP="00D35E79" w:rsidRDefault="00D35E79" w14:paraId="5AFB21D8" w14:textId="77777777">
            <w:pPr>
              <w:rPr>
                <w:b/>
                <w:bCs/>
              </w:rPr>
            </w:pPr>
            <w:r w:rsidRPr="00D35E79">
              <w:rPr>
                <w:b/>
                <w:bCs/>
              </w:rPr>
              <w:t>Antwoord:</w:t>
            </w:r>
          </w:p>
          <w:p w:rsidRPr="008B3DAB" w:rsidR="00145E5D" w:rsidP="008B3DAB" w:rsidRDefault="00145E5D" w14:paraId="55ADD383" w14:textId="0B7F8F55">
            <w:pPr>
              <w:rPr>
                <w:b/>
                <w:bCs/>
              </w:rPr>
            </w:pPr>
            <w:r w:rsidRPr="003B48C9">
              <w:rPr>
                <w:b/>
                <w:bCs/>
              </w:rPr>
              <w:t>De externe inhuur wordt jaarlijks gepubliceerd in het jaarverslag en was in de jaren 2020-2024 als volgt:</w:t>
            </w:r>
          </w:p>
          <w:tbl>
            <w:tblPr>
              <w:tblW w:w="0" w:type="auto"/>
              <w:tblCellMar>
                <w:left w:w="0" w:type="dxa"/>
                <w:right w:w="0" w:type="dxa"/>
              </w:tblCellMar>
              <w:tblLook w:val="04A0" w:firstRow="1" w:lastRow="0" w:firstColumn="1" w:lastColumn="0" w:noHBand="0" w:noVBand="1"/>
            </w:tblPr>
            <w:tblGrid>
              <w:gridCol w:w="3550"/>
              <w:gridCol w:w="1094"/>
              <w:gridCol w:w="1093"/>
              <w:gridCol w:w="1085"/>
              <w:gridCol w:w="1102"/>
              <w:gridCol w:w="1102"/>
            </w:tblGrid>
            <w:tr w:rsidRPr="00F51537" w:rsidR="00145E5D" w:rsidTr="00F51537" w14:paraId="1F89353C" w14:textId="77777777">
              <w:trPr>
                <w:trHeight w:val="230"/>
              </w:trPr>
              <w:tc>
                <w:tcPr>
                  <w:tcW w:w="3550" w:type="dxa"/>
                  <w:noWrap/>
                  <w:tcMar>
                    <w:top w:w="0" w:type="dxa"/>
                    <w:left w:w="70" w:type="dxa"/>
                    <w:bottom w:w="0" w:type="dxa"/>
                    <w:right w:w="70" w:type="dxa"/>
                  </w:tcMar>
                  <w:vAlign w:val="bottom"/>
                  <w:hideMark/>
                </w:tcPr>
                <w:p w:rsidRPr="00F51537" w:rsidR="00145E5D" w:rsidP="00F51537" w:rsidRDefault="00145E5D" w14:paraId="08981ACA" w14:textId="77777777">
                  <w:r w:rsidRPr="00F51537">
                    <w:rPr>
                      <w:b/>
                      <w:bCs/>
                      <w:u w:val="single"/>
                    </w:rPr>
                    <w:t>Externe inhuur 2020-2024</w:t>
                  </w:r>
                </w:p>
              </w:tc>
              <w:tc>
                <w:tcPr>
                  <w:tcW w:w="1094" w:type="dxa"/>
                  <w:noWrap/>
                  <w:tcMar>
                    <w:top w:w="0" w:type="dxa"/>
                    <w:left w:w="70" w:type="dxa"/>
                    <w:bottom w:w="0" w:type="dxa"/>
                    <w:right w:w="70" w:type="dxa"/>
                  </w:tcMar>
                  <w:vAlign w:val="bottom"/>
                  <w:hideMark/>
                </w:tcPr>
                <w:p w:rsidRPr="00F51537" w:rsidR="00145E5D" w:rsidP="00F51537" w:rsidRDefault="00145E5D" w14:paraId="4E4874D3" w14:textId="77777777"/>
              </w:tc>
              <w:tc>
                <w:tcPr>
                  <w:tcW w:w="1093" w:type="dxa"/>
                  <w:noWrap/>
                  <w:tcMar>
                    <w:top w:w="0" w:type="dxa"/>
                    <w:left w:w="70" w:type="dxa"/>
                    <w:bottom w:w="0" w:type="dxa"/>
                    <w:right w:w="70" w:type="dxa"/>
                  </w:tcMar>
                  <w:vAlign w:val="bottom"/>
                  <w:hideMark/>
                </w:tcPr>
                <w:p w:rsidRPr="00F51537" w:rsidR="00145E5D" w:rsidP="00F51537" w:rsidRDefault="00145E5D" w14:paraId="4CB69A65" w14:textId="77777777"/>
              </w:tc>
              <w:tc>
                <w:tcPr>
                  <w:tcW w:w="1085" w:type="dxa"/>
                  <w:noWrap/>
                  <w:tcMar>
                    <w:top w:w="0" w:type="dxa"/>
                    <w:left w:w="70" w:type="dxa"/>
                    <w:bottom w:w="0" w:type="dxa"/>
                    <w:right w:w="70" w:type="dxa"/>
                  </w:tcMar>
                  <w:vAlign w:val="bottom"/>
                  <w:hideMark/>
                </w:tcPr>
                <w:p w:rsidRPr="00F51537" w:rsidR="00145E5D" w:rsidP="00F51537" w:rsidRDefault="00145E5D" w14:paraId="144DE312" w14:textId="77777777"/>
              </w:tc>
              <w:tc>
                <w:tcPr>
                  <w:tcW w:w="1102" w:type="dxa"/>
                  <w:noWrap/>
                  <w:tcMar>
                    <w:top w:w="0" w:type="dxa"/>
                    <w:left w:w="70" w:type="dxa"/>
                    <w:bottom w:w="0" w:type="dxa"/>
                    <w:right w:w="70" w:type="dxa"/>
                  </w:tcMar>
                  <w:vAlign w:val="bottom"/>
                  <w:hideMark/>
                </w:tcPr>
                <w:p w:rsidRPr="00F51537" w:rsidR="00145E5D" w:rsidP="00F51537" w:rsidRDefault="00145E5D" w14:paraId="0B0CDCDE" w14:textId="77777777"/>
              </w:tc>
              <w:tc>
                <w:tcPr>
                  <w:tcW w:w="1102" w:type="dxa"/>
                  <w:noWrap/>
                  <w:tcMar>
                    <w:top w:w="0" w:type="dxa"/>
                    <w:left w:w="70" w:type="dxa"/>
                    <w:bottom w:w="0" w:type="dxa"/>
                    <w:right w:w="70" w:type="dxa"/>
                  </w:tcMar>
                  <w:vAlign w:val="bottom"/>
                  <w:hideMark/>
                </w:tcPr>
                <w:p w:rsidRPr="00F51537" w:rsidR="00145E5D" w:rsidP="00F51537" w:rsidRDefault="00145E5D" w14:paraId="0781F463" w14:textId="77777777"/>
              </w:tc>
            </w:tr>
            <w:tr w:rsidRPr="00F51537" w:rsidR="00145E5D" w:rsidTr="00F51537" w14:paraId="1BB5DE0D" w14:textId="77777777">
              <w:trPr>
                <w:trHeight w:val="230"/>
              </w:trPr>
              <w:tc>
                <w:tcPr>
                  <w:tcW w:w="3550" w:type="dxa"/>
                  <w:noWrap/>
                  <w:tcMar>
                    <w:top w:w="0" w:type="dxa"/>
                    <w:left w:w="70" w:type="dxa"/>
                    <w:bottom w:w="0" w:type="dxa"/>
                    <w:right w:w="70" w:type="dxa"/>
                  </w:tcMar>
                  <w:vAlign w:val="bottom"/>
                  <w:hideMark/>
                </w:tcPr>
                <w:p w:rsidRPr="00F51537" w:rsidR="00145E5D" w:rsidP="00F51537" w:rsidRDefault="00145E5D" w14:paraId="6DCC0C45" w14:textId="77777777"/>
              </w:tc>
              <w:tc>
                <w:tcPr>
                  <w:tcW w:w="1094" w:type="dxa"/>
                  <w:noWrap/>
                  <w:tcMar>
                    <w:top w:w="0" w:type="dxa"/>
                    <w:left w:w="70" w:type="dxa"/>
                    <w:bottom w:w="0" w:type="dxa"/>
                    <w:right w:w="70" w:type="dxa"/>
                  </w:tcMar>
                  <w:vAlign w:val="bottom"/>
                  <w:hideMark/>
                </w:tcPr>
                <w:p w:rsidRPr="00F51537" w:rsidR="00145E5D" w:rsidP="00F51537" w:rsidRDefault="00145E5D" w14:paraId="47FFAC3A" w14:textId="77777777"/>
              </w:tc>
              <w:tc>
                <w:tcPr>
                  <w:tcW w:w="1093" w:type="dxa"/>
                  <w:noWrap/>
                  <w:tcMar>
                    <w:top w:w="0" w:type="dxa"/>
                    <w:left w:w="70" w:type="dxa"/>
                    <w:bottom w:w="0" w:type="dxa"/>
                    <w:right w:w="70" w:type="dxa"/>
                  </w:tcMar>
                  <w:vAlign w:val="bottom"/>
                  <w:hideMark/>
                </w:tcPr>
                <w:p w:rsidRPr="00F51537" w:rsidR="00145E5D" w:rsidP="00F51537" w:rsidRDefault="00145E5D" w14:paraId="367EFBF9" w14:textId="77777777"/>
              </w:tc>
              <w:tc>
                <w:tcPr>
                  <w:tcW w:w="1085" w:type="dxa"/>
                  <w:noWrap/>
                  <w:tcMar>
                    <w:top w:w="0" w:type="dxa"/>
                    <w:left w:w="70" w:type="dxa"/>
                    <w:bottom w:w="0" w:type="dxa"/>
                    <w:right w:w="70" w:type="dxa"/>
                  </w:tcMar>
                  <w:vAlign w:val="bottom"/>
                  <w:hideMark/>
                </w:tcPr>
                <w:p w:rsidRPr="00F51537" w:rsidR="00145E5D" w:rsidP="00F51537" w:rsidRDefault="00145E5D" w14:paraId="40953D33" w14:textId="77777777"/>
              </w:tc>
              <w:tc>
                <w:tcPr>
                  <w:tcW w:w="1102" w:type="dxa"/>
                  <w:noWrap/>
                  <w:tcMar>
                    <w:top w:w="0" w:type="dxa"/>
                    <w:left w:w="70" w:type="dxa"/>
                    <w:bottom w:w="0" w:type="dxa"/>
                    <w:right w:w="70" w:type="dxa"/>
                  </w:tcMar>
                  <w:vAlign w:val="bottom"/>
                  <w:hideMark/>
                </w:tcPr>
                <w:p w:rsidRPr="00F51537" w:rsidR="00145E5D" w:rsidP="00F51537" w:rsidRDefault="00145E5D" w14:paraId="38599AC7" w14:textId="77777777"/>
              </w:tc>
              <w:tc>
                <w:tcPr>
                  <w:tcW w:w="1102" w:type="dxa"/>
                  <w:noWrap/>
                  <w:tcMar>
                    <w:top w:w="0" w:type="dxa"/>
                    <w:left w:w="70" w:type="dxa"/>
                    <w:bottom w:w="0" w:type="dxa"/>
                    <w:right w:w="70" w:type="dxa"/>
                  </w:tcMar>
                  <w:vAlign w:val="bottom"/>
                  <w:hideMark/>
                </w:tcPr>
                <w:p w:rsidRPr="00F51537" w:rsidR="00145E5D" w:rsidP="00F51537" w:rsidRDefault="00145E5D" w14:paraId="6093A88C" w14:textId="77777777"/>
              </w:tc>
            </w:tr>
            <w:tr w:rsidRPr="00F51537" w:rsidR="00145E5D" w:rsidTr="00F51537" w14:paraId="78D71798" w14:textId="77777777">
              <w:trPr>
                <w:trHeight w:val="230"/>
              </w:trPr>
              <w:tc>
                <w:tcPr>
                  <w:tcW w:w="3550" w:type="dxa"/>
                  <w:noWrap/>
                  <w:tcMar>
                    <w:top w:w="0" w:type="dxa"/>
                    <w:left w:w="70" w:type="dxa"/>
                    <w:bottom w:w="0" w:type="dxa"/>
                    <w:right w:w="70" w:type="dxa"/>
                  </w:tcMar>
                  <w:vAlign w:val="bottom"/>
                  <w:hideMark/>
                </w:tcPr>
                <w:p w:rsidRPr="00F51537" w:rsidR="00145E5D" w:rsidP="00F51537" w:rsidRDefault="00145E5D" w14:paraId="2B144E5F" w14:textId="77777777">
                  <w:pPr>
                    <w:rPr>
                      <w:sz w:val="12"/>
                      <w:szCs w:val="12"/>
                    </w:rPr>
                  </w:pPr>
                  <w:r w:rsidRPr="00F51537">
                    <w:rPr>
                      <w:b/>
                      <w:bCs/>
                      <w:sz w:val="12"/>
                      <w:szCs w:val="12"/>
                    </w:rPr>
                    <w:t>Per categorie</w:t>
                  </w:r>
                  <w:r w:rsidRPr="00F51537">
                    <w:rPr>
                      <w:b/>
                      <w:bCs/>
                      <w:i/>
                      <w:iCs/>
                      <w:sz w:val="12"/>
                      <w:szCs w:val="12"/>
                    </w:rPr>
                    <w:t xml:space="preserve"> (bedragen in EUR x 1.000)</w:t>
                  </w:r>
                </w:p>
              </w:tc>
              <w:tc>
                <w:tcPr>
                  <w:tcW w:w="1094" w:type="dxa"/>
                  <w:noWrap/>
                  <w:tcMar>
                    <w:top w:w="0" w:type="dxa"/>
                    <w:left w:w="70" w:type="dxa"/>
                    <w:bottom w:w="0" w:type="dxa"/>
                    <w:right w:w="70" w:type="dxa"/>
                  </w:tcMar>
                  <w:vAlign w:val="bottom"/>
                  <w:hideMark/>
                </w:tcPr>
                <w:p w:rsidRPr="00F51537" w:rsidR="00145E5D" w:rsidP="00F51537" w:rsidRDefault="00145E5D" w14:paraId="450F6E73" w14:textId="77777777">
                  <w:pPr>
                    <w:rPr>
                      <w:sz w:val="12"/>
                      <w:szCs w:val="12"/>
                    </w:rPr>
                  </w:pPr>
                  <w:r w:rsidRPr="00F51537">
                    <w:rPr>
                      <w:b/>
                      <w:bCs/>
                      <w:sz w:val="12"/>
                      <w:szCs w:val="12"/>
                    </w:rPr>
                    <w:t>2020</w:t>
                  </w:r>
                </w:p>
              </w:tc>
              <w:tc>
                <w:tcPr>
                  <w:tcW w:w="1093" w:type="dxa"/>
                  <w:noWrap/>
                  <w:tcMar>
                    <w:top w:w="0" w:type="dxa"/>
                    <w:left w:w="70" w:type="dxa"/>
                    <w:bottom w:w="0" w:type="dxa"/>
                    <w:right w:w="70" w:type="dxa"/>
                  </w:tcMar>
                  <w:vAlign w:val="bottom"/>
                  <w:hideMark/>
                </w:tcPr>
                <w:p w:rsidRPr="00F51537" w:rsidR="00145E5D" w:rsidP="00F51537" w:rsidRDefault="00145E5D" w14:paraId="7C0D06BE" w14:textId="77777777">
                  <w:pPr>
                    <w:rPr>
                      <w:sz w:val="12"/>
                      <w:szCs w:val="12"/>
                    </w:rPr>
                  </w:pPr>
                  <w:r w:rsidRPr="00F51537">
                    <w:rPr>
                      <w:b/>
                      <w:bCs/>
                      <w:sz w:val="12"/>
                      <w:szCs w:val="12"/>
                    </w:rPr>
                    <w:t>2021</w:t>
                  </w:r>
                </w:p>
              </w:tc>
              <w:tc>
                <w:tcPr>
                  <w:tcW w:w="1085" w:type="dxa"/>
                  <w:noWrap/>
                  <w:tcMar>
                    <w:top w:w="0" w:type="dxa"/>
                    <w:left w:w="70" w:type="dxa"/>
                    <w:bottom w:w="0" w:type="dxa"/>
                    <w:right w:w="70" w:type="dxa"/>
                  </w:tcMar>
                  <w:vAlign w:val="bottom"/>
                  <w:hideMark/>
                </w:tcPr>
                <w:p w:rsidRPr="00F51537" w:rsidR="00145E5D" w:rsidP="00F51537" w:rsidRDefault="00145E5D" w14:paraId="1AC8A67B" w14:textId="77777777">
                  <w:pPr>
                    <w:rPr>
                      <w:sz w:val="12"/>
                      <w:szCs w:val="12"/>
                    </w:rPr>
                  </w:pPr>
                  <w:r w:rsidRPr="00F51537">
                    <w:rPr>
                      <w:b/>
                      <w:bCs/>
                      <w:sz w:val="12"/>
                      <w:szCs w:val="12"/>
                    </w:rPr>
                    <w:t>2022</w:t>
                  </w:r>
                </w:p>
              </w:tc>
              <w:tc>
                <w:tcPr>
                  <w:tcW w:w="1102" w:type="dxa"/>
                  <w:noWrap/>
                  <w:tcMar>
                    <w:top w:w="0" w:type="dxa"/>
                    <w:left w:w="70" w:type="dxa"/>
                    <w:bottom w:w="0" w:type="dxa"/>
                    <w:right w:w="70" w:type="dxa"/>
                  </w:tcMar>
                  <w:vAlign w:val="bottom"/>
                  <w:hideMark/>
                </w:tcPr>
                <w:p w:rsidRPr="00F51537" w:rsidR="00145E5D" w:rsidP="00F51537" w:rsidRDefault="00145E5D" w14:paraId="1EA76F1D" w14:textId="77777777">
                  <w:r w:rsidRPr="00F51537">
                    <w:rPr>
                      <w:b/>
                      <w:bCs/>
                    </w:rPr>
                    <w:t>2023</w:t>
                  </w:r>
                </w:p>
              </w:tc>
              <w:tc>
                <w:tcPr>
                  <w:tcW w:w="1102" w:type="dxa"/>
                  <w:noWrap/>
                  <w:tcMar>
                    <w:top w:w="0" w:type="dxa"/>
                    <w:left w:w="70" w:type="dxa"/>
                    <w:bottom w:w="0" w:type="dxa"/>
                    <w:right w:w="70" w:type="dxa"/>
                  </w:tcMar>
                  <w:vAlign w:val="bottom"/>
                  <w:hideMark/>
                </w:tcPr>
                <w:p w:rsidRPr="00F51537" w:rsidR="00145E5D" w:rsidP="00F51537" w:rsidRDefault="00145E5D" w14:paraId="185E6861" w14:textId="77777777">
                  <w:r w:rsidRPr="00F51537">
                    <w:rPr>
                      <w:b/>
                      <w:bCs/>
                    </w:rPr>
                    <w:t>2024</w:t>
                  </w:r>
                </w:p>
              </w:tc>
            </w:tr>
            <w:tr w:rsidRPr="00F51537" w:rsidR="00145E5D" w:rsidTr="00F51537" w14:paraId="43639F39" w14:textId="77777777">
              <w:trPr>
                <w:trHeight w:val="230"/>
              </w:trPr>
              <w:tc>
                <w:tcPr>
                  <w:tcW w:w="3550" w:type="dxa"/>
                  <w:noWrap/>
                  <w:tcMar>
                    <w:top w:w="0" w:type="dxa"/>
                    <w:left w:w="70" w:type="dxa"/>
                    <w:bottom w:w="0" w:type="dxa"/>
                    <w:right w:w="70" w:type="dxa"/>
                  </w:tcMar>
                  <w:vAlign w:val="bottom"/>
                  <w:hideMark/>
                </w:tcPr>
                <w:p w:rsidRPr="00F51537" w:rsidR="00145E5D" w:rsidP="00F51537" w:rsidRDefault="00145E5D" w14:paraId="6EB1118F" w14:textId="77777777">
                  <w:pPr>
                    <w:rPr>
                      <w:sz w:val="12"/>
                      <w:szCs w:val="12"/>
                    </w:rPr>
                  </w:pPr>
                  <w:r w:rsidRPr="00F51537">
                    <w:rPr>
                      <w:sz w:val="12"/>
                      <w:szCs w:val="12"/>
                    </w:rPr>
                    <w:t>Interim management</w:t>
                  </w:r>
                </w:p>
              </w:tc>
              <w:tc>
                <w:tcPr>
                  <w:tcW w:w="1094" w:type="dxa"/>
                  <w:noWrap/>
                  <w:tcMar>
                    <w:top w:w="0" w:type="dxa"/>
                    <w:left w:w="70" w:type="dxa"/>
                    <w:bottom w:w="0" w:type="dxa"/>
                    <w:right w:w="70" w:type="dxa"/>
                  </w:tcMar>
                  <w:vAlign w:val="bottom"/>
                  <w:hideMark/>
                </w:tcPr>
                <w:p w:rsidRPr="00F51537" w:rsidR="00145E5D" w:rsidP="00F51537" w:rsidRDefault="00145E5D" w14:paraId="19FB9828" w14:textId="77777777">
                  <w:pPr>
                    <w:rPr>
                      <w:sz w:val="12"/>
                      <w:szCs w:val="12"/>
                    </w:rPr>
                  </w:pPr>
                  <w:r w:rsidRPr="00F51537">
                    <w:rPr>
                      <w:sz w:val="12"/>
                      <w:szCs w:val="12"/>
                    </w:rPr>
                    <w:t xml:space="preserve">                784 </w:t>
                  </w:r>
                </w:p>
              </w:tc>
              <w:tc>
                <w:tcPr>
                  <w:tcW w:w="1093" w:type="dxa"/>
                  <w:noWrap/>
                  <w:tcMar>
                    <w:top w:w="0" w:type="dxa"/>
                    <w:left w:w="70" w:type="dxa"/>
                    <w:bottom w:w="0" w:type="dxa"/>
                    <w:right w:w="70" w:type="dxa"/>
                  </w:tcMar>
                  <w:vAlign w:val="bottom"/>
                  <w:hideMark/>
                </w:tcPr>
                <w:p w:rsidRPr="00F51537" w:rsidR="00145E5D" w:rsidP="00F51537" w:rsidRDefault="00145E5D" w14:paraId="6408FE16" w14:textId="77777777">
                  <w:pPr>
                    <w:rPr>
                      <w:sz w:val="12"/>
                      <w:szCs w:val="12"/>
                    </w:rPr>
                  </w:pPr>
                  <w:r w:rsidRPr="00F51537">
                    <w:rPr>
                      <w:sz w:val="12"/>
                      <w:szCs w:val="12"/>
                    </w:rPr>
                    <w:t xml:space="preserve">                969 </w:t>
                  </w:r>
                </w:p>
              </w:tc>
              <w:tc>
                <w:tcPr>
                  <w:tcW w:w="1085" w:type="dxa"/>
                  <w:noWrap/>
                  <w:tcMar>
                    <w:top w:w="0" w:type="dxa"/>
                    <w:left w:w="70" w:type="dxa"/>
                    <w:bottom w:w="0" w:type="dxa"/>
                    <w:right w:w="70" w:type="dxa"/>
                  </w:tcMar>
                  <w:vAlign w:val="bottom"/>
                  <w:hideMark/>
                </w:tcPr>
                <w:p w:rsidRPr="00F51537" w:rsidR="00145E5D" w:rsidP="00F51537" w:rsidRDefault="00145E5D" w14:paraId="48087DBD" w14:textId="77777777">
                  <w:pPr>
                    <w:rPr>
                      <w:sz w:val="12"/>
                      <w:szCs w:val="12"/>
                    </w:rPr>
                  </w:pPr>
                  <w:r w:rsidRPr="00F51537">
                    <w:rPr>
                      <w:sz w:val="12"/>
                      <w:szCs w:val="12"/>
                    </w:rPr>
                    <w:t xml:space="preserve">                818 </w:t>
                  </w:r>
                </w:p>
              </w:tc>
              <w:tc>
                <w:tcPr>
                  <w:tcW w:w="1102" w:type="dxa"/>
                  <w:noWrap/>
                  <w:tcMar>
                    <w:top w:w="0" w:type="dxa"/>
                    <w:left w:w="70" w:type="dxa"/>
                    <w:bottom w:w="0" w:type="dxa"/>
                    <w:right w:w="70" w:type="dxa"/>
                  </w:tcMar>
                  <w:vAlign w:val="bottom"/>
                  <w:hideMark/>
                </w:tcPr>
                <w:p w:rsidRPr="00F51537" w:rsidR="00145E5D" w:rsidP="00F51537" w:rsidRDefault="00145E5D" w14:paraId="08CC9D25" w14:textId="77777777">
                  <w:r w:rsidRPr="00F51537">
                    <w:t xml:space="preserve">                635 </w:t>
                  </w:r>
                </w:p>
              </w:tc>
              <w:tc>
                <w:tcPr>
                  <w:tcW w:w="1102" w:type="dxa"/>
                  <w:noWrap/>
                  <w:tcMar>
                    <w:top w:w="0" w:type="dxa"/>
                    <w:left w:w="70" w:type="dxa"/>
                    <w:bottom w:w="0" w:type="dxa"/>
                    <w:right w:w="70" w:type="dxa"/>
                  </w:tcMar>
                  <w:vAlign w:val="bottom"/>
                  <w:hideMark/>
                </w:tcPr>
                <w:p w:rsidRPr="00F51537" w:rsidR="00145E5D" w:rsidP="00F51537" w:rsidRDefault="00145E5D" w14:paraId="2CB553FB" w14:textId="77777777">
                  <w:r w:rsidRPr="00F51537">
                    <w:t xml:space="preserve">                377 </w:t>
                  </w:r>
                </w:p>
              </w:tc>
            </w:tr>
            <w:tr w:rsidRPr="00F51537" w:rsidR="00145E5D" w:rsidTr="00F51537" w14:paraId="48E08C69" w14:textId="77777777">
              <w:trPr>
                <w:trHeight w:val="230"/>
              </w:trPr>
              <w:tc>
                <w:tcPr>
                  <w:tcW w:w="3550" w:type="dxa"/>
                  <w:noWrap/>
                  <w:tcMar>
                    <w:top w:w="0" w:type="dxa"/>
                    <w:left w:w="70" w:type="dxa"/>
                    <w:bottom w:w="0" w:type="dxa"/>
                    <w:right w:w="70" w:type="dxa"/>
                  </w:tcMar>
                  <w:vAlign w:val="bottom"/>
                  <w:hideMark/>
                </w:tcPr>
                <w:p w:rsidRPr="00F51537" w:rsidR="00145E5D" w:rsidP="00F51537" w:rsidRDefault="00145E5D" w14:paraId="5FE01BC8" w14:textId="77777777">
                  <w:pPr>
                    <w:rPr>
                      <w:sz w:val="12"/>
                      <w:szCs w:val="12"/>
                    </w:rPr>
                  </w:pPr>
                  <w:r w:rsidRPr="00F51537">
                    <w:rPr>
                      <w:sz w:val="12"/>
                      <w:szCs w:val="12"/>
                    </w:rPr>
                    <w:t>Organisatie- en formatieadvies</w:t>
                  </w:r>
                </w:p>
              </w:tc>
              <w:tc>
                <w:tcPr>
                  <w:tcW w:w="1094" w:type="dxa"/>
                  <w:noWrap/>
                  <w:tcMar>
                    <w:top w:w="0" w:type="dxa"/>
                    <w:left w:w="70" w:type="dxa"/>
                    <w:bottom w:w="0" w:type="dxa"/>
                    <w:right w:w="70" w:type="dxa"/>
                  </w:tcMar>
                  <w:vAlign w:val="bottom"/>
                  <w:hideMark/>
                </w:tcPr>
                <w:p w:rsidRPr="00F51537" w:rsidR="00145E5D" w:rsidP="00F51537" w:rsidRDefault="00145E5D" w14:paraId="3396ABD6" w14:textId="77777777">
                  <w:pPr>
                    <w:rPr>
                      <w:sz w:val="12"/>
                      <w:szCs w:val="12"/>
                    </w:rPr>
                  </w:pPr>
                  <w:r w:rsidRPr="00F51537">
                    <w:rPr>
                      <w:sz w:val="12"/>
                      <w:szCs w:val="12"/>
                    </w:rPr>
                    <w:t xml:space="preserve">                    - </w:t>
                  </w:r>
                </w:p>
              </w:tc>
              <w:tc>
                <w:tcPr>
                  <w:tcW w:w="1093" w:type="dxa"/>
                  <w:noWrap/>
                  <w:tcMar>
                    <w:top w:w="0" w:type="dxa"/>
                    <w:left w:w="70" w:type="dxa"/>
                    <w:bottom w:w="0" w:type="dxa"/>
                    <w:right w:w="70" w:type="dxa"/>
                  </w:tcMar>
                  <w:vAlign w:val="bottom"/>
                  <w:hideMark/>
                </w:tcPr>
                <w:p w:rsidRPr="00F51537" w:rsidR="00145E5D" w:rsidP="00F51537" w:rsidRDefault="00145E5D" w14:paraId="364B04F6" w14:textId="77777777">
                  <w:pPr>
                    <w:rPr>
                      <w:sz w:val="12"/>
                      <w:szCs w:val="12"/>
                    </w:rPr>
                  </w:pPr>
                  <w:r w:rsidRPr="00F51537">
                    <w:rPr>
                      <w:sz w:val="12"/>
                      <w:szCs w:val="12"/>
                    </w:rPr>
                    <w:t xml:space="preserve">                    - </w:t>
                  </w:r>
                </w:p>
              </w:tc>
              <w:tc>
                <w:tcPr>
                  <w:tcW w:w="1085" w:type="dxa"/>
                  <w:noWrap/>
                  <w:tcMar>
                    <w:top w:w="0" w:type="dxa"/>
                    <w:left w:w="70" w:type="dxa"/>
                    <w:bottom w:w="0" w:type="dxa"/>
                    <w:right w:w="70" w:type="dxa"/>
                  </w:tcMar>
                  <w:vAlign w:val="bottom"/>
                  <w:hideMark/>
                </w:tcPr>
                <w:p w:rsidRPr="00F51537" w:rsidR="00145E5D" w:rsidP="00F51537" w:rsidRDefault="00145E5D" w14:paraId="770A317F" w14:textId="77777777">
                  <w:pPr>
                    <w:rPr>
                      <w:sz w:val="12"/>
                      <w:szCs w:val="12"/>
                    </w:rPr>
                  </w:pPr>
                  <w:r w:rsidRPr="00F51537">
                    <w:rPr>
                      <w:sz w:val="12"/>
                      <w:szCs w:val="12"/>
                    </w:rPr>
                    <w:t xml:space="preserve">                181 </w:t>
                  </w:r>
                </w:p>
              </w:tc>
              <w:tc>
                <w:tcPr>
                  <w:tcW w:w="1102" w:type="dxa"/>
                  <w:noWrap/>
                  <w:tcMar>
                    <w:top w:w="0" w:type="dxa"/>
                    <w:left w:w="70" w:type="dxa"/>
                    <w:bottom w:w="0" w:type="dxa"/>
                    <w:right w:w="70" w:type="dxa"/>
                  </w:tcMar>
                  <w:vAlign w:val="bottom"/>
                  <w:hideMark/>
                </w:tcPr>
                <w:p w:rsidRPr="00F51537" w:rsidR="00145E5D" w:rsidP="00F51537" w:rsidRDefault="00145E5D" w14:paraId="5D19D710" w14:textId="77777777">
                  <w:r w:rsidRPr="00F51537">
                    <w:t xml:space="preserve">                  12 </w:t>
                  </w:r>
                </w:p>
              </w:tc>
              <w:tc>
                <w:tcPr>
                  <w:tcW w:w="1102" w:type="dxa"/>
                  <w:noWrap/>
                  <w:tcMar>
                    <w:top w:w="0" w:type="dxa"/>
                    <w:left w:w="70" w:type="dxa"/>
                    <w:bottom w:w="0" w:type="dxa"/>
                    <w:right w:w="70" w:type="dxa"/>
                  </w:tcMar>
                  <w:vAlign w:val="bottom"/>
                  <w:hideMark/>
                </w:tcPr>
                <w:p w:rsidRPr="00F51537" w:rsidR="00145E5D" w:rsidP="00F51537" w:rsidRDefault="00145E5D" w14:paraId="435C5974" w14:textId="77777777">
                  <w:r w:rsidRPr="00F51537">
                    <w:t xml:space="preserve">                  41 </w:t>
                  </w:r>
                </w:p>
              </w:tc>
            </w:tr>
            <w:tr w:rsidRPr="00F51537" w:rsidR="00145E5D" w:rsidTr="00F51537" w14:paraId="6EDD52AF" w14:textId="77777777">
              <w:trPr>
                <w:trHeight w:val="230"/>
              </w:trPr>
              <w:tc>
                <w:tcPr>
                  <w:tcW w:w="3550" w:type="dxa"/>
                  <w:noWrap/>
                  <w:tcMar>
                    <w:top w:w="0" w:type="dxa"/>
                    <w:left w:w="70" w:type="dxa"/>
                    <w:bottom w:w="0" w:type="dxa"/>
                    <w:right w:w="70" w:type="dxa"/>
                  </w:tcMar>
                  <w:vAlign w:val="bottom"/>
                  <w:hideMark/>
                </w:tcPr>
                <w:p w:rsidRPr="00F51537" w:rsidR="00145E5D" w:rsidP="00F51537" w:rsidRDefault="00145E5D" w14:paraId="697766BE" w14:textId="77777777">
                  <w:pPr>
                    <w:rPr>
                      <w:sz w:val="12"/>
                      <w:szCs w:val="12"/>
                    </w:rPr>
                  </w:pPr>
                  <w:r w:rsidRPr="00F51537">
                    <w:rPr>
                      <w:sz w:val="12"/>
                      <w:szCs w:val="12"/>
                    </w:rPr>
                    <w:t>Beleidsadvies</w:t>
                  </w:r>
                </w:p>
              </w:tc>
              <w:tc>
                <w:tcPr>
                  <w:tcW w:w="1094" w:type="dxa"/>
                  <w:noWrap/>
                  <w:tcMar>
                    <w:top w:w="0" w:type="dxa"/>
                    <w:left w:w="70" w:type="dxa"/>
                    <w:bottom w:w="0" w:type="dxa"/>
                    <w:right w:w="70" w:type="dxa"/>
                  </w:tcMar>
                  <w:vAlign w:val="bottom"/>
                  <w:hideMark/>
                </w:tcPr>
                <w:p w:rsidRPr="00F51537" w:rsidR="00145E5D" w:rsidP="00F51537" w:rsidRDefault="00145E5D" w14:paraId="24AD759F" w14:textId="77777777">
                  <w:pPr>
                    <w:rPr>
                      <w:sz w:val="12"/>
                      <w:szCs w:val="12"/>
                    </w:rPr>
                  </w:pPr>
                  <w:r w:rsidRPr="00F51537">
                    <w:rPr>
                      <w:sz w:val="12"/>
                      <w:szCs w:val="12"/>
                    </w:rPr>
                    <w:t xml:space="preserve">             1.061 </w:t>
                  </w:r>
                </w:p>
              </w:tc>
              <w:tc>
                <w:tcPr>
                  <w:tcW w:w="1093" w:type="dxa"/>
                  <w:noWrap/>
                  <w:tcMar>
                    <w:top w:w="0" w:type="dxa"/>
                    <w:left w:w="70" w:type="dxa"/>
                    <w:bottom w:w="0" w:type="dxa"/>
                    <w:right w:w="70" w:type="dxa"/>
                  </w:tcMar>
                  <w:vAlign w:val="bottom"/>
                  <w:hideMark/>
                </w:tcPr>
                <w:p w:rsidRPr="00F51537" w:rsidR="00145E5D" w:rsidP="00F51537" w:rsidRDefault="00145E5D" w14:paraId="2D860C23" w14:textId="77777777">
                  <w:pPr>
                    <w:rPr>
                      <w:sz w:val="12"/>
                      <w:szCs w:val="12"/>
                    </w:rPr>
                  </w:pPr>
                  <w:r w:rsidRPr="00F51537">
                    <w:rPr>
                      <w:sz w:val="12"/>
                      <w:szCs w:val="12"/>
                    </w:rPr>
                    <w:t xml:space="preserve">                866 </w:t>
                  </w:r>
                </w:p>
              </w:tc>
              <w:tc>
                <w:tcPr>
                  <w:tcW w:w="1085" w:type="dxa"/>
                  <w:noWrap/>
                  <w:tcMar>
                    <w:top w:w="0" w:type="dxa"/>
                    <w:left w:w="70" w:type="dxa"/>
                    <w:bottom w:w="0" w:type="dxa"/>
                    <w:right w:w="70" w:type="dxa"/>
                  </w:tcMar>
                  <w:vAlign w:val="bottom"/>
                  <w:hideMark/>
                </w:tcPr>
                <w:p w:rsidRPr="00F51537" w:rsidR="00145E5D" w:rsidP="00F51537" w:rsidRDefault="00145E5D" w14:paraId="0A8C571C" w14:textId="77777777">
                  <w:pPr>
                    <w:rPr>
                      <w:sz w:val="12"/>
                      <w:szCs w:val="12"/>
                    </w:rPr>
                  </w:pPr>
                  <w:r w:rsidRPr="00F51537">
                    <w:rPr>
                      <w:sz w:val="12"/>
                      <w:szCs w:val="12"/>
                    </w:rPr>
                    <w:t xml:space="preserve">                545 </w:t>
                  </w:r>
                </w:p>
              </w:tc>
              <w:tc>
                <w:tcPr>
                  <w:tcW w:w="1102" w:type="dxa"/>
                  <w:noWrap/>
                  <w:tcMar>
                    <w:top w:w="0" w:type="dxa"/>
                    <w:left w:w="70" w:type="dxa"/>
                    <w:bottom w:w="0" w:type="dxa"/>
                    <w:right w:w="70" w:type="dxa"/>
                  </w:tcMar>
                  <w:vAlign w:val="bottom"/>
                  <w:hideMark/>
                </w:tcPr>
                <w:p w:rsidRPr="00F51537" w:rsidR="00145E5D" w:rsidP="00F51537" w:rsidRDefault="00145E5D" w14:paraId="44F69015" w14:textId="77777777">
                  <w:r w:rsidRPr="00F51537">
                    <w:t xml:space="preserve">                557 </w:t>
                  </w:r>
                </w:p>
              </w:tc>
              <w:tc>
                <w:tcPr>
                  <w:tcW w:w="1102" w:type="dxa"/>
                  <w:noWrap/>
                  <w:tcMar>
                    <w:top w:w="0" w:type="dxa"/>
                    <w:left w:w="70" w:type="dxa"/>
                    <w:bottom w:w="0" w:type="dxa"/>
                    <w:right w:w="70" w:type="dxa"/>
                  </w:tcMar>
                  <w:vAlign w:val="bottom"/>
                  <w:hideMark/>
                </w:tcPr>
                <w:p w:rsidRPr="00F51537" w:rsidR="00145E5D" w:rsidP="00F51537" w:rsidRDefault="00145E5D" w14:paraId="42025756" w14:textId="77777777">
                  <w:r w:rsidRPr="00F51537">
                    <w:t xml:space="preserve">             2.068 </w:t>
                  </w:r>
                </w:p>
              </w:tc>
            </w:tr>
            <w:tr w:rsidRPr="00F51537" w:rsidR="00145E5D" w:rsidTr="00F51537" w14:paraId="1C2AC57B" w14:textId="77777777">
              <w:trPr>
                <w:trHeight w:val="230"/>
              </w:trPr>
              <w:tc>
                <w:tcPr>
                  <w:tcW w:w="3550" w:type="dxa"/>
                  <w:noWrap/>
                  <w:tcMar>
                    <w:top w:w="0" w:type="dxa"/>
                    <w:left w:w="70" w:type="dxa"/>
                    <w:bottom w:w="0" w:type="dxa"/>
                    <w:right w:w="70" w:type="dxa"/>
                  </w:tcMar>
                  <w:vAlign w:val="bottom"/>
                  <w:hideMark/>
                </w:tcPr>
                <w:p w:rsidRPr="00F51537" w:rsidR="00145E5D" w:rsidP="00F51537" w:rsidRDefault="00145E5D" w14:paraId="3BB9F89D" w14:textId="77777777">
                  <w:pPr>
                    <w:rPr>
                      <w:sz w:val="12"/>
                      <w:szCs w:val="12"/>
                    </w:rPr>
                  </w:pPr>
                  <w:r w:rsidRPr="00F51537">
                    <w:rPr>
                      <w:sz w:val="12"/>
                      <w:szCs w:val="12"/>
                    </w:rPr>
                    <w:t>Communicatieadvisering</w:t>
                  </w:r>
                </w:p>
              </w:tc>
              <w:tc>
                <w:tcPr>
                  <w:tcW w:w="1094" w:type="dxa"/>
                  <w:noWrap/>
                  <w:tcMar>
                    <w:top w:w="0" w:type="dxa"/>
                    <w:left w:w="70" w:type="dxa"/>
                    <w:bottom w:w="0" w:type="dxa"/>
                    <w:right w:w="70" w:type="dxa"/>
                  </w:tcMar>
                  <w:vAlign w:val="bottom"/>
                  <w:hideMark/>
                </w:tcPr>
                <w:p w:rsidRPr="00F51537" w:rsidR="00145E5D" w:rsidP="00F51537" w:rsidRDefault="00145E5D" w14:paraId="68836E62" w14:textId="77777777">
                  <w:pPr>
                    <w:rPr>
                      <w:sz w:val="12"/>
                      <w:szCs w:val="12"/>
                    </w:rPr>
                  </w:pPr>
                  <w:r w:rsidRPr="00F51537">
                    <w:rPr>
                      <w:sz w:val="12"/>
                      <w:szCs w:val="12"/>
                    </w:rPr>
                    <w:t xml:space="preserve">                    - </w:t>
                  </w:r>
                </w:p>
              </w:tc>
              <w:tc>
                <w:tcPr>
                  <w:tcW w:w="1093" w:type="dxa"/>
                  <w:noWrap/>
                  <w:tcMar>
                    <w:top w:w="0" w:type="dxa"/>
                    <w:left w:w="70" w:type="dxa"/>
                    <w:bottom w:w="0" w:type="dxa"/>
                    <w:right w:w="70" w:type="dxa"/>
                  </w:tcMar>
                  <w:vAlign w:val="bottom"/>
                  <w:hideMark/>
                </w:tcPr>
                <w:p w:rsidRPr="00F51537" w:rsidR="00145E5D" w:rsidP="00F51537" w:rsidRDefault="00145E5D" w14:paraId="152E8D28" w14:textId="77777777">
                  <w:pPr>
                    <w:rPr>
                      <w:sz w:val="12"/>
                      <w:szCs w:val="12"/>
                    </w:rPr>
                  </w:pPr>
                  <w:r w:rsidRPr="00F51537">
                    <w:rPr>
                      <w:sz w:val="12"/>
                      <w:szCs w:val="12"/>
                    </w:rPr>
                    <w:t xml:space="preserve">                106 </w:t>
                  </w:r>
                </w:p>
              </w:tc>
              <w:tc>
                <w:tcPr>
                  <w:tcW w:w="1085" w:type="dxa"/>
                  <w:noWrap/>
                  <w:tcMar>
                    <w:top w:w="0" w:type="dxa"/>
                    <w:left w:w="70" w:type="dxa"/>
                    <w:bottom w:w="0" w:type="dxa"/>
                    <w:right w:w="70" w:type="dxa"/>
                  </w:tcMar>
                  <w:vAlign w:val="bottom"/>
                  <w:hideMark/>
                </w:tcPr>
                <w:p w:rsidRPr="00F51537" w:rsidR="00145E5D" w:rsidP="00F51537" w:rsidRDefault="00145E5D" w14:paraId="35E9EC0F" w14:textId="77777777">
                  <w:pPr>
                    <w:rPr>
                      <w:sz w:val="12"/>
                      <w:szCs w:val="12"/>
                    </w:rPr>
                  </w:pPr>
                  <w:r w:rsidRPr="00F51537">
                    <w:rPr>
                      <w:sz w:val="12"/>
                      <w:szCs w:val="12"/>
                    </w:rPr>
                    <w:t xml:space="preserve">                326 </w:t>
                  </w:r>
                </w:p>
              </w:tc>
              <w:tc>
                <w:tcPr>
                  <w:tcW w:w="1102" w:type="dxa"/>
                  <w:noWrap/>
                  <w:tcMar>
                    <w:top w:w="0" w:type="dxa"/>
                    <w:left w:w="70" w:type="dxa"/>
                    <w:bottom w:w="0" w:type="dxa"/>
                    <w:right w:w="70" w:type="dxa"/>
                  </w:tcMar>
                  <w:vAlign w:val="bottom"/>
                  <w:hideMark/>
                </w:tcPr>
                <w:p w:rsidRPr="00F51537" w:rsidR="00145E5D" w:rsidP="00F51537" w:rsidRDefault="00145E5D" w14:paraId="6A11BB96" w14:textId="77777777">
                  <w:r w:rsidRPr="00F51537">
                    <w:t xml:space="preserve">                211 </w:t>
                  </w:r>
                </w:p>
              </w:tc>
              <w:tc>
                <w:tcPr>
                  <w:tcW w:w="1102" w:type="dxa"/>
                  <w:noWrap/>
                  <w:tcMar>
                    <w:top w:w="0" w:type="dxa"/>
                    <w:left w:w="70" w:type="dxa"/>
                    <w:bottom w:w="0" w:type="dxa"/>
                    <w:right w:w="70" w:type="dxa"/>
                  </w:tcMar>
                  <w:vAlign w:val="bottom"/>
                  <w:hideMark/>
                </w:tcPr>
                <w:p w:rsidRPr="00F51537" w:rsidR="00145E5D" w:rsidP="00F51537" w:rsidRDefault="00145E5D" w14:paraId="455655EA" w14:textId="77777777">
                  <w:r w:rsidRPr="00F51537">
                    <w:t xml:space="preserve">                130 </w:t>
                  </w:r>
                </w:p>
              </w:tc>
            </w:tr>
            <w:tr w:rsidRPr="00F51537" w:rsidR="00145E5D" w:rsidTr="00F51537" w14:paraId="1FA672BF" w14:textId="77777777">
              <w:trPr>
                <w:trHeight w:val="230"/>
              </w:trPr>
              <w:tc>
                <w:tcPr>
                  <w:tcW w:w="3550"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2FE6C07F" w14:textId="77777777">
                  <w:pPr>
                    <w:rPr>
                      <w:sz w:val="12"/>
                      <w:szCs w:val="12"/>
                    </w:rPr>
                  </w:pPr>
                  <w:r w:rsidRPr="00F51537">
                    <w:rPr>
                      <w:b/>
                      <w:bCs/>
                      <w:sz w:val="12"/>
                      <w:szCs w:val="12"/>
                    </w:rPr>
                    <w:t>Beleidsgevoelig</w:t>
                  </w:r>
                </w:p>
              </w:tc>
              <w:tc>
                <w:tcPr>
                  <w:tcW w:w="1094"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4273A68C" w14:textId="77777777">
                  <w:pPr>
                    <w:rPr>
                      <w:sz w:val="12"/>
                      <w:szCs w:val="12"/>
                    </w:rPr>
                  </w:pPr>
                  <w:r w:rsidRPr="00F51537">
                    <w:rPr>
                      <w:b/>
                      <w:bCs/>
                      <w:sz w:val="12"/>
                      <w:szCs w:val="12"/>
                    </w:rPr>
                    <w:t xml:space="preserve">           1.845 </w:t>
                  </w:r>
                </w:p>
              </w:tc>
              <w:tc>
                <w:tcPr>
                  <w:tcW w:w="1093"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69C91D9A" w14:textId="77777777">
                  <w:pPr>
                    <w:rPr>
                      <w:sz w:val="12"/>
                      <w:szCs w:val="12"/>
                    </w:rPr>
                  </w:pPr>
                  <w:r w:rsidRPr="00F51537">
                    <w:rPr>
                      <w:b/>
                      <w:bCs/>
                      <w:sz w:val="12"/>
                      <w:szCs w:val="12"/>
                    </w:rPr>
                    <w:t xml:space="preserve">           1.941 </w:t>
                  </w:r>
                </w:p>
              </w:tc>
              <w:tc>
                <w:tcPr>
                  <w:tcW w:w="1085"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6381877E" w14:textId="77777777">
                  <w:pPr>
                    <w:rPr>
                      <w:sz w:val="12"/>
                      <w:szCs w:val="12"/>
                    </w:rPr>
                  </w:pPr>
                  <w:r w:rsidRPr="00F51537">
                    <w:rPr>
                      <w:b/>
                      <w:bCs/>
                      <w:sz w:val="12"/>
                      <w:szCs w:val="12"/>
                    </w:rPr>
                    <w:t xml:space="preserve">           1.870 </w:t>
                  </w:r>
                </w:p>
              </w:tc>
              <w:tc>
                <w:tcPr>
                  <w:tcW w:w="1102"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7B37D1D9" w14:textId="77777777">
                  <w:r w:rsidRPr="00F51537">
                    <w:rPr>
                      <w:b/>
                      <w:bCs/>
                    </w:rPr>
                    <w:t xml:space="preserve">           1.414 </w:t>
                  </w:r>
                </w:p>
              </w:tc>
              <w:tc>
                <w:tcPr>
                  <w:tcW w:w="1102"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277A734F" w14:textId="77777777">
                  <w:r w:rsidRPr="00F51537">
                    <w:rPr>
                      <w:b/>
                      <w:bCs/>
                    </w:rPr>
                    <w:t xml:space="preserve">           2.616 </w:t>
                  </w:r>
                </w:p>
              </w:tc>
            </w:tr>
            <w:tr w:rsidRPr="00F51537" w:rsidR="00145E5D" w:rsidTr="00F51537" w14:paraId="6C961663" w14:textId="77777777">
              <w:trPr>
                <w:trHeight w:val="230"/>
              </w:trPr>
              <w:tc>
                <w:tcPr>
                  <w:tcW w:w="3550" w:type="dxa"/>
                  <w:noWrap/>
                  <w:tcMar>
                    <w:top w:w="0" w:type="dxa"/>
                    <w:left w:w="70" w:type="dxa"/>
                    <w:bottom w:w="0" w:type="dxa"/>
                    <w:right w:w="70" w:type="dxa"/>
                  </w:tcMar>
                  <w:vAlign w:val="bottom"/>
                  <w:hideMark/>
                </w:tcPr>
                <w:p w:rsidRPr="00F51537" w:rsidR="00145E5D" w:rsidP="00F51537" w:rsidRDefault="00145E5D" w14:paraId="4F8CC315" w14:textId="77777777">
                  <w:pPr>
                    <w:rPr>
                      <w:sz w:val="12"/>
                      <w:szCs w:val="12"/>
                    </w:rPr>
                  </w:pPr>
                  <w:r w:rsidRPr="00F51537">
                    <w:rPr>
                      <w:sz w:val="12"/>
                      <w:szCs w:val="12"/>
                    </w:rPr>
                    <w:t>Juridisch advies</w:t>
                  </w:r>
                </w:p>
              </w:tc>
              <w:tc>
                <w:tcPr>
                  <w:tcW w:w="1094" w:type="dxa"/>
                  <w:noWrap/>
                  <w:tcMar>
                    <w:top w:w="0" w:type="dxa"/>
                    <w:left w:w="70" w:type="dxa"/>
                    <w:bottom w:w="0" w:type="dxa"/>
                    <w:right w:w="70" w:type="dxa"/>
                  </w:tcMar>
                  <w:vAlign w:val="bottom"/>
                  <w:hideMark/>
                </w:tcPr>
                <w:p w:rsidRPr="00F51537" w:rsidR="00145E5D" w:rsidP="00F51537" w:rsidRDefault="00145E5D" w14:paraId="6624D139" w14:textId="77777777">
                  <w:pPr>
                    <w:rPr>
                      <w:sz w:val="12"/>
                      <w:szCs w:val="12"/>
                    </w:rPr>
                  </w:pPr>
                  <w:r w:rsidRPr="00F51537">
                    <w:rPr>
                      <w:sz w:val="12"/>
                      <w:szCs w:val="12"/>
                    </w:rPr>
                    <w:t xml:space="preserve">                  69 </w:t>
                  </w:r>
                </w:p>
              </w:tc>
              <w:tc>
                <w:tcPr>
                  <w:tcW w:w="1093" w:type="dxa"/>
                  <w:noWrap/>
                  <w:tcMar>
                    <w:top w:w="0" w:type="dxa"/>
                    <w:left w:w="70" w:type="dxa"/>
                    <w:bottom w:w="0" w:type="dxa"/>
                    <w:right w:w="70" w:type="dxa"/>
                  </w:tcMar>
                  <w:vAlign w:val="bottom"/>
                  <w:hideMark/>
                </w:tcPr>
                <w:p w:rsidRPr="00F51537" w:rsidR="00145E5D" w:rsidP="00F51537" w:rsidRDefault="00145E5D" w14:paraId="2D7B5452" w14:textId="77777777">
                  <w:pPr>
                    <w:rPr>
                      <w:sz w:val="12"/>
                      <w:szCs w:val="12"/>
                    </w:rPr>
                  </w:pPr>
                  <w:r w:rsidRPr="00F51537">
                    <w:rPr>
                      <w:sz w:val="12"/>
                      <w:szCs w:val="12"/>
                    </w:rPr>
                    <w:t xml:space="preserve">                  55 </w:t>
                  </w:r>
                </w:p>
              </w:tc>
              <w:tc>
                <w:tcPr>
                  <w:tcW w:w="1085" w:type="dxa"/>
                  <w:noWrap/>
                  <w:tcMar>
                    <w:top w:w="0" w:type="dxa"/>
                    <w:left w:w="70" w:type="dxa"/>
                    <w:bottom w:w="0" w:type="dxa"/>
                    <w:right w:w="70" w:type="dxa"/>
                  </w:tcMar>
                  <w:vAlign w:val="bottom"/>
                  <w:hideMark/>
                </w:tcPr>
                <w:p w:rsidRPr="00F51537" w:rsidR="00145E5D" w:rsidP="00F51537" w:rsidRDefault="00145E5D" w14:paraId="6F5E94BE" w14:textId="77777777">
                  <w:pPr>
                    <w:rPr>
                      <w:sz w:val="12"/>
                      <w:szCs w:val="12"/>
                    </w:rPr>
                  </w:pPr>
                  <w:r w:rsidRPr="00F51537">
                    <w:rPr>
                      <w:sz w:val="12"/>
                      <w:szCs w:val="12"/>
                    </w:rPr>
                    <w:t xml:space="preserve">                119 </w:t>
                  </w:r>
                </w:p>
              </w:tc>
              <w:tc>
                <w:tcPr>
                  <w:tcW w:w="1102" w:type="dxa"/>
                  <w:noWrap/>
                  <w:tcMar>
                    <w:top w:w="0" w:type="dxa"/>
                    <w:left w:w="70" w:type="dxa"/>
                    <w:bottom w:w="0" w:type="dxa"/>
                    <w:right w:w="70" w:type="dxa"/>
                  </w:tcMar>
                  <w:vAlign w:val="bottom"/>
                  <w:hideMark/>
                </w:tcPr>
                <w:p w:rsidRPr="00F51537" w:rsidR="00145E5D" w:rsidP="00F51537" w:rsidRDefault="00145E5D" w14:paraId="1A7D3DC1" w14:textId="77777777">
                  <w:r w:rsidRPr="00F51537">
                    <w:t xml:space="preserve">                    2 </w:t>
                  </w:r>
                </w:p>
              </w:tc>
              <w:tc>
                <w:tcPr>
                  <w:tcW w:w="1102" w:type="dxa"/>
                  <w:noWrap/>
                  <w:tcMar>
                    <w:top w:w="0" w:type="dxa"/>
                    <w:left w:w="70" w:type="dxa"/>
                    <w:bottom w:w="0" w:type="dxa"/>
                    <w:right w:w="70" w:type="dxa"/>
                  </w:tcMar>
                  <w:vAlign w:val="bottom"/>
                  <w:hideMark/>
                </w:tcPr>
                <w:p w:rsidRPr="00F51537" w:rsidR="00145E5D" w:rsidP="00F51537" w:rsidRDefault="00145E5D" w14:paraId="51B6CAFC" w14:textId="77777777">
                  <w:r w:rsidRPr="00F51537">
                    <w:t xml:space="preserve">                177 </w:t>
                  </w:r>
                </w:p>
              </w:tc>
            </w:tr>
            <w:tr w:rsidRPr="00F51537" w:rsidR="00145E5D" w:rsidTr="00F51537" w14:paraId="64C04FD3" w14:textId="77777777">
              <w:trPr>
                <w:trHeight w:val="230"/>
              </w:trPr>
              <w:tc>
                <w:tcPr>
                  <w:tcW w:w="3550" w:type="dxa"/>
                  <w:noWrap/>
                  <w:tcMar>
                    <w:top w:w="0" w:type="dxa"/>
                    <w:left w:w="70" w:type="dxa"/>
                    <w:bottom w:w="0" w:type="dxa"/>
                    <w:right w:w="70" w:type="dxa"/>
                  </w:tcMar>
                  <w:vAlign w:val="bottom"/>
                  <w:hideMark/>
                </w:tcPr>
                <w:p w:rsidRPr="00F51537" w:rsidR="00145E5D" w:rsidP="00F51537" w:rsidRDefault="00145E5D" w14:paraId="54E5C2EF" w14:textId="77777777">
                  <w:pPr>
                    <w:rPr>
                      <w:sz w:val="12"/>
                      <w:szCs w:val="12"/>
                    </w:rPr>
                  </w:pPr>
                  <w:r w:rsidRPr="00F51537">
                    <w:rPr>
                      <w:sz w:val="12"/>
                      <w:szCs w:val="12"/>
                    </w:rPr>
                    <w:t>Advisering opdrachtgevers automatisering</w:t>
                  </w:r>
                </w:p>
              </w:tc>
              <w:tc>
                <w:tcPr>
                  <w:tcW w:w="1094" w:type="dxa"/>
                  <w:noWrap/>
                  <w:tcMar>
                    <w:top w:w="0" w:type="dxa"/>
                    <w:left w:w="70" w:type="dxa"/>
                    <w:bottom w:w="0" w:type="dxa"/>
                    <w:right w:w="70" w:type="dxa"/>
                  </w:tcMar>
                  <w:vAlign w:val="bottom"/>
                  <w:hideMark/>
                </w:tcPr>
                <w:p w:rsidRPr="00F51537" w:rsidR="00145E5D" w:rsidP="00F51537" w:rsidRDefault="00145E5D" w14:paraId="0D74251E" w14:textId="77777777">
                  <w:pPr>
                    <w:rPr>
                      <w:sz w:val="12"/>
                      <w:szCs w:val="12"/>
                    </w:rPr>
                  </w:pPr>
                  <w:r w:rsidRPr="00F51537">
                    <w:rPr>
                      <w:sz w:val="12"/>
                      <w:szCs w:val="12"/>
                    </w:rPr>
                    <w:t xml:space="preserve">                  54 </w:t>
                  </w:r>
                </w:p>
              </w:tc>
              <w:tc>
                <w:tcPr>
                  <w:tcW w:w="1093" w:type="dxa"/>
                  <w:noWrap/>
                  <w:tcMar>
                    <w:top w:w="0" w:type="dxa"/>
                    <w:left w:w="70" w:type="dxa"/>
                    <w:bottom w:w="0" w:type="dxa"/>
                    <w:right w:w="70" w:type="dxa"/>
                  </w:tcMar>
                  <w:vAlign w:val="bottom"/>
                  <w:hideMark/>
                </w:tcPr>
                <w:p w:rsidRPr="00F51537" w:rsidR="00145E5D" w:rsidP="00F51537" w:rsidRDefault="00145E5D" w14:paraId="3BC09EA7" w14:textId="77777777">
                  <w:pPr>
                    <w:rPr>
                      <w:sz w:val="12"/>
                      <w:szCs w:val="12"/>
                    </w:rPr>
                  </w:pPr>
                  <w:r w:rsidRPr="00F51537">
                    <w:rPr>
                      <w:sz w:val="12"/>
                      <w:szCs w:val="12"/>
                    </w:rPr>
                    <w:t xml:space="preserve">             1.537 </w:t>
                  </w:r>
                </w:p>
              </w:tc>
              <w:tc>
                <w:tcPr>
                  <w:tcW w:w="1085" w:type="dxa"/>
                  <w:noWrap/>
                  <w:tcMar>
                    <w:top w:w="0" w:type="dxa"/>
                    <w:left w:w="70" w:type="dxa"/>
                    <w:bottom w:w="0" w:type="dxa"/>
                    <w:right w:w="70" w:type="dxa"/>
                  </w:tcMar>
                  <w:vAlign w:val="bottom"/>
                  <w:hideMark/>
                </w:tcPr>
                <w:p w:rsidRPr="00F51537" w:rsidR="00145E5D" w:rsidP="00F51537" w:rsidRDefault="00145E5D" w14:paraId="679353B1" w14:textId="77777777">
                  <w:pPr>
                    <w:rPr>
                      <w:sz w:val="12"/>
                      <w:szCs w:val="12"/>
                    </w:rPr>
                  </w:pPr>
                  <w:r w:rsidRPr="00F51537">
                    <w:rPr>
                      <w:sz w:val="12"/>
                      <w:szCs w:val="12"/>
                    </w:rPr>
                    <w:t xml:space="preserve">                727 </w:t>
                  </w:r>
                </w:p>
              </w:tc>
              <w:tc>
                <w:tcPr>
                  <w:tcW w:w="1102" w:type="dxa"/>
                  <w:noWrap/>
                  <w:tcMar>
                    <w:top w:w="0" w:type="dxa"/>
                    <w:left w:w="70" w:type="dxa"/>
                    <w:bottom w:w="0" w:type="dxa"/>
                    <w:right w:w="70" w:type="dxa"/>
                  </w:tcMar>
                  <w:vAlign w:val="bottom"/>
                  <w:hideMark/>
                </w:tcPr>
                <w:p w:rsidRPr="00F51537" w:rsidR="00145E5D" w:rsidP="00F51537" w:rsidRDefault="00145E5D" w14:paraId="19FEA424" w14:textId="77777777">
                  <w:r w:rsidRPr="00F51537">
                    <w:t xml:space="preserve">                    - </w:t>
                  </w:r>
                </w:p>
              </w:tc>
              <w:tc>
                <w:tcPr>
                  <w:tcW w:w="1102" w:type="dxa"/>
                  <w:noWrap/>
                  <w:tcMar>
                    <w:top w:w="0" w:type="dxa"/>
                    <w:left w:w="70" w:type="dxa"/>
                    <w:bottom w:w="0" w:type="dxa"/>
                    <w:right w:w="70" w:type="dxa"/>
                  </w:tcMar>
                  <w:vAlign w:val="bottom"/>
                  <w:hideMark/>
                </w:tcPr>
                <w:p w:rsidRPr="00F51537" w:rsidR="00145E5D" w:rsidP="00F51537" w:rsidRDefault="00145E5D" w14:paraId="58EBAFB3" w14:textId="77777777">
                  <w:r w:rsidRPr="00F51537">
                    <w:t xml:space="preserve">                  81 </w:t>
                  </w:r>
                </w:p>
              </w:tc>
            </w:tr>
            <w:tr w:rsidRPr="00F51537" w:rsidR="00145E5D" w:rsidTr="00F51537" w14:paraId="6278AD1B" w14:textId="77777777">
              <w:trPr>
                <w:trHeight w:val="230"/>
              </w:trPr>
              <w:tc>
                <w:tcPr>
                  <w:tcW w:w="3550" w:type="dxa"/>
                  <w:noWrap/>
                  <w:tcMar>
                    <w:top w:w="0" w:type="dxa"/>
                    <w:left w:w="70" w:type="dxa"/>
                    <w:bottom w:w="0" w:type="dxa"/>
                    <w:right w:w="70" w:type="dxa"/>
                  </w:tcMar>
                  <w:vAlign w:val="bottom"/>
                  <w:hideMark/>
                </w:tcPr>
                <w:p w:rsidRPr="00F51537" w:rsidR="00145E5D" w:rsidP="00F51537" w:rsidRDefault="00145E5D" w14:paraId="40C33DC6" w14:textId="77777777">
                  <w:pPr>
                    <w:rPr>
                      <w:sz w:val="12"/>
                      <w:szCs w:val="12"/>
                    </w:rPr>
                  </w:pPr>
                  <w:r w:rsidRPr="00F51537">
                    <w:rPr>
                      <w:sz w:val="12"/>
                      <w:szCs w:val="12"/>
                    </w:rPr>
                    <w:t xml:space="preserve">Accountancy, </w:t>
                  </w:r>
                  <w:proofErr w:type="spellStart"/>
                  <w:r w:rsidRPr="00F51537">
                    <w:rPr>
                      <w:sz w:val="12"/>
                      <w:szCs w:val="12"/>
                    </w:rPr>
                    <w:t>financien</w:t>
                  </w:r>
                  <w:proofErr w:type="spellEnd"/>
                  <w:r w:rsidRPr="00F51537">
                    <w:rPr>
                      <w:sz w:val="12"/>
                      <w:szCs w:val="12"/>
                    </w:rPr>
                    <w:t xml:space="preserve"> en administratieve organisatie</w:t>
                  </w:r>
                </w:p>
              </w:tc>
              <w:tc>
                <w:tcPr>
                  <w:tcW w:w="1094" w:type="dxa"/>
                  <w:noWrap/>
                  <w:tcMar>
                    <w:top w:w="0" w:type="dxa"/>
                    <w:left w:w="70" w:type="dxa"/>
                    <w:bottom w:w="0" w:type="dxa"/>
                    <w:right w:w="70" w:type="dxa"/>
                  </w:tcMar>
                  <w:vAlign w:val="bottom"/>
                  <w:hideMark/>
                </w:tcPr>
                <w:p w:rsidRPr="00F51537" w:rsidR="00145E5D" w:rsidP="00F51537" w:rsidRDefault="00145E5D" w14:paraId="1D25B2E4" w14:textId="77777777">
                  <w:pPr>
                    <w:rPr>
                      <w:sz w:val="12"/>
                      <w:szCs w:val="12"/>
                    </w:rPr>
                  </w:pPr>
                  <w:r w:rsidRPr="00F51537">
                    <w:rPr>
                      <w:sz w:val="12"/>
                      <w:szCs w:val="12"/>
                    </w:rPr>
                    <w:t xml:space="preserve">                210 </w:t>
                  </w:r>
                </w:p>
              </w:tc>
              <w:tc>
                <w:tcPr>
                  <w:tcW w:w="1093" w:type="dxa"/>
                  <w:noWrap/>
                  <w:tcMar>
                    <w:top w:w="0" w:type="dxa"/>
                    <w:left w:w="70" w:type="dxa"/>
                    <w:bottom w:w="0" w:type="dxa"/>
                    <w:right w:w="70" w:type="dxa"/>
                  </w:tcMar>
                  <w:vAlign w:val="bottom"/>
                  <w:hideMark/>
                </w:tcPr>
                <w:p w:rsidRPr="00F51537" w:rsidR="00145E5D" w:rsidP="00F51537" w:rsidRDefault="00145E5D" w14:paraId="4A4CA620" w14:textId="77777777">
                  <w:pPr>
                    <w:rPr>
                      <w:sz w:val="12"/>
                      <w:szCs w:val="12"/>
                    </w:rPr>
                  </w:pPr>
                  <w:r w:rsidRPr="00F51537">
                    <w:rPr>
                      <w:sz w:val="12"/>
                      <w:szCs w:val="12"/>
                    </w:rPr>
                    <w:t xml:space="preserve">                126 </w:t>
                  </w:r>
                </w:p>
              </w:tc>
              <w:tc>
                <w:tcPr>
                  <w:tcW w:w="1085" w:type="dxa"/>
                  <w:noWrap/>
                  <w:tcMar>
                    <w:top w:w="0" w:type="dxa"/>
                    <w:left w:w="70" w:type="dxa"/>
                    <w:bottom w:w="0" w:type="dxa"/>
                    <w:right w:w="70" w:type="dxa"/>
                  </w:tcMar>
                  <w:vAlign w:val="bottom"/>
                  <w:hideMark/>
                </w:tcPr>
                <w:p w:rsidRPr="00F51537" w:rsidR="00145E5D" w:rsidP="00F51537" w:rsidRDefault="00145E5D" w14:paraId="798DF688" w14:textId="77777777">
                  <w:pPr>
                    <w:rPr>
                      <w:sz w:val="12"/>
                      <w:szCs w:val="12"/>
                    </w:rPr>
                  </w:pPr>
                  <w:r w:rsidRPr="00F51537">
                    <w:rPr>
                      <w:sz w:val="12"/>
                      <w:szCs w:val="12"/>
                    </w:rPr>
                    <w:t xml:space="preserve">                173 </w:t>
                  </w:r>
                </w:p>
              </w:tc>
              <w:tc>
                <w:tcPr>
                  <w:tcW w:w="1102" w:type="dxa"/>
                  <w:noWrap/>
                  <w:tcMar>
                    <w:top w:w="0" w:type="dxa"/>
                    <w:left w:w="70" w:type="dxa"/>
                    <w:bottom w:w="0" w:type="dxa"/>
                    <w:right w:w="70" w:type="dxa"/>
                  </w:tcMar>
                  <w:vAlign w:val="bottom"/>
                  <w:hideMark/>
                </w:tcPr>
                <w:p w:rsidRPr="00F51537" w:rsidR="00145E5D" w:rsidP="00F51537" w:rsidRDefault="00145E5D" w14:paraId="5637C899" w14:textId="77777777">
                  <w:r w:rsidRPr="00F51537">
                    <w:t xml:space="preserve">                    - </w:t>
                  </w:r>
                </w:p>
              </w:tc>
              <w:tc>
                <w:tcPr>
                  <w:tcW w:w="1102" w:type="dxa"/>
                  <w:noWrap/>
                  <w:tcMar>
                    <w:top w:w="0" w:type="dxa"/>
                    <w:left w:w="70" w:type="dxa"/>
                    <w:bottom w:w="0" w:type="dxa"/>
                    <w:right w:w="70" w:type="dxa"/>
                  </w:tcMar>
                  <w:vAlign w:val="bottom"/>
                  <w:hideMark/>
                </w:tcPr>
                <w:p w:rsidRPr="00F51537" w:rsidR="00145E5D" w:rsidP="00F51537" w:rsidRDefault="00145E5D" w14:paraId="351785E7" w14:textId="77777777">
                  <w:r w:rsidRPr="00F51537">
                    <w:t xml:space="preserve">                    1 </w:t>
                  </w:r>
                </w:p>
              </w:tc>
            </w:tr>
            <w:tr w:rsidRPr="00F51537" w:rsidR="00145E5D" w:rsidTr="00F51537" w14:paraId="66C6FCC9" w14:textId="77777777">
              <w:trPr>
                <w:trHeight w:val="230"/>
              </w:trPr>
              <w:tc>
                <w:tcPr>
                  <w:tcW w:w="3550"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4A95DBDF" w14:textId="77777777">
                  <w:pPr>
                    <w:rPr>
                      <w:sz w:val="12"/>
                      <w:szCs w:val="12"/>
                    </w:rPr>
                  </w:pPr>
                  <w:r w:rsidRPr="00F51537">
                    <w:rPr>
                      <w:b/>
                      <w:bCs/>
                      <w:sz w:val="12"/>
                      <w:szCs w:val="12"/>
                    </w:rPr>
                    <w:t>(</w:t>
                  </w:r>
                  <w:proofErr w:type="spellStart"/>
                  <w:r w:rsidRPr="00F51537">
                    <w:rPr>
                      <w:b/>
                      <w:bCs/>
                      <w:sz w:val="12"/>
                      <w:szCs w:val="12"/>
                    </w:rPr>
                    <w:t>Beleids</w:t>
                  </w:r>
                  <w:proofErr w:type="spellEnd"/>
                  <w:r w:rsidRPr="00F51537">
                    <w:rPr>
                      <w:b/>
                      <w:bCs/>
                      <w:sz w:val="12"/>
                      <w:szCs w:val="12"/>
                    </w:rPr>
                    <w:t>)ondersteunend</w:t>
                  </w:r>
                </w:p>
              </w:tc>
              <w:tc>
                <w:tcPr>
                  <w:tcW w:w="1094"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7220C589" w14:textId="77777777">
                  <w:pPr>
                    <w:rPr>
                      <w:sz w:val="12"/>
                      <w:szCs w:val="12"/>
                    </w:rPr>
                  </w:pPr>
                  <w:r w:rsidRPr="00F51537">
                    <w:rPr>
                      <w:b/>
                      <w:bCs/>
                      <w:sz w:val="12"/>
                      <w:szCs w:val="12"/>
                    </w:rPr>
                    <w:t xml:space="preserve">               333 </w:t>
                  </w:r>
                </w:p>
              </w:tc>
              <w:tc>
                <w:tcPr>
                  <w:tcW w:w="1093"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6E471C91" w14:textId="77777777">
                  <w:pPr>
                    <w:rPr>
                      <w:sz w:val="12"/>
                      <w:szCs w:val="12"/>
                    </w:rPr>
                  </w:pPr>
                  <w:r w:rsidRPr="00F51537">
                    <w:rPr>
                      <w:b/>
                      <w:bCs/>
                      <w:sz w:val="12"/>
                      <w:szCs w:val="12"/>
                    </w:rPr>
                    <w:t xml:space="preserve">           1.718 </w:t>
                  </w:r>
                </w:p>
              </w:tc>
              <w:tc>
                <w:tcPr>
                  <w:tcW w:w="1085"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391FD3FF" w14:textId="77777777">
                  <w:pPr>
                    <w:rPr>
                      <w:sz w:val="12"/>
                      <w:szCs w:val="12"/>
                    </w:rPr>
                  </w:pPr>
                  <w:r w:rsidRPr="00F51537">
                    <w:rPr>
                      <w:b/>
                      <w:bCs/>
                      <w:sz w:val="12"/>
                      <w:szCs w:val="12"/>
                    </w:rPr>
                    <w:t xml:space="preserve">           1.019 </w:t>
                  </w:r>
                </w:p>
              </w:tc>
              <w:tc>
                <w:tcPr>
                  <w:tcW w:w="1102"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1514B814" w14:textId="77777777">
                  <w:r w:rsidRPr="00F51537">
                    <w:rPr>
                      <w:b/>
                      <w:bCs/>
                    </w:rPr>
                    <w:t xml:space="preserve">                   2 </w:t>
                  </w:r>
                </w:p>
              </w:tc>
              <w:tc>
                <w:tcPr>
                  <w:tcW w:w="1102"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56E693F5" w14:textId="77777777">
                  <w:r w:rsidRPr="00F51537">
                    <w:rPr>
                      <w:b/>
                      <w:bCs/>
                    </w:rPr>
                    <w:t xml:space="preserve">               259 </w:t>
                  </w:r>
                </w:p>
              </w:tc>
            </w:tr>
            <w:tr w:rsidRPr="00F51537" w:rsidR="00145E5D" w:rsidTr="00F51537" w14:paraId="16BBA65E" w14:textId="77777777">
              <w:trPr>
                <w:trHeight w:val="230"/>
              </w:trPr>
              <w:tc>
                <w:tcPr>
                  <w:tcW w:w="3550" w:type="dxa"/>
                  <w:noWrap/>
                  <w:tcMar>
                    <w:top w:w="0" w:type="dxa"/>
                    <w:left w:w="70" w:type="dxa"/>
                    <w:bottom w:w="0" w:type="dxa"/>
                    <w:right w:w="70" w:type="dxa"/>
                  </w:tcMar>
                  <w:vAlign w:val="bottom"/>
                  <w:hideMark/>
                </w:tcPr>
                <w:p w:rsidRPr="00F51537" w:rsidR="00145E5D" w:rsidP="00F51537" w:rsidRDefault="00145E5D" w14:paraId="7ADCA29A" w14:textId="77777777">
                  <w:pPr>
                    <w:rPr>
                      <w:sz w:val="12"/>
                      <w:szCs w:val="12"/>
                    </w:rPr>
                  </w:pPr>
                  <w:r w:rsidRPr="00F51537">
                    <w:rPr>
                      <w:sz w:val="12"/>
                      <w:szCs w:val="12"/>
                    </w:rPr>
                    <w:t>Uitzendkrachten</w:t>
                  </w:r>
                </w:p>
              </w:tc>
              <w:tc>
                <w:tcPr>
                  <w:tcW w:w="1094" w:type="dxa"/>
                  <w:noWrap/>
                  <w:tcMar>
                    <w:top w:w="0" w:type="dxa"/>
                    <w:left w:w="70" w:type="dxa"/>
                    <w:bottom w:w="0" w:type="dxa"/>
                    <w:right w:w="70" w:type="dxa"/>
                  </w:tcMar>
                  <w:vAlign w:val="bottom"/>
                  <w:hideMark/>
                </w:tcPr>
                <w:p w:rsidRPr="00F51537" w:rsidR="00145E5D" w:rsidP="00F51537" w:rsidRDefault="00145E5D" w14:paraId="7D56EA3F" w14:textId="77777777">
                  <w:pPr>
                    <w:rPr>
                      <w:sz w:val="12"/>
                      <w:szCs w:val="12"/>
                    </w:rPr>
                  </w:pPr>
                  <w:r w:rsidRPr="00F51537">
                    <w:rPr>
                      <w:sz w:val="12"/>
                      <w:szCs w:val="12"/>
                    </w:rPr>
                    <w:t xml:space="preserve">           32.490 </w:t>
                  </w:r>
                </w:p>
              </w:tc>
              <w:tc>
                <w:tcPr>
                  <w:tcW w:w="1093" w:type="dxa"/>
                  <w:noWrap/>
                  <w:tcMar>
                    <w:top w:w="0" w:type="dxa"/>
                    <w:left w:w="70" w:type="dxa"/>
                    <w:bottom w:w="0" w:type="dxa"/>
                    <w:right w:w="70" w:type="dxa"/>
                  </w:tcMar>
                  <w:vAlign w:val="bottom"/>
                  <w:hideMark/>
                </w:tcPr>
                <w:p w:rsidRPr="00F51537" w:rsidR="00145E5D" w:rsidP="00F51537" w:rsidRDefault="00145E5D" w14:paraId="0A658048" w14:textId="77777777">
                  <w:pPr>
                    <w:rPr>
                      <w:sz w:val="12"/>
                      <w:szCs w:val="12"/>
                    </w:rPr>
                  </w:pPr>
                  <w:r w:rsidRPr="00F51537">
                    <w:rPr>
                      <w:sz w:val="12"/>
                      <w:szCs w:val="12"/>
                    </w:rPr>
                    <w:t xml:space="preserve">           40.844 </w:t>
                  </w:r>
                </w:p>
              </w:tc>
              <w:tc>
                <w:tcPr>
                  <w:tcW w:w="1085" w:type="dxa"/>
                  <w:noWrap/>
                  <w:tcMar>
                    <w:top w:w="0" w:type="dxa"/>
                    <w:left w:w="70" w:type="dxa"/>
                    <w:bottom w:w="0" w:type="dxa"/>
                    <w:right w:w="70" w:type="dxa"/>
                  </w:tcMar>
                  <w:vAlign w:val="bottom"/>
                  <w:hideMark/>
                </w:tcPr>
                <w:p w:rsidRPr="00F51537" w:rsidR="00145E5D" w:rsidP="00F51537" w:rsidRDefault="00145E5D" w14:paraId="72F6F457" w14:textId="77777777">
                  <w:pPr>
                    <w:rPr>
                      <w:sz w:val="12"/>
                      <w:szCs w:val="12"/>
                    </w:rPr>
                  </w:pPr>
                  <w:r w:rsidRPr="00F51537">
                    <w:rPr>
                      <w:sz w:val="12"/>
                      <w:szCs w:val="12"/>
                    </w:rPr>
                    <w:t xml:space="preserve">           46.948 </w:t>
                  </w:r>
                </w:p>
              </w:tc>
              <w:tc>
                <w:tcPr>
                  <w:tcW w:w="1102" w:type="dxa"/>
                  <w:noWrap/>
                  <w:tcMar>
                    <w:top w:w="0" w:type="dxa"/>
                    <w:left w:w="70" w:type="dxa"/>
                    <w:bottom w:w="0" w:type="dxa"/>
                    <w:right w:w="70" w:type="dxa"/>
                  </w:tcMar>
                  <w:vAlign w:val="bottom"/>
                  <w:hideMark/>
                </w:tcPr>
                <w:p w:rsidRPr="00F51537" w:rsidR="00145E5D" w:rsidP="00F51537" w:rsidRDefault="00145E5D" w14:paraId="07089190" w14:textId="77777777">
                  <w:r w:rsidRPr="00F51537">
                    <w:t xml:space="preserve">           55.726 </w:t>
                  </w:r>
                </w:p>
              </w:tc>
              <w:tc>
                <w:tcPr>
                  <w:tcW w:w="1102" w:type="dxa"/>
                  <w:noWrap/>
                  <w:tcMar>
                    <w:top w:w="0" w:type="dxa"/>
                    <w:left w:w="70" w:type="dxa"/>
                    <w:bottom w:w="0" w:type="dxa"/>
                    <w:right w:w="70" w:type="dxa"/>
                  </w:tcMar>
                  <w:vAlign w:val="bottom"/>
                  <w:hideMark/>
                </w:tcPr>
                <w:p w:rsidRPr="00F51537" w:rsidR="00145E5D" w:rsidP="00F51537" w:rsidRDefault="00145E5D" w14:paraId="6EC500C6" w14:textId="77777777">
                  <w:r w:rsidRPr="00F51537">
                    <w:t xml:space="preserve">           62.051 </w:t>
                  </w:r>
                </w:p>
              </w:tc>
            </w:tr>
            <w:tr w:rsidRPr="00F51537" w:rsidR="00145E5D" w:rsidTr="00F51537" w14:paraId="06E9274D" w14:textId="77777777">
              <w:trPr>
                <w:trHeight w:val="230"/>
              </w:trPr>
              <w:tc>
                <w:tcPr>
                  <w:tcW w:w="3550"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37EA1022" w14:textId="77777777">
                  <w:pPr>
                    <w:rPr>
                      <w:sz w:val="12"/>
                      <w:szCs w:val="12"/>
                    </w:rPr>
                  </w:pPr>
                  <w:r w:rsidRPr="00F51537">
                    <w:rPr>
                      <w:b/>
                      <w:bCs/>
                      <w:sz w:val="12"/>
                      <w:szCs w:val="12"/>
                    </w:rPr>
                    <w:lastRenderedPageBreak/>
                    <w:t>Ondersteuning bedrijfsvoering</w:t>
                  </w:r>
                </w:p>
              </w:tc>
              <w:tc>
                <w:tcPr>
                  <w:tcW w:w="1094"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2979B3BB" w14:textId="77777777">
                  <w:pPr>
                    <w:rPr>
                      <w:sz w:val="12"/>
                      <w:szCs w:val="12"/>
                    </w:rPr>
                  </w:pPr>
                  <w:r w:rsidRPr="00F51537">
                    <w:rPr>
                      <w:b/>
                      <w:bCs/>
                      <w:sz w:val="12"/>
                      <w:szCs w:val="12"/>
                    </w:rPr>
                    <w:t xml:space="preserve">         32.490 </w:t>
                  </w:r>
                </w:p>
              </w:tc>
              <w:tc>
                <w:tcPr>
                  <w:tcW w:w="1093"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3CF0DC6F" w14:textId="77777777">
                  <w:pPr>
                    <w:rPr>
                      <w:sz w:val="12"/>
                      <w:szCs w:val="12"/>
                    </w:rPr>
                  </w:pPr>
                  <w:r w:rsidRPr="00F51537">
                    <w:rPr>
                      <w:b/>
                      <w:bCs/>
                      <w:sz w:val="12"/>
                      <w:szCs w:val="12"/>
                    </w:rPr>
                    <w:t xml:space="preserve">         40.844 </w:t>
                  </w:r>
                </w:p>
              </w:tc>
              <w:tc>
                <w:tcPr>
                  <w:tcW w:w="1085"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7F455D72" w14:textId="77777777">
                  <w:pPr>
                    <w:rPr>
                      <w:sz w:val="12"/>
                      <w:szCs w:val="12"/>
                    </w:rPr>
                  </w:pPr>
                  <w:r w:rsidRPr="00F51537">
                    <w:rPr>
                      <w:b/>
                      <w:bCs/>
                      <w:sz w:val="12"/>
                      <w:szCs w:val="12"/>
                    </w:rPr>
                    <w:t xml:space="preserve">         46.948 </w:t>
                  </w:r>
                </w:p>
              </w:tc>
              <w:tc>
                <w:tcPr>
                  <w:tcW w:w="1102"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231ED76D" w14:textId="77777777">
                  <w:r w:rsidRPr="00F51537">
                    <w:rPr>
                      <w:b/>
                      <w:bCs/>
                    </w:rPr>
                    <w:t xml:space="preserve">         55.726 </w:t>
                  </w:r>
                </w:p>
              </w:tc>
              <w:tc>
                <w:tcPr>
                  <w:tcW w:w="1102"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F51537" w:rsidR="00145E5D" w:rsidP="00F51537" w:rsidRDefault="00145E5D" w14:paraId="713B318F" w14:textId="77777777">
                  <w:r w:rsidRPr="00F51537">
                    <w:rPr>
                      <w:b/>
                      <w:bCs/>
                    </w:rPr>
                    <w:t xml:space="preserve">         62.051 </w:t>
                  </w:r>
                </w:p>
              </w:tc>
            </w:tr>
            <w:tr w:rsidRPr="00F51537" w:rsidR="00145E5D" w:rsidTr="00F51537" w14:paraId="79C2904A" w14:textId="77777777">
              <w:trPr>
                <w:trHeight w:val="240"/>
              </w:trPr>
              <w:tc>
                <w:tcPr>
                  <w:tcW w:w="3550" w:type="dxa"/>
                  <w:tcBorders>
                    <w:top w:val="nil"/>
                    <w:left w:val="nil"/>
                    <w:bottom w:val="double" w:color="auto" w:sz="6" w:space="0"/>
                    <w:right w:val="nil"/>
                  </w:tcBorders>
                  <w:noWrap/>
                  <w:tcMar>
                    <w:top w:w="0" w:type="dxa"/>
                    <w:left w:w="70" w:type="dxa"/>
                    <w:bottom w:w="0" w:type="dxa"/>
                    <w:right w:w="70" w:type="dxa"/>
                  </w:tcMar>
                  <w:vAlign w:val="bottom"/>
                  <w:hideMark/>
                </w:tcPr>
                <w:p w:rsidRPr="00F51537" w:rsidR="00145E5D" w:rsidP="00F51537" w:rsidRDefault="00145E5D" w14:paraId="39955B43" w14:textId="77777777">
                  <w:pPr>
                    <w:rPr>
                      <w:sz w:val="12"/>
                      <w:szCs w:val="12"/>
                    </w:rPr>
                  </w:pPr>
                  <w:r w:rsidRPr="00F51537">
                    <w:rPr>
                      <w:b/>
                      <w:bCs/>
                      <w:sz w:val="12"/>
                      <w:szCs w:val="12"/>
                    </w:rPr>
                    <w:t>Totaal uitgaven inhuur externen</w:t>
                  </w:r>
                </w:p>
              </w:tc>
              <w:tc>
                <w:tcPr>
                  <w:tcW w:w="1094" w:type="dxa"/>
                  <w:tcBorders>
                    <w:top w:val="nil"/>
                    <w:left w:val="nil"/>
                    <w:bottom w:val="double" w:color="auto" w:sz="6" w:space="0"/>
                    <w:right w:val="nil"/>
                  </w:tcBorders>
                  <w:noWrap/>
                  <w:tcMar>
                    <w:top w:w="0" w:type="dxa"/>
                    <w:left w:w="70" w:type="dxa"/>
                    <w:bottom w:w="0" w:type="dxa"/>
                    <w:right w:w="70" w:type="dxa"/>
                  </w:tcMar>
                  <w:vAlign w:val="bottom"/>
                  <w:hideMark/>
                </w:tcPr>
                <w:p w:rsidRPr="00F51537" w:rsidR="00145E5D" w:rsidP="00F51537" w:rsidRDefault="00145E5D" w14:paraId="31DAEC36" w14:textId="77777777">
                  <w:pPr>
                    <w:rPr>
                      <w:sz w:val="12"/>
                      <w:szCs w:val="12"/>
                    </w:rPr>
                  </w:pPr>
                  <w:r w:rsidRPr="00F51537">
                    <w:rPr>
                      <w:b/>
                      <w:bCs/>
                      <w:sz w:val="12"/>
                      <w:szCs w:val="12"/>
                    </w:rPr>
                    <w:t xml:space="preserve">         34.668 </w:t>
                  </w:r>
                </w:p>
              </w:tc>
              <w:tc>
                <w:tcPr>
                  <w:tcW w:w="1093" w:type="dxa"/>
                  <w:tcBorders>
                    <w:top w:val="nil"/>
                    <w:left w:val="nil"/>
                    <w:bottom w:val="double" w:color="auto" w:sz="6" w:space="0"/>
                    <w:right w:val="nil"/>
                  </w:tcBorders>
                  <w:noWrap/>
                  <w:tcMar>
                    <w:top w:w="0" w:type="dxa"/>
                    <w:left w:w="70" w:type="dxa"/>
                    <w:bottom w:w="0" w:type="dxa"/>
                    <w:right w:w="70" w:type="dxa"/>
                  </w:tcMar>
                  <w:vAlign w:val="bottom"/>
                  <w:hideMark/>
                </w:tcPr>
                <w:p w:rsidRPr="00F51537" w:rsidR="00145E5D" w:rsidP="00F51537" w:rsidRDefault="00145E5D" w14:paraId="36A4A969" w14:textId="77777777">
                  <w:pPr>
                    <w:rPr>
                      <w:sz w:val="12"/>
                      <w:szCs w:val="12"/>
                    </w:rPr>
                  </w:pPr>
                  <w:r w:rsidRPr="00F51537">
                    <w:rPr>
                      <w:b/>
                      <w:bCs/>
                      <w:sz w:val="12"/>
                      <w:szCs w:val="12"/>
                    </w:rPr>
                    <w:t xml:space="preserve">         44.503 </w:t>
                  </w:r>
                </w:p>
              </w:tc>
              <w:tc>
                <w:tcPr>
                  <w:tcW w:w="1085" w:type="dxa"/>
                  <w:tcBorders>
                    <w:top w:val="nil"/>
                    <w:left w:val="nil"/>
                    <w:bottom w:val="double" w:color="auto" w:sz="6" w:space="0"/>
                    <w:right w:val="nil"/>
                  </w:tcBorders>
                  <w:noWrap/>
                  <w:tcMar>
                    <w:top w:w="0" w:type="dxa"/>
                    <w:left w:w="70" w:type="dxa"/>
                    <w:bottom w:w="0" w:type="dxa"/>
                    <w:right w:w="70" w:type="dxa"/>
                  </w:tcMar>
                  <w:vAlign w:val="bottom"/>
                  <w:hideMark/>
                </w:tcPr>
                <w:p w:rsidRPr="00F51537" w:rsidR="00145E5D" w:rsidP="00F51537" w:rsidRDefault="00145E5D" w14:paraId="6603FA28" w14:textId="77777777">
                  <w:pPr>
                    <w:rPr>
                      <w:sz w:val="12"/>
                      <w:szCs w:val="12"/>
                    </w:rPr>
                  </w:pPr>
                  <w:r w:rsidRPr="00F51537">
                    <w:rPr>
                      <w:b/>
                      <w:bCs/>
                      <w:sz w:val="12"/>
                      <w:szCs w:val="12"/>
                    </w:rPr>
                    <w:t xml:space="preserve">         49.838 </w:t>
                  </w:r>
                </w:p>
              </w:tc>
              <w:tc>
                <w:tcPr>
                  <w:tcW w:w="1102" w:type="dxa"/>
                  <w:tcBorders>
                    <w:top w:val="nil"/>
                    <w:left w:val="nil"/>
                    <w:bottom w:val="double" w:color="auto" w:sz="6" w:space="0"/>
                    <w:right w:val="nil"/>
                  </w:tcBorders>
                  <w:noWrap/>
                  <w:tcMar>
                    <w:top w:w="0" w:type="dxa"/>
                    <w:left w:w="70" w:type="dxa"/>
                    <w:bottom w:w="0" w:type="dxa"/>
                    <w:right w:w="70" w:type="dxa"/>
                  </w:tcMar>
                  <w:vAlign w:val="bottom"/>
                  <w:hideMark/>
                </w:tcPr>
                <w:p w:rsidRPr="00F51537" w:rsidR="00145E5D" w:rsidP="00F51537" w:rsidRDefault="00145E5D" w14:paraId="41A0C8A4" w14:textId="77777777">
                  <w:r w:rsidRPr="00F51537">
                    <w:rPr>
                      <w:b/>
                      <w:bCs/>
                    </w:rPr>
                    <w:t xml:space="preserve">         57.142 </w:t>
                  </w:r>
                </w:p>
              </w:tc>
              <w:tc>
                <w:tcPr>
                  <w:tcW w:w="1102" w:type="dxa"/>
                  <w:tcBorders>
                    <w:top w:val="nil"/>
                    <w:left w:val="nil"/>
                    <w:bottom w:val="double" w:color="auto" w:sz="6" w:space="0"/>
                    <w:right w:val="nil"/>
                  </w:tcBorders>
                  <w:noWrap/>
                  <w:tcMar>
                    <w:top w:w="0" w:type="dxa"/>
                    <w:left w:w="70" w:type="dxa"/>
                    <w:bottom w:w="0" w:type="dxa"/>
                    <w:right w:w="70" w:type="dxa"/>
                  </w:tcMar>
                  <w:vAlign w:val="bottom"/>
                  <w:hideMark/>
                </w:tcPr>
                <w:p w:rsidRPr="00F51537" w:rsidR="00145E5D" w:rsidP="00F51537" w:rsidRDefault="00145E5D" w14:paraId="503E1BEF" w14:textId="77777777">
                  <w:r w:rsidRPr="00F51537">
                    <w:rPr>
                      <w:b/>
                      <w:bCs/>
                    </w:rPr>
                    <w:t xml:space="preserve">         64.925 </w:t>
                  </w:r>
                </w:p>
              </w:tc>
            </w:tr>
          </w:tbl>
          <w:p w:rsidRPr="008B3DAB" w:rsidR="00145E5D" w:rsidP="008B3DAB" w:rsidRDefault="00145E5D" w14:paraId="323F8055" w14:textId="587496FE">
            <w:r w:rsidRPr="003B48C9">
              <w:rPr>
                <w:b/>
                <w:bCs/>
              </w:rPr>
              <w:t xml:space="preserve">Het merendeel van de inhuur ter ondersteuning van de bedrijfsvoering betreft IT-specialisten die bij automatiseringsprojecten worden ingezet, waaronder de (door)ontwikkeling van systemen voor de consulaire dienstverlening. </w:t>
            </w:r>
          </w:p>
          <w:p w:rsidRPr="003B48C9" w:rsidR="00145E5D" w:rsidP="00F51537" w:rsidRDefault="00145E5D" w14:paraId="492B0928" w14:textId="77777777">
            <w:pPr>
              <w:rPr>
                <w:b/>
                <w:bCs/>
              </w:rPr>
            </w:pPr>
            <w:r w:rsidRPr="003B48C9">
              <w:rPr>
                <w:b/>
                <w:bCs/>
              </w:rPr>
              <w:t>Het doel voor de komende vijf jaar is om binnen de Roemernorm te blijven (norm:10%, realisatie BZ in 2024: 9,17%). Via een taakstellende korting op de inhuurbudgetten is dit geborgd.</w:t>
            </w:r>
          </w:p>
          <w:p w:rsidRPr="003B48C9" w:rsidR="00145E5D" w:rsidP="00F51537" w:rsidRDefault="00145E5D" w14:paraId="130B19ED" w14:textId="77777777">
            <w:pPr>
              <w:rPr>
                <w:b/>
                <w:bCs/>
              </w:rPr>
            </w:pPr>
            <w:r w:rsidRPr="003B48C9">
              <w:rPr>
                <w:b/>
                <w:bCs/>
              </w:rPr>
              <w:t xml:space="preserve">Beleidsinhoudelijk sluit BZ aan bij de Rijksbrede aanpak zoals verwoord in de Kamerbrief </w:t>
            </w:r>
            <w:r w:rsidRPr="003B48C9">
              <w:rPr>
                <w:b/>
                <w:bCs/>
                <w:i/>
                <w:iCs/>
              </w:rPr>
              <w:t>Terugdringen externe inhuur</w:t>
            </w:r>
            <w:r w:rsidRPr="003B48C9">
              <w:rPr>
                <w:b/>
                <w:bCs/>
              </w:rPr>
              <w:t xml:space="preserve"> van 18 april 2025.</w:t>
            </w:r>
          </w:p>
          <w:p w:rsidR="00145E5D" w:rsidRDefault="00145E5D" w14:paraId="319050D4" w14:textId="16262D96"/>
        </w:tc>
        <w:tc>
          <w:tcPr>
            <w:tcW w:w="855" w:type="dxa"/>
          </w:tcPr>
          <w:p w:rsidR="00145E5D" w:rsidRDefault="00145E5D" w14:paraId="3BC640CE" w14:textId="77777777">
            <w:pPr>
              <w:jc w:val="right"/>
            </w:pPr>
            <w:r>
              <w:lastRenderedPageBreak/>
              <w:t>24</w:t>
            </w:r>
          </w:p>
        </w:tc>
        <w:tc>
          <w:tcPr>
            <w:tcW w:w="567" w:type="dxa"/>
          </w:tcPr>
          <w:p w:rsidR="00145E5D" w:rsidRDefault="00145E5D" w14:paraId="3FB0F348" w14:textId="77777777">
            <w:pPr>
              <w:jc w:val="right"/>
            </w:pPr>
            <w:r>
              <w:t xml:space="preserve"> </w:t>
            </w:r>
          </w:p>
        </w:tc>
      </w:tr>
      <w:tr w:rsidR="00145E5D" w:rsidTr="00BE5B54" w14:paraId="705A5629" w14:textId="77777777">
        <w:tc>
          <w:tcPr>
            <w:tcW w:w="567" w:type="dxa"/>
          </w:tcPr>
          <w:p w:rsidR="00145E5D" w:rsidRDefault="00145E5D" w14:paraId="65A4BD93" w14:textId="77777777">
            <w:r>
              <w:t>40</w:t>
            </w:r>
          </w:p>
        </w:tc>
        <w:tc>
          <w:tcPr>
            <w:tcW w:w="6521" w:type="dxa"/>
          </w:tcPr>
          <w:p w:rsidR="00145E5D" w:rsidRDefault="00145E5D" w14:paraId="6DBBCEFB" w14:textId="77777777">
            <w:r>
              <w:t>Zijn de gevolgen van de aangekondigde sluitingen van diplomatieke posten voor de inzet voor mensenrechten, vrouwenrechten en het uitdragen van Nederlandse waarden in kaart gebracht? Kunt u uitsplitsen wat er allemaal wegvalt?</w:t>
            </w:r>
          </w:p>
          <w:p w:rsidR="00145E5D" w:rsidRDefault="00145E5D" w14:paraId="5900685F" w14:textId="77777777"/>
          <w:p w:rsidRPr="00D35E79" w:rsidR="00D35E79" w:rsidP="00D35E79" w:rsidRDefault="00D35E79" w14:paraId="41FA4309" w14:textId="77777777">
            <w:pPr>
              <w:rPr>
                <w:b/>
                <w:bCs/>
              </w:rPr>
            </w:pPr>
            <w:r w:rsidRPr="00D35E79">
              <w:rPr>
                <w:b/>
                <w:bCs/>
              </w:rPr>
              <w:t>Antwoord:</w:t>
            </w:r>
          </w:p>
          <w:p w:rsidRPr="00B125F0" w:rsidR="00145E5D" w:rsidP="00B0286A" w:rsidRDefault="00145E5D" w14:paraId="3FCD6EAD" w14:textId="6CDBA32A">
            <w:pPr>
              <w:rPr>
                <w:b/>
                <w:bCs/>
              </w:rPr>
            </w:pPr>
            <w:r w:rsidRPr="00B125F0">
              <w:rPr>
                <w:b/>
                <w:bCs/>
              </w:rPr>
              <w:t>De programmatische bezuinigingen op de begroting van het ministerie van Buitenlandse Zaken alsmede de taakstelling zullen weerslag hebben op de reikwijdte van het Nederlandse mensenrechtenbeleid. Het sluiten van de posten in Bujumbura (Burundi), Havana (Cuba), Juba (Zuid-Soedan) en Tripoli (Libië) betekent dat het mensenrechtenfonds niet meer</w:t>
            </w:r>
            <w:r>
              <w:rPr>
                <w:b/>
                <w:bCs/>
              </w:rPr>
              <w:t xml:space="preserve"> direct</w:t>
            </w:r>
            <w:r w:rsidRPr="00B125F0">
              <w:rPr>
                <w:b/>
                <w:bCs/>
              </w:rPr>
              <w:t xml:space="preserve"> ingezet kan worden in deze landen. Voor 2024 bedroeg het mensenrechtenfondsbudget in deze 4 landen: EUR 4.</w:t>
            </w:r>
            <w:r>
              <w:rPr>
                <w:b/>
                <w:bCs/>
              </w:rPr>
              <w:t>335.000</w:t>
            </w:r>
            <w:r w:rsidRPr="00B125F0">
              <w:rPr>
                <w:b/>
                <w:bCs/>
              </w:rPr>
              <w:t xml:space="preserve">. </w:t>
            </w:r>
          </w:p>
          <w:p w:rsidR="00145E5D" w:rsidP="00B0286A" w:rsidRDefault="00145E5D" w14:paraId="471BC6E0" w14:textId="77777777">
            <w:pPr>
              <w:rPr>
                <w:b/>
                <w:bCs/>
              </w:rPr>
            </w:pPr>
            <w:r w:rsidRPr="00B125F0">
              <w:rPr>
                <w:b/>
                <w:bCs/>
              </w:rPr>
              <w:t xml:space="preserve">De mensenrechteninzet voor Myanmar zal ondanks het sluiten van de post </w:t>
            </w:r>
            <w:r>
              <w:rPr>
                <w:b/>
                <w:bCs/>
              </w:rPr>
              <w:t xml:space="preserve">in </w:t>
            </w:r>
            <w:r w:rsidRPr="00B125F0">
              <w:rPr>
                <w:b/>
                <w:bCs/>
              </w:rPr>
              <w:t>Yangon doorgezet kunnen worden via de ambassade in Thailand. De reikwijdte van deze inzet zal echter ingeperkt worden door de fysieke afwezigheid in Myanmar zelf.</w:t>
            </w:r>
          </w:p>
          <w:p w:rsidR="00145E5D" w:rsidP="008269A8" w:rsidRDefault="00145E5D" w14:paraId="4C68BD03" w14:textId="3DB5C311">
            <w:pPr>
              <w:rPr>
                <w:b/>
                <w:bCs/>
              </w:rPr>
            </w:pPr>
            <w:r w:rsidRPr="008269A8">
              <w:rPr>
                <w:b/>
                <w:bCs/>
              </w:rPr>
              <w:t>In de betreffende landen worden geen non-</w:t>
            </w:r>
            <w:r>
              <w:rPr>
                <w:b/>
                <w:bCs/>
              </w:rPr>
              <w:t>ODA</w:t>
            </w:r>
            <w:r w:rsidRPr="008269A8">
              <w:rPr>
                <w:b/>
                <w:bCs/>
              </w:rPr>
              <w:t xml:space="preserve"> middelen ingezet op het gebied van het bevorderen en of beschermen van vrouwenrechten en gendergelijkheid. </w:t>
            </w:r>
            <w:proofErr w:type="spellStart"/>
            <w:r w:rsidRPr="008269A8">
              <w:rPr>
                <w:b/>
                <w:bCs/>
              </w:rPr>
              <w:t>Lastens</w:t>
            </w:r>
            <w:proofErr w:type="spellEnd"/>
            <w:r w:rsidRPr="008269A8">
              <w:rPr>
                <w:b/>
                <w:bCs/>
              </w:rPr>
              <w:t xml:space="preserve"> het ODA budget lopen verschillende programma’s op dit terrein tot eind december 2025.</w:t>
            </w:r>
          </w:p>
          <w:p w:rsidRPr="00116CA8" w:rsidR="00145E5D" w:rsidP="00B0286A" w:rsidRDefault="00145E5D" w14:paraId="0FA96C06" w14:textId="154F0586">
            <w:pPr>
              <w:rPr>
                <w:b/>
                <w:bCs/>
              </w:rPr>
            </w:pPr>
            <w:r w:rsidRPr="00116CA8">
              <w:rPr>
                <w:rFonts w:cs="Arial"/>
                <w:b/>
                <w:bCs/>
              </w:rPr>
              <w:t>Nederland blijft zich via diplomatie</w:t>
            </w:r>
            <w:r>
              <w:rPr>
                <w:rFonts w:cs="Arial"/>
                <w:b/>
                <w:bCs/>
              </w:rPr>
              <w:t>ke inzet</w:t>
            </w:r>
            <w:r w:rsidRPr="00116CA8">
              <w:rPr>
                <w:rFonts w:cs="Arial"/>
                <w:b/>
                <w:bCs/>
              </w:rPr>
              <w:t xml:space="preserve"> en </w:t>
            </w:r>
            <w:r>
              <w:rPr>
                <w:rFonts w:cs="Arial"/>
                <w:b/>
                <w:bCs/>
              </w:rPr>
              <w:t>via</w:t>
            </w:r>
            <w:r w:rsidRPr="00116CA8">
              <w:rPr>
                <w:rFonts w:cs="Arial"/>
                <w:b/>
                <w:bCs/>
              </w:rPr>
              <w:t xml:space="preserve"> multilaterale fora hard maken voor mensenrechten </w:t>
            </w:r>
            <w:r>
              <w:rPr>
                <w:rFonts w:cs="Arial"/>
                <w:b/>
                <w:bCs/>
              </w:rPr>
              <w:t>inclusief vrouwenrechten,</w:t>
            </w:r>
            <w:r w:rsidRPr="00116CA8">
              <w:rPr>
                <w:rFonts w:cs="Arial"/>
                <w:b/>
                <w:bCs/>
              </w:rPr>
              <w:t xml:space="preserve"> en zal het belang van bescherming en bevordering van mensenrechten, democratie en internationale rechtsorde </w:t>
            </w:r>
            <w:r>
              <w:rPr>
                <w:rFonts w:cs="Arial"/>
                <w:b/>
                <w:bCs/>
              </w:rPr>
              <w:t>blijven uitdragen</w:t>
            </w:r>
            <w:r w:rsidRPr="00116CA8">
              <w:rPr>
                <w:rFonts w:cs="Arial"/>
                <w:b/>
                <w:bCs/>
              </w:rPr>
              <w:t xml:space="preserve">, ook </w:t>
            </w:r>
            <w:r>
              <w:rPr>
                <w:rFonts w:cs="Arial"/>
                <w:b/>
                <w:bCs/>
              </w:rPr>
              <w:t>ten aanzien van</w:t>
            </w:r>
            <w:r w:rsidRPr="00116CA8">
              <w:rPr>
                <w:rFonts w:cs="Arial"/>
                <w:b/>
                <w:bCs/>
              </w:rPr>
              <w:t xml:space="preserve"> landen waar de diplomatieke posten niet meer aanwezig zijn. </w:t>
            </w:r>
          </w:p>
          <w:p w:rsidRPr="0019598F" w:rsidR="00145E5D" w:rsidRDefault="00145E5D" w14:paraId="7C09B061" w14:textId="77777777"/>
        </w:tc>
        <w:tc>
          <w:tcPr>
            <w:tcW w:w="855" w:type="dxa"/>
          </w:tcPr>
          <w:p w:rsidR="00145E5D" w:rsidRDefault="00145E5D" w14:paraId="6416E059" w14:textId="77777777">
            <w:pPr>
              <w:jc w:val="right"/>
            </w:pPr>
            <w:r>
              <w:t>24</w:t>
            </w:r>
          </w:p>
        </w:tc>
        <w:tc>
          <w:tcPr>
            <w:tcW w:w="567" w:type="dxa"/>
          </w:tcPr>
          <w:p w:rsidR="00145E5D" w:rsidRDefault="00145E5D" w14:paraId="5CA99231" w14:textId="77777777">
            <w:pPr>
              <w:jc w:val="right"/>
            </w:pPr>
            <w:r>
              <w:t xml:space="preserve">27 </w:t>
            </w:r>
          </w:p>
        </w:tc>
      </w:tr>
      <w:tr w:rsidR="00145E5D" w:rsidTr="00BE5B54" w14:paraId="5400B1E2" w14:textId="77777777">
        <w:tc>
          <w:tcPr>
            <w:tcW w:w="567" w:type="dxa"/>
          </w:tcPr>
          <w:p w:rsidR="00145E5D" w:rsidRDefault="00145E5D" w14:paraId="54A86678" w14:textId="77777777">
            <w:r>
              <w:t>41</w:t>
            </w:r>
          </w:p>
        </w:tc>
        <w:tc>
          <w:tcPr>
            <w:tcW w:w="6521" w:type="dxa"/>
          </w:tcPr>
          <w:p w:rsidR="00145E5D" w:rsidRDefault="00145E5D" w14:paraId="6D7CA9EF" w14:textId="77777777">
            <w:r>
              <w:t>Hoe is de ondersteuning van vrouwen in huwelijkse gevangenschap in het buitenland momenteel ingericht? Wat is het beleid? Hoe is de informatievoorziening richting die vrouwen?</w:t>
            </w:r>
          </w:p>
          <w:p w:rsidR="00145E5D" w:rsidRDefault="00145E5D" w14:paraId="517E1BFA" w14:textId="77777777"/>
          <w:p w:rsidRPr="00D35E79" w:rsidR="00D35E79" w:rsidP="00D35E79" w:rsidRDefault="00D35E79" w14:paraId="488453E1" w14:textId="77777777">
            <w:pPr>
              <w:rPr>
                <w:b/>
                <w:bCs/>
              </w:rPr>
            </w:pPr>
            <w:r w:rsidRPr="00D35E79">
              <w:rPr>
                <w:b/>
                <w:bCs/>
              </w:rPr>
              <w:t>Antwoord:</w:t>
            </w:r>
          </w:p>
          <w:p w:rsidRPr="00D722A0" w:rsidR="00145E5D" w:rsidP="00A82717" w:rsidRDefault="00145E5D" w14:paraId="08644EF8" w14:textId="77777777">
            <w:pPr>
              <w:rPr>
                <w:b/>
              </w:rPr>
            </w:pPr>
            <w:r w:rsidRPr="00D722A0">
              <w:rPr>
                <w:b/>
              </w:rPr>
              <w:t>Het ministerie van Buitenlandse Zaken verleent consulaire bijstand aan slachtoffers van huwelijksdwang, huwelijkse gevangenschap en achterlating in het buitenland, waarbij nauw wordt samengewerkt met het Landelijk Knooppunt Huwelijksdwang en Achterlating (LKHA). Het ministerie levert een financiële bijdrage aan het noodfonds van het LKHA dat bedoeld is om de terugkeer naar Nederland van slachtoffers van huwelijksdwang, huwelijkse gevangenschap en achterlating te bekostigen.</w:t>
            </w:r>
          </w:p>
          <w:p w:rsidRPr="00D722A0" w:rsidR="00145E5D" w:rsidP="00A82717" w:rsidRDefault="00145E5D" w14:paraId="0B362D94" w14:textId="77777777">
            <w:pPr>
              <w:rPr>
                <w:b/>
              </w:rPr>
            </w:pPr>
            <w:r w:rsidRPr="00D722A0">
              <w:rPr>
                <w:b/>
              </w:rPr>
              <w:t xml:space="preserve">Het ministerie van Buitenlandse Zaken onderzoekt per individuele casus waarin sprake is van huwelijkse gevangenschap in het buitenland samen </w:t>
            </w:r>
            <w:r w:rsidRPr="00D722A0">
              <w:rPr>
                <w:b/>
              </w:rPr>
              <w:lastRenderedPageBreak/>
              <w:t xml:space="preserve">met het LKHA de mogelijkheden om het slachtoffer zo goed mogelijk bij te staan. Daarbij wordt onder andere rekening gehouden met lokale wetgeving, met name als sprake is van een strafbaar feit, aangezien dat valt onder de jurisdictie van het desbetreffende land. </w:t>
            </w:r>
          </w:p>
          <w:p w:rsidRPr="00D722A0" w:rsidR="00145E5D" w:rsidP="00897D5E" w:rsidRDefault="00145E5D" w14:paraId="3D06ECDA" w14:textId="48670772">
            <w:pPr>
              <w:rPr>
                <w:b/>
              </w:rPr>
            </w:pPr>
            <w:r w:rsidRPr="00D722A0">
              <w:rPr>
                <w:b/>
              </w:rPr>
              <w:t>Tevens verspreidt het ministerie van Buitenlandse Zaken actief informatie over dit thema. Nederlanders kunnen duidelijke en toegankelijke hulp- en contactinformatie vinden op de webpagina van NederlandWereldwijd voor slachtoffers van huwelijksdwang en achterlating. Ook financierde het ministerie in 2024 een social media-campagne op Schiphol en radiostation Fun-X om potentiële slachtoffers van huwelijksdwang en achterlating te informeren over hulp die het ministerie in het buitenland kan bieden.</w:t>
            </w:r>
          </w:p>
          <w:p w:rsidR="00145E5D" w:rsidRDefault="00145E5D" w14:paraId="5B6FE1EF" w14:textId="77777777"/>
        </w:tc>
        <w:tc>
          <w:tcPr>
            <w:tcW w:w="855" w:type="dxa"/>
          </w:tcPr>
          <w:p w:rsidR="00145E5D" w:rsidRDefault="00145E5D" w14:paraId="78E7CC36" w14:textId="77777777">
            <w:pPr>
              <w:jc w:val="right"/>
            </w:pPr>
            <w:r>
              <w:lastRenderedPageBreak/>
              <w:t>24</w:t>
            </w:r>
          </w:p>
        </w:tc>
        <w:tc>
          <w:tcPr>
            <w:tcW w:w="567" w:type="dxa"/>
          </w:tcPr>
          <w:p w:rsidR="00145E5D" w:rsidRDefault="00145E5D" w14:paraId="6F9220C9" w14:textId="77777777">
            <w:pPr>
              <w:jc w:val="right"/>
            </w:pPr>
            <w:r>
              <w:t xml:space="preserve">27 </w:t>
            </w:r>
          </w:p>
        </w:tc>
      </w:tr>
      <w:tr w:rsidR="00145E5D" w:rsidTr="00BE5B54" w14:paraId="6222F5FC" w14:textId="77777777">
        <w:tc>
          <w:tcPr>
            <w:tcW w:w="567" w:type="dxa"/>
          </w:tcPr>
          <w:p w:rsidR="00145E5D" w:rsidRDefault="00145E5D" w14:paraId="39B51679" w14:textId="77777777">
            <w:r>
              <w:t>42</w:t>
            </w:r>
          </w:p>
        </w:tc>
        <w:tc>
          <w:tcPr>
            <w:tcW w:w="6521" w:type="dxa"/>
          </w:tcPr>
          <w:p w:rsidR="00145E5D" w:rsidRDefault="00145E5D" w14:paraId="24A86201" w14:textId="77777777">
            <w:r>
              <w:t>Wat kunt u zeggen over de effectiviteit van het huidige beleid tegen huwelijkse gevangenschap? Hoe vaak wordt een beroep op Nederlandse consulaire dienstverlening gedaan over dit onderwerp? Kan de Kamer hier een rapportage over ontvangen?</w:t>
            </w:r>
          </w:p>
          <w:p w:rsidR="00145E5D" w:rsidRDefault="00145E5D" w14:paraId="0DC22F19" w14:textId="77777777"/>
          <w:p w:rsidRPr="00D35E79" w:rsidR="00D35E79" w:rsidP="00D35E79" w:rsidRDefault="00D35E79" w14:paraId="7DCCA439" w14:textId="77777777">
            <w:pPr>
              <w:rPr>
                <w:b/>
                <w:bCs/>
              </w:rPr>
            </w:pPr>
            <w:r w:rsidRPr="00D35E79">
              <w:rPr>
                <w:b/>
                <w:bCs/>
              </w:rPr>
              <w:t>Antwoord:</w:t>
            </w:r>
          </w:p>
          <w:p w:rsidRPr="00D722A0" w:rsidR="00145E5D" w:rsidP="00A82717" w:rsidRDefault="00145E5D" w14:paraId="0F247949" w14:textId="77777777">
            <w:pPr>
              <w:rPr>
                <w:b/>
              </w:rPr>
            </w:pPr>
            <w:r w:rsidRPr="00D722A0">
              <w:rPr>
                <w:b/>
              </w:rPr>
              <w:t xml:space="preserve">Het is niet eenvoudig de effectiviteit van het Nederlandse beleid tegen huwelijkse gevangenschap nauwkeurig te beoordelen, aangezien betrouwbare en gedetailleerde cijfers over de omvang van dit probleem ontbreken. Huwelijkse gevangenschap is een complex en grotendeels verborgen probleem, mede doordat slachtoffers zich niet altijd als zodanig herkennen of vanwege culturele en familiale loyaliteiten geen hulp zoeken. </w:t>
            </w:r>
          </w:p>
          <w:p w:rsidRPr="00D722A0" w:rsidR="00145E5D" w:rsidP="00A82717" w:rsidRDefault="00145E5D" w14:paraId="054D95ED" w14:textId="77777777">
            <w:pPr>
              <w:rPr>
                <w:b/>
              </w:rPr>
            </w:pPr>
            <w:r w:rsidRPr="00D722A0">
              <w:rPr>
                <w:b/>
              </w:rPr>
              <w:t xml:space="preserve"> </w:t>
            </w:r>
          </w:p>
          <w:p w:rsidRPr="00A4233B" w:rsidR="00145E5D" w:rsidP="00897D5E" w:rsidRDefault="00145E5D" w14:paraId="5C465DC5" w14:textId="0F4CE095">
            <w:pPr>
              <w:rPr>
                <w:b/>
              </w:rPr>
            </w:pPr>
            <w:r w:rsidRPr="00D722A0">
              <w:rPr>
                <w:b/>
              </w:rPr>
              <w:t>Het ministerie van Buitenlandse Zaken verleent jaarlijks in enkele gevallen consulaire bijstand aan slachtoffers van huwelijksdwang en huwelijkse gevangenschap. Cijfers over consulaire bijstand worden opgenomen in de jaarlijkse publicatie: Staat van het Consulaire.</w:t>
            </w:r>
          </w:p>
          <w:p w:rsidR="00145E5D" w:rsidRDefault="00145E5D" w14:paraId="732C04F5" w14:textId="77777777"/>
        </w:tc>
        <w:tc>
          <w:tcPr>
            <w:tcW w:w="855" w:type="dxa"/>
          </w:tcPr>
          <w:p w:rsidR="00145E5D" w:rsidRDefault="00145E5D" w14:paraId="44F6EBD4" w14:textId="77777777">
            <w:pPr>
              <w:jc w:val="right"/>
            </w:pPr>
            <w:r>
              <w:t>24</w:t>
            </w:r>
          </w:p>
        </w:tc>
        <w:tc>
          <w:tcPr>
            <w:tcW w:w="567" w:type="dxa"/>
          </w:tcPr>
          <w:p w:rsidR="00145E5D" w:rsidRDefault="00145E5D" w14:paraId="4FC20ABE" w14:textId="77777777">
            <w:pPr>
              <w:jc w:val="right"/>
            </w:pPr>
            <w:r>
              <w:t xml:space="preserve">27 </w:t>
            </w:r>
          </w:p>
        </w:tc>
      </w:tr>
      <w:tr w:rsidR="00145E5D" w:rsidTr="00BE5B54" w14:paraId="313E83F6" w14:textId="77777777">
        <w:tc>
          <w:tcPr>
            <w:tcW w:w="567" w:type="dxa"/>
          </w:tcPr>
          <w:p w:rsidR="00145E5D" w:rsidRDefault="00145E5D" w14:paraId="7243B204" w14:textId="77777777">
            <w:r>
              <w:t>43</w:t>
            </w:r>
          </w:p>
        </w:tc>
        <w:tc>
          <w:tcPr>
            <w:tcW w:w="6521" w:type="dxa"/>
          </w:tcPr>
          <w:p w:rsidR="00145E5D" w:rsidRDefault="00145E5D" w14:paraId="2823BC10" w14:textId="77777777">
            <w:r>
              <w:t>Bent u bereid de Meerjarenprogrammering Vastgoed met de Kamer te delen?</w:t>
            </w:r>
          </w:p>
          <w:p w:rsidR="00145E5D" w:rsidRDefault="00145E5D" w14:paraId="5D0F7566" w14:textId="77777777"/>
          <w:p w:rsidRPr="00D35E79" w:rsidR="00D35E79" w:rsidP="00D35E79" w:rsidRDefault="00D35E79" w14:paraId="237024C6" w14:textId="77777777">
            <w:pPr>
              <w:rPr>
                <w:b/>
                <w:bCs/>
              </w:rPr>
            </w:pPr>
            <w:r w:rsidRPr="00D35E79">
              <w:rPr>
                <w:b/>
                <w:bCs/>
              </w:rPr>
              <w:t>Antwoord:</w:t>
            </w:r>
          </w:p>
          <w:p w:rsidRPr="00D722A0" w:rsidR="00145E5D" w:rsidRDefault="00145E5D" w14:paraId="0B2F09BA" w14:textId="2DDDB692">
            <w:pPr>
              <w:rPr>
                <w:b/>
              </w:rPr>
            </w:pPr>
            <w:r w:rsidRPr="00D722A0">
              <w:rPr>
                <w:b/>
              </w:rPr>
              <w:t xml:space="preserve">Zie het antwoord op vraag 11 over de werking van het portfoliomanagement-systeem van het ministerie van BZ. De Kamer wordt via het jaarverslag geïnformeerd over de belangrijkste ontwikkelingen binnen de wereldwijde vastgoedportefeuille van BZ. De Meerjarenprogrammering Vastgoed is een opsomming van alle lopende en geplande grote projecten en transacties. Om de reden genoemd in het antwoord op vraag 11 en in voetnoot 1 van de </w:t>
            </w:r>
            <w:proofErr w:type="spellStart"/>
            <w:r w:rsidRPr="00D722A0">
              <w:rPr>
                <w:b/>
              </w:rPr>
              <w:t>MvT</w:t>
            </w:r>
            <w:proofErr w:type="spellEnd"/>
            <w:r w:rsidRPr="00D722A0">
              <w:rPr>
                <w:b/>
              </w:rPr>
              <w:t xml:space="preserve"> worden over de lopende transacties geen mededelingen gedaan. Dat geldt eveneens voor de nog geplande transacties en voor de besluitvormig daarover. Om die reden kan de Meerjarenprogrammering niet publiekelijk met de Kamer worden gedeeld.</w:t>
            </w:r>
          </w:p>
          <w:p w:rsidR="00145E5D" w:rsidRDefault="00145E5D" w14:paraId="2A112BC1" w14:textId="77777777"/>
        </w:tc>
        <w:tc>
          <w:tcPr>
            <w:tcW w:w="855" w:type="dxa"/>
          </w:tcPr>
          <w:p w:rsidR="00145E5D" w:rsidRDefault="00145E5D" w14:paraId="74EFC0A8" w14:textId="77777777">
            <w:pPr>
              <w:jc w:val="right"/>
            </w:pPr>
            <w:r>
              <w:t>25</w:t>
            </w:r>
          </w:p>
        </w:tc>
        <w:tc>
          <w:tcPr>
            <w:tcW w:w="567" w:type="dxa"/>
          </w:tcPr>
          <w:p w:rsidR="00145E5D" w:rsidRDefault="00145E5D" w14:paraId="2CBEDD5A" w14:textId="77777777">
            <w:pPr>
              <w:jc w:val="right"/>
            </w:pPr>
            <w:r>
              <w:t xml:space="preserve"> </w:t>
            </w:r>
          </w:p>
        </w:tc>
      </w:tr>
      <w:tr w:rsidR="00145E5D" w:rsidTr="00BE5B54" w14:paraId="7CE8B3C8" w14:textId="77777777">
        <w:tc>
          <w:tcPr>
            <w:tcW w:w="567" w:type="dxa"/>
          </w:tcPr>
          <w:p w:rsidR="00145E5D" w:rsidRDefault="00145E5D" w14:paraId="46594C09" w14:textId="77777777">
            <w:r>
              <w:t>44</w:t>
            </w:r>
          </w:p>
        </w:tc>
        <w:tc>
          <w:tcPr>
            <w:tcW w:w="6521" w:type="dxa"/>
          </w:tcPr>
          <w:p w:rsidR="00145E5D" w:rsidRDefault="00145E5D" w14:paraId="4B9B8B76" w14:textId="77777777">
            <w:r>
              <w:t>Hoeveel objecten bent u voornemens in 2026 af te stoten?</w:t>
            </w:r>
          </w:p>
          <w:p w:rsidR="00145E5D" w:rsidRDefault="00145E5D" w14:paraId="6895753D" w14:textId="77777777"/>
          <w:p w:rsidR="00145E5D" w:rsidP="00897D5E" w:rsidRDefault="00145E5D" w14:paraId="48BF8FDC" w14:textId="77777777">
            <w:r>
              <w:t>Antwoord:</w:t>
            </w:r>
          </w:p>
          <w:p w:rsidR="00145E5D" w:rsidP="00897D5E" w:rsidRDefault="00145E5D" w14:paraId="1A8C64E8" w14:textId="4828BE4F">
            <w:r w:rsidRPr="00D722A0">
              <w:rPr>
                <w:b/>
              </w:rPr>
              <w:t xml:space="preserve">Zie het antwoord op vraag 11 over de werking van het portfoliomanagement-systeem van het ministerie van BZ. De Kamer wordt via het jaarverslag geïnformeerd over de belangrijkste ontwikkelingen binnen de wereldwijde vastgoedportefeuille van BZ. Op dit moment wordt wereldwijd gewerkt aan de verkoop van iets meer dan tien vastgoedobjecten. Omdat voor dergelijke transacties met name ook de omstandigheden en de concrete vraag in de markt belangrijke bepalende </w:t>
            </w:r>
            <w:r w:rsidRPr="00D722A0">
              <w:rPr>
                <w:b/>
              </w:rPr>
              <w:lastRenderedPageBreak/>
              <w:t>factoren zijn, zal in de praktijk de planning van zulke transacties relatief vaak worden bijgesteld, mede ten behoeve van het optimaliseren van de opbrengst. In dat licht geef ik er de voorkeur aan om geen exacte uitspraken te doen over het op dit moment geplande aantal verkopen</w:t>
            </w:r>
            <w:r w:rsidRPr="004D198E">
              <w:t>.</w:t>
            </w:r>
          </w:p>
          <w:p w:rsidR="00145E5D" w:rsidRDefault="00145E5D" w14:paraId="6AC6BCAD" w14:textId="77777777"/>
        </w:tc>
        <w:tc>
          <w:tcPr>
            <w:tcW w:w="855" w:type="dxa"/>
          </w:tcPr>
          <w:p w:rsidR="00145E5D" w:rsidRDefault="00145E5D" w14:paraId="0D0F14C2" w14:textId="77777777">
            <w:pPr>
              <w:jc w:val="right"/>
            </w:pPr>
            <w:r>
              <w:lastRenderedPageBreak/>
              <w:t>26</w:t>
            </w:r>
          </w:p>
        </w:tc>
        <w:tc>
          <w:tcPr>
            <w:tcW w:w="567" w:type="dxa"/>
          </w:tcPr>
          <w:p w:rsidR="00145E5D" w:rsidRDefault="00145E5D" w14:paraId="169C1545" w14:textId="77777777">
            <w:pPr>
              <w:jc w:val="right"/>
            </w:pPr>
            <w:r>
              <w:t xml:space="preserve"> </w:t>
            </w:r>
          </w:p>
        </w:tc>
      </w:tr>
      <w:tr w:rsidR="00145E5D" w:rsidTr="00BE5B54" w14:paraId="300E49D0" w14:textId="77777777">
        <w:tc>
          <w:tcPr>
            <w:tcW w:w="567" w:type="dxa"/>
          </w:tcPr>
          <w:p w:rsidR="00145E5D" w:rsidRDefault="00145E5D" w14:paraId="0645F6F2" w14:textId="77777777">
            <w:r>
              <w:t>45</w:t>
            </w:r>
          </w:p>
        </w:tc>
        <w:tc>
          <w:tcPr>
            <w:tcW w:w="6521" w:type="dxa"/>
          </w:tcPr>
          <w:p w:rsidR="00145E5D" w:rsidRDefault="00145E5D" w14:paraId="01D55547" w14:textId="77777777">
            <w:r>
              <w:t>Wanneer staan onomkeerbare stappen in de verkoop van objecten in de planning?</w:t>
            </w:r>
          </w:p>
          <w:p w:rsidR="00145E5D" w:rsidRDefault="00145E5D" w14:paraId="44270777" w14:textId="77777777"/>
          <w:p w:rsidRPr="00D35E79" w:rsidR="00D35E79" w:rsidP="00D35E79" w:rsidRDefault="00D35E79" w14:paraId="05AC2F1D" w14:textId="77777777">
            <w:pPr>
              <w:rPr>
                <w:b/>
                <w:bCs/>
              </w:rPr>
            </w:pPr>
            <w:r w:rsidRPr="00D35E79">
              <w:rPr>
                <w:b/>
                <w:bCs/>
              </w:rPr>
              <w:t>Antwoord:</w:t>
            </w:r>
          </w:p>
          <w:p w:rsidRPr="004D198E" w:rsidR="00145E5D" w:rsidP="004D198E" w:rsidRDefault="00145E5D" w14:paraId="20A986D9" w14:textId="77777777">
            <w:pPr>
              <w:rPr>
                <w:b/>
              </w:rPr>
            </w:pPr>
            <w:r w:rsidRPr="004D198E">
              <w:rPr>
                <w:b/>
              </w:rPr>
              <w:t xml:space="preserve">In de aansturing van een wereldwijde vastgoedportefeuille zoals die van het ministerie van BZ, worden op tal van momenten meer en minder onomkeerbare stappen gezet, zowel rondom de aankoop als de verkoop van objecten. De besluitvorming hierover is ingericht aan de hand van het portfoliomanagement-systeem waarnaar al in een aantal voorgaande antwoorden is verwezen en dat meer in detail is toegelicht in het jaarverslag van het ministerie van BZ over 2024, Kamerstuk 36 740 V, nr. 1. Gedetailleerde informatie over lopende vastgoedtransacties zal in beginsel worden verstrekt na afronding van de betreffende transactie, om de reden die wordt genoemd in voetnoot 1 van de </w:t>
            </w:r>
            <w:proofErr w:type="spellStart"/>
            <w:r w:rsidRPr="004D198E">
              <w:rPr>
                <w:b/>
              </w:rPr>
              <w:t>MvT</w:t>
            </w:r>
            <w:proofErr w:type="spellEnd"/>
            <w:r w:rsidRPr="004D198E">
              <w:rPr>
                <w:b/>
              </w:rPr>
              <w:t>.</w:t>
            </w:r>
          </w:p>
          <w:p w:rsidR="00145E5D" w:rsidRDefault="00145E5D" w14:paraId="451F5BFC" w14:textId="77777777"/>
        </w:tc>
        <w:tc>
          <w:tcPr>
            <w:tcW w:w="855" w:type="dxa"/>
          </w:tcPr>
          <w:p w:rsidR="00145E5D" w:rsidRDefault="00145E5D" w14:paraId="4F49D2C4" w14:textId="77777777">
            <w:pPr>
              <w:jc w:val="right"/>
            </w:pPr>
            <w:r>
              <w:t>32</w:t>
            </w:r>
          </w:p>
        </w:tc>
        <w:tc>
          <w:tcPr>
            <w:tcW w:w="567" w:type="dxa"/>
          </w:tcPr>
          <w:p w:rsidR="00145E5D" w:rsidRDefault="00145E5D" w14:paraId="5E279865" w14:textId="77777777">
            <w:pPr>
              <w:jc w:val="right"/>
            </w:pPr>
            <w:r>
              <w:t xml:space="preserve"> </w:t>
            </w:r>
          </w:p>
        </w:tc>
      </w:tr>
    </w:tbl>
    <w:p w:rsidR="00E34507" w:rsidRDefault="00E34507" w14:paraId="2F32725A" w14:textId="77777777"/>
    <w:sectPr w:rsidR="00E34507" w:rsidSect="00B915EC">
      <w:footerReference w:type="defaul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F8FE" w14:textId="77777777" w:rsidR="000B109D" w:rsidRDefault="000B109D">
      <w:pPr>
        <w:spacing w:before="0" w:after="0"/>
      </w:pPr>
      <w:r>
        <w:separator/>
      </w:r>
    </w:p>
  </w:endnote>
  <w:endnote w:type="continuationSeparator" w:id="0">
    <w:p w14:paraId="0BEDA912" w14:textId="77777777" w:rsidR="000B109D" w:rsidRDefault="000B109D">
      <w:pPr>
        <w:spacing w:before="0" w:after="0"/>
      </w:pPr>
      <w:r>
        <w:continuationSeparator/>
      </w:r>
    </w:p>
  </w:endnote>
  <w:endnote w:type="continuationNotice" w:id="1">
    <w:p w14:paraId="20E0A461" w14:textId="77777777" w:rsidR="000B109D" w:rsidRDefault="000B109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E36E" w14:textId="77777777" w:rsidR="00E34507" w:rsidRDefault="001856D0">
    <w:pPr>
      <w:pStyle w:val="Footer"/>
    </w:pPr>
    <w:r>
      <w:t xml:space="preserve">Totaallijst feitelijke vragen Wijziging van de begrotingsstaat van het Ministerie van Buitenlandse Zaken (V) voor het jaar 2025 (wijziging samenhangende met de Voorjaarsnota) (36725-V-1)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98C82" w14:textId="77777777" w:rsidR="000B109D" w:rsidRDefault="000B109D">
      <w:pPr>
        <w:spacing w:before="0" w:after="0"/>
      </w:pPr>
      <w:r>
        <w:separator/>
      </w:r>
    </w:p>
  </w:footnote>
  <w:footnote w:type="continuationSeparator" w:id="0">
    <w:p w14:paraId="495ABEE9" w14:textId="77777777" w:rsidR="000B109D" w:rsidRDefault="000B109D">
      <w:pPr>
        <w:spacing w:before="0" w:after="0"/>
      </w:pPr>
      <w:r>
        <w:continuationSeparator/>
      </w:r>
    </w:p>
  </w:footnote>
  <w:footnote w:type="continuationNotice" w:id="1">
    <w:p w14:paraId="6A02EC22" w14:textId="77777777" w:rsidR="000B109D" w:rsidRDefault="000B109D">
      <w:pPr>
        <w:spacing w:before="0" w:after="0"/>
      </w:pPr>
    </w:p>
  </w:footnote>
  <w:footnote w:id="2">
    <w:p w14:paraId="4184B10E" w14:textId="19194EA7" w:rsidR="00145E5D" w:rsidRPr="00A429C6" w:rsidRDefault="00145E5D">
      <w:pPr>
        <w:pStyle w:val="FootnoteText"/>
      </w:pPr>
      <w:r>
        <w:rPr>
          <w:rStyle w:val="FootnoteReference"/>
        </w:rPr>
        <w:footnoteRef/>
      </w:r>
      <w:r>
        <w:t xml:space="preserve"> </w:t>
      </w:r>
      <w:r w:rsidRPr="00A429C6">
        <w:t>Verslag van de Raad Buitenlandse Zaken van 16 december 2024</w:t>
      </w:r>
      <w:r>
        <w:t>.</w:t>
      </w:r>
    </w:p>
  </w:footnote>
  <w:footnote w:id="3">
    <w:p w14:paraId="68E897CA" w14:textId="7AEB2E69" w:rsidR="00145E5D" w:rsidRPr="00A429C6" w:rsidRDefault="00145E5D">
      <w:pPr>
        <w:pStyle w:val="FootnoteText"/>
      </w:pPr>
      <w:r>
        <w:rPr>
          <w:rStyle w:val="FootnoteReference"/>
        </w:rPr>
        <w:footnoteRef/>
      </w:r>
      <w:r>
        <w:t xml:space="preserve"> </w:t>
      </w:r>
      <w:r w:rsidRPr="00952624">
        <w:t>Motie Kamerstuk 21 501-20, nr. 1907</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285B"/>
    <w:multiLevelType w:val="hybridMultilevel"/>
    <w:tmpl w:val="43545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8F5DB4"/>
    <w:multiLevelType w:val="hybridMultilevel"/>
    <w:tmpl w:val="05BA21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B92BC7"/>
    <w:multiLevelType w:val="hybridMultilevel"/>
    <w:tmpl w:val="F4B66C8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3015F4"/>
    <w:multiLevelType w:val="hybridMultilevel"/>
    <w:tmpl w:val="FBAEFEB6"/>
    <w:lvl w:ilvl="0" w:tplc="F56EFD3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6B74A4"/>
    <w:multiLevelType w:val="hybridMultilevel"/>
    <w:tmpl w:val="F376761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58DA7A3F"/>
    <w:multiLevelType w:val="hybridMultilevel"/>
    <w:tmpl w:val="134EE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BB3F44"/>
    <w:multiLevelType w:val="hybridMultilevel"/>
    <w:tmpl w:val="C17E78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612087E"/>
    <w:multiLevelType w:val="hybridMultilevel"/>
    <w:tmpl w:val="F9942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1049327">
    <w:abstractNumId w:val="6"/>
  </w:num>
  <w:num w:numId="2" w16cid:durableId="46690961">
    <w:abstractNumId w:val="3"/>
  </w:num>
  <w:num w:numId="3" w16cid:durableId="448668520">
    <w:abstractNumId w:val="1"/>
  </w:num>
  <w:num w:numId="4" w16cid:durableId="1434664767">
    <w:abstractNumId w:val="0"/>
  </w:num>
  <w:num w:numId="5" w16cid:durableId="87166621">
    <w:abstractNumId w:val="5"/>
  </w:num>
  <w:num w:numId="6" w16cid:durableId="749809840">
    <w:abstractNumId w:val="2"/>
  </w:num>
  <w:num w:numId="7" w16cid:durableId="1037438024">
    <w:abstractNumId w:val="7"/>
  </w:num>
  <w:num w:numId="8" w16cid:durableId="1639139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3EDB"/>
    <w:rsid w:val="000056A5"/>
    <w:rsid w:val="00005737"/>
    <w:rsid w:val="00012B7A"/>
    <w:rsid w:val="000157DB"/>
    <w:rsid w:val="000158AC"/>
    <w:rsid w:val="00017C08"/>
    <w:rsid w:val="00024691"/>
    <w:rsid w:val="0002783D"/>
    <w:rsid w:val="0003066F"/>
    <w:rsid w:val="00030868"/>
    <w:rsid w:val="00034232"/>
    <w:rsid w:val="000442D0"/>
    <w:rsid w:val="0004734E"/>
    <w:rsid w:val="0004782B"/>
    <w:rsid w:val="00047DDA"/>
    <w:rsid w:val="00052A4E"/>
    <w:rsid w:val="00053D34"/>
    <w:rsid w:val="0005422C"/>
    <w:rsid w:val="000612A4"/>
    <w:rsid w:val="0006313F"/>
    <w:rsid w:val="000632BC"/>
    <w:rsid w:val="00064E9C"/>
    <w:rsid w:val="00065E5E"/>
    <w:rsid w:val="00067259"/>
    <w:rsid w:val="00067EA2"/>
    <w:rsid w:val="0007215F"/>
    <w:rsid w:val="00090F1F"/>
    <w:rsid w:val="000A0147"/>
    <w:rsid w:val="000A1207"/>
    <w:rsid w:val="000A7DE2"/>
    <w:rsid w:val="000B109D"/>
    <w:rsid w:val="000C0B1B"/>
    <w:rsid w:val="000C4EBE"/>
    <w:rsid w:val="000C59A1"/>
    <w:rsid w:val="000D5355"/>
    <w:rsid w:val="000D67F0"/>
    <w:rsid w:val="000E4385"/>
    <w:rsid w:val="000E5C8F"/>
    <w:rsid w:val="001007CB"/>
    <w:rsid w:val="00100858"/>
    <w:rsid w:val="00107F0A"/>
    <w:rsid w:val="00116191"/>
    <w:rsid w:val="001164C7"/>
    <w:rsid w:val="0011796E"/>
    <w:rsid w:val="00120DF1"/>
    <w:rsid w:val="0012103B"/>
    <w:rsid w:val="001227CD"/>
    <w:rsid w:val="00125191"/>
    <w:rsid w:val="00130C59"/>
    <w:rsid w:val="00134E6E"/>
    <w:rsid w:val="001364B8"/>
    <w:rsid w:val="00141191"/>
    <w:rsid w:val="001447C7"/>
    <w:rsid w:val="00145E5D"/>
    <w:rsid w:val="00160B8A"/>
    <w:rsid w:val="00163325"/>
    <w:rsid w:val="001750EE"/>
    <w:rsid w:val="001773D3"/>
    <w:rsid w:val="0018366D"/>
    <w:rsid w:val="00184AB5"/>
    <w:rsid w:val="0018511E"/>
    <w:rsid w:val="001856D0"/>
    <w:rsid w:val="0019255B"/>
    <w:rsid w:val="00193201"/>
    <w:rsid w:val="0019598F"/>
    <w:rsid w:val="00197067"/>
    <w:rsid w:val="001A436A"/>
    <w:rsid w:val="001A47AF"/>
    <w:rsid w:val="001A56AB"/>
    <w:rsid w:val="001B3F2B"/>
    <w:rsid w:val="001B4F06"/>
    <w:rsid w:val="001B6E46"/>
    <w:rsid w:val="001B6FB0"/>
    <w:rsid w:val="001C07C7"/>
    <w:rsid w:val="001C1EA3"/>
    <w:rsid w:val="001C386A"/>
    <w:rsid w:val="001D33C1"/>
    <w:rsid w:val="001D373F"/>
    <w:rsid w:val="001D5F65"/>
    <w:rsid w:val="001D6F65"/>
    <w:rsid w:val="001D712A"/>
    <w:rsid w:val="001E02F3"/>
    <w:rsid w:val="001E1D1C"/>
    <w:rsid w:val="001E1DA4"/>
    <w:rsid w:val="001E5F48"/>
    <w:rsid w:val="001E6A61"/>
    <w:rsid w:val="001F330C"/>
    <w:rsid w:val="001F3BE0"/>
    <w:rsid w:val="001F627A"/>
    <w:rsid w:val="001F7626"/>
    <w:rsid w:val="00205EE3"/>
    <w:rsid w:val="002073F3"/>
    <w:rsid w:val="00211F50"/>
    <w:rsid w:val="00214A90"/>
    <w:rsid w:val="0021532C"/>
    <w:rsid w:val="00226C4A"/>
    <w:rsid w:val="00227871"/>
    <w:rsid w:val="00232911"/>
    <w:rsid w:val="00233B4B"/>
    <w:rsid w:val="00234635"/>
    <w:rsid w:val="00246188"/>
    <w:rsid w:val="002774B9"/>
    <w:rsid w:val="002951A7"/>
    <w:rsid w:val="002A247D"/>
    <w:rsid w:val="002B1470"/>
    <w:rsid w:val="002B1FF7"/>
    <w:rsid w:val="002B42E8"/>
    <w:rsid w:val="002C064B"/>
    <w:rsid w:val="002D3559"/>
    <w:rsid w:val="002D370A"/>
    <w:rsid w:val="002E12BE"/>
    <w:rsid w:val="002E4452"/>
    <w:rsid w:val="002E5595"/>
    <w:rsid w:val="002E7DC6"/>
    <w:rsid w:val="002F4587"/>
    <w:rsid w:val="003006B5"/>
    <w:rsid w:val="00300F9D"/>
    <w:rsid w:val="00305898"/>
    <w:rsid w:val="00306ACC"/>
    <w:rsid w:val="00317E97"/>
    <w:rsid w:val="00334B70"/>
    <w:rsid w:val="003412C8"/>
    <w:rsid w:val="003514D0"/>
    <w:rsid w:val="0035218E"/>
    <w:rsid w:val="00354049"/>
    <w:rsid w:val="00362840"/>
    <w:rsid w:val="0037243C"/>
    <w:rsid w:val="00375AA9"/>
    <w:rsid w:val="00376CEE"/>
    <w:rsid w:val="00392B8D"/>
    <w:rsid w:val="00393538"/>
    <w:rsid w:val="003939F6"/>
    <w:rsid w:val="003A07BC"/>
    <w:rsid w:val="003A4BE5"/>
    <w:rsid w:val="003A4DC6"/>
    <w:rsid w:val="003A682C"/>
    <w:rsid w:val="003B3500"/>
    <w:rsid w:val="003B48C9"/>
    <w:rsid w:val="003C5B3B"/>
    <w:rsid w:val="003D1151"/>
    <w:rsid w:val="003D138F"/>
    <w:rsid w:val="003D44DD"/>
    <w:rsid w:val="003D548F"/>
    <w:rsid w:val="003D6C12"/>
    <w:rsid w:val="003E089B"/>
    <w:rsid w:val="003E09F6"/>
    <w:rsid w:val="003E1880"/>
    <w:rsid w:val="003E5BB5"/>
    <w:rsid w:val="003F17B3"/>
    <w:rsid w:val="003F21C3"/>
    <w:rsid w:val="0041155A"/>
    <w:rsid w:val="00412199"/>
    <w:rsid w:val="004143F9"/>
    <w:rsid w:val="00414729"/>
    <w:rsid w:val="00423588"/>
    <w:rsid w:val="0042373A"/>
    <w:rsid w:val="00427264"/>
    <w:rsid w:val="00427A34"/>
    <w:rsid w:val="00433645"/>
    <w:rsid w:val="004435F7"/>
    <w:rsid w:val="00447B25"/>
    <w:rsid w:val="004513FF"/>
    <w:rsid w:val="00461191"/>
    <w:rsid w:val="0046182A"/>
    <w:rsid w:val="004646BB"/>
    <w:rsid w:val="00464ABF"/>
    <w:rsid w:val="004659D3"/>
    <w:rsid w:val="00467A10"/>
    <w:rsid w:val="0047191E"/>
    <w:rsid w:val="00472CEF"/>
    <w:rsid w:val="004769FB"/>
    <w:rsid w:val="0047736F"/>
    <w:rsid w:val="0048406C"/>
    <w:rsid w:val="00484676"/>
    <w:rsid w:val="0048495E"/>
    <w:rsid w:val="00485DDA"/>
    <w:rsid w:val="004921F8"/>
    <w:rsid w:val="0049475B"/>
    <w:rsid w:val="00495CEE"/>
    <w:rsid w:val="00497326"/>
    <w:rsid w:val="004A2DAC"/>
    <w:rsid w:val="004A43A9"/>
    <w:rsid w:val="004B1580"/>
    <w:rsid w:val="004B4529"/>
    <w:rsid w:val="004C09DE"/>
    <w:rsid w:val="004C1652"/>
    <w:rsid w:val="004D0A9E"/>
    <w:rsid w:val="004D198E"/>
    <w:rsid w:val="004F2A2C"/>
    <w:rsid w:val="00503D6F"/>
    <w:rsid w:val="005056AB"/>
    <w:rsid w:val="00506574"/>
    <w:rsid w:val="005065A6"/>
    <w:rsid w:val="00507425"/>
    <w:rsid w:val="00507772"/>
    <w:rsid w:val="00514735"/>
    <w:rsid w:val="0051506B"/>
    <w:rsid w:val="00517035"/>
    <w:rsid w:val="00521DF6"/>
    <w:rsid w:val="0052383D"/>
    <w:rsid w:val="00525004"/>
    <w:rsid w:val="00526C63"/>
    <w:rsid w:val="005314A4"/>
    <w:rsid w:val="005314B9"/>
    <w:rsid w:val="005455D5"/>
    <w:rsid w:val="00550697"/>
    <w:rsid w:val="005543A7"/>
    <w:rsid w:val="00557EDE"/>
    <w:rsid w:val="00567947"/>
    <w:rsid w:val="00581B04"/>
    <w:rsid w:val="00591CA5"/>
    <w:rsid w:val="00592414"/>
    <w:rsid w:val="00596F02"/>
    <w:rsid w:val="00597689"/>
    <w:rsid w:val="005A49C1"/>
    <w:rsid w:val="005A4A13"/>
    <w:rsid w:val="005A712E"/>
    <w:rsid w:val="005B17A6"/>
    <w:rsid w:val="005B2149"/>
    <w:rsid w:val="005C24F9"/>
    <w:rsid w:val="005C2648"/>
    <w:rsid w:val="005C363C"/>
    <w:rsid w:val="005C472C"/>
    <w:rsid w:val="005D105E"/>
    <w:rsid w:val="005D40ED"/>
    <w:rsid w:val="005D5828"/>
    <w:rsid w:val="005E4258"/>
    <w:rsid w:val="005F64DE"/>
    <w:rsid w:val="00603BF3"/>
    <w:rsid w:val="0060568F"/>
    <w:rsid w:val="006109AC"/>
    <w:rsid w:val="006112E7"/>
    <w:rsid w:val="00613537"/>
    <w:rsid w:val="0061706E"/>
    <w:rsid w:val="006308DE"/>
    <w:rsid w:val="00631DCC"/>
    <w:rsid w:val="006358A3"/>
    <w:rsid w:val="006378FC"/>
    <w:rsid w:val="0064589C"/>
    <w:rsid w:val="006509A7"/>
    <w:rsid w:val="00653F99"/>
    <w:rsid w:val="006553BB"/>
    <w:rsid w:val="00655B30"/>
    <w:rsid w:val="006570CC"/>
    <w:rsid w:val="00663055"/>
    <w:rsid w:val="00665007"/>
    <w:rsid w:val="00665A13"/>
    <w:rsid w:val="006760BB"/>
    <w:rsid w:val="006762CB"/>
    <w:rsid w:val="006818B0"/>
    <w:rsid w:val="00682030"/>
    <w:rsid w:val="00682A92"/>
    <w:rsid w:val="0068350C"/>
    <w:rsid w:val="00690921"/>
    <w:rsid w:val="00692E04"/>
    <w:rsid w:val="006A0B73"/>
    <w:rsid w:val="006A28F0"/>
    <w:rsid w:val="006A2E63"/>
    <w:rsid w:val="006A309A"/>
    <w:rsid w:val="006A476C"/>
    <w:rsid w:val="006A7CCB"/>
    <w:rsid w:val="006B1721"/>
    <w:rsid w:val="006B2A69"/>
    <w:rsid w:val="006B43E0"/>
    <w:rsid w:val="006B5013"/>
    <w:rsid w:val="006C0D84"/>
    <w:rsid w:val="006C2ACF"/>
    <w:rsid w:val="006C4FDF"/>
    <w:rsid w:val="006C5D5F"/>
    <w:rsid w:val="006D4698"/>
    <w:rsid w:val="006E6910"/>
    <w:rsid w:val="006E7C58"/>
    <w:rsid w:val="006F2770"/>
    <w:rsid w:val="0070012A"/>
    <w:rsid w:val="00700B21"/>
    <w:rsid w:val="00703ED7"/>
    <w:rsid w:val="00704E9E"/>
    <w:rsid w:val="00706CDF"/>
    <w:rsid w:val="0071578E"/>
    <w:rsid w:val="00724B1A"/>
    <w:rsid w:val="00732BF7"/>
    <w:rsid w:val="00736219"/>
    <w:rsid w:val="00741555"/>
    <w:rsid w:val="00741DB7"/>
    <w:rsid w:val="00744BF1"/>
    <w:rsid w:val="00746018"/>
    <w:rsid w:val="007466BB"/>
    <w:rsid w:val="007468D4"/>
    <w:rsid w:val="00746B13"/>
    <w:rsid w:val="00747531"/>
    <w:rsid w:val="00751817"/>
    <w:rsid w:val="0075737A"/>
    <w:rsid w:val="00774FFC"/>
    <w:rsid w:val="00780125"/>
    <w:rsid w:val="00783E50"/>
    <w:rsid w:val="0078526D"/>
    <w:rsid w:val="00787A37"/>
    <w:rsid w:val="00790CB0"/>
    <w:rsid w:val="00792E2E"/>
    <w:rsid w:val="00794626"/>
    <w:rsid w:val="00795A61"/>
    <w:rsid w:val="007A3018"/>
    <w:rsid w:val="007B4AC8"/>
    <w:rsid w:val="007B4C33"/>
    <w:rsid w:val="007C0C85"/>
    <w:rsid w:val="007C0EEB"/>
    <w:rsid w:val="007C6880"/>
    <w:rsid w:val="007D2E7B"/>
    <w:rsid w:val="007E05DE"/>
    <w:rsid w:val="007E6B8C"/>
    <w:rsid w:val="007E7A9D"/>
    <w:rsid w:val="007F10B5"/>
    <w:rsid w:val="007F1A98"/>
    <w:rsid w:val="007F4282"/>
    <w:rsid w:val="007F5CCB"/>
    <w:rsid w:val="00814F1A"/>
    <w:rsid w:val="008217FC"/>
    <w:rsid w:val="00822F43"/>
    <w:rsid w:val="0082512B"/>
    <w:rsid w:val="008269A8"/>
    <w:rsid w:val="00834C2B"/>
    <w:rsid w:val="008368BE"/>
    <w:rsid w:val="0083698B"/>
    <w:rsid w:val="00842094"/>
    <w:rsid w:val="00844925"/>
    <w:rsid w:val="0084502A"/>
    <w:rsid w:val="00846387"/>
    <w:rsid w:val="0085364D"/>
    <w:rsid w:val="00857425"/>
    <w:rsid w:val="008604FD"/>
    <w:rsid w:val="008640FB"/>
    <w:rsid w:val="0086459F"/>
    <w:rsid w:val="008656CC"/>
    <w:rsid w:val="0087154C"/>
    <w:rsid w:val="008716A6"/>
    <w:rsid w:val="00874EA9"/>
    <w:rsid w:val="0087759C"/>
    <w:rsid w:val="00880AB1"/>
    <w:rsid w:val="008823A6"/>
    <w:rsid w:val="00882A82"/>
    <w:rsid w:val="00894624"/>
    <w:rsid w:val="008962A5"/>
    <w:rsid w:val="00896C36"/>
    <w:rsid w:val="00897BD1"/>
    <w:rsid w:val="00897D5E"/>
    <w:rsid w:val="008A16FE"/>
    <w:rsid w:val="008A40D2"/>
    <w:rsid w:val="008A42C7"/>
    <w:rsid w:val="008A47CF"/>
    <w:rsid w:val="008A4E81"/>
    <w:rsid w:val="008B06A6"/>
    <w:rsid w:val="008B0B93"/>
    <w:rsid w:val="008B1886"/>
    <w:rsid w:val="008B2DF8"/>
    <w:rsid w:val="008B2E1B"/>
    <w:rsid w:val="008B3DAB"/>
    <w:rsid w:val="008C1F4D"/>
    <w:rsid w:val="008C4E6B"/>
    <w:rsid w:val="008D2C32"/>
    <w:rsid w:val="008D3A60"/>
    <w:rsid w:val="008D74F8"/>
    <w:rsid w:val="008E155B"/>
    <w:rsid w:val="008E526D"/>
    <w:rsid w:val="008E5D6D"/>
    <w:rsid w:val="008E639A"/>
    <w:rsid w:val="008F3ACF"/>
    <w:rsid w:val="00900E1C"/>
    <w:rsid w:val="009020C6"/>
    <w:rsid w:val="0090252A"/>
    <w:rsid w:val="0090280F"/>
    <w:rsid w:val="00902C7D"/>
    <w:rsid w:val="00904CF4"/>
    <w:rsid w:val="0090727C"/>
    <w:rsid w:val="00911937"/>
    <w:rsid w:val="009149E1"/>
    <w:rsid w:val="00916B91"/>
    <w:rsid w:val="00916EAB"/>
    <w:rsid w:val="00926CE9"/>
    <w:rsid w:val="0093438B"/>
    <w:rsid w:val="00942ED2"/>
    <w:rsid w:val="00944808"/>
    <w:rsid w:val="009468E9"/>
    <w:rsid w:val="00947854"/>
    <w:rsid w:val="00952624"/>
    <w:rsid w:val="00957906"/>
    <w:rsid w:val="00963490"/>
    <w:rsid w:val="0096503E"/>
    <w:rsid w:val="00973E4C"/>
    <w:rsid w:val="009743F8"/>
    <w:rsid w:val="0097536A"/>
    <w:rsid w:val="00980EE1"/>
    <w:rsid w:val="00980FA4"/>
    <w:rsid w:val="00981D23"/>
    <w:rsid w:val="009826DF"/>
    <w:rsid w:val="0098729B"/>
    <w:rsid w:val="00992F20"/>
    <w:rsid w:val="009A4F5A"/>
    <w:rsid w:val="009B5640"/>
    <w:rsid w:val="009D185D"/>
    <w:rsid w:val="009D30E7"/>
    <w:rsid w:val="009D315B"/>
    <w:rsid w:val="009D45A9"/>
    <w:rsid w:val="009E7266"/>
    <w:rsid w:val="00A03584"/>
    <w:rsid w:val="00A07D4B"/>
    <w:rsid w:val="00A120E5"/>
    <w:rsid w:val="00A37E52"/>
    <w:rsid w:val="00A4233B"/>
    <w:rsid w:val="00A429C6"/>
    <w:rsid w:val="00A457DC"/>
    <w:rsid w:val="00A47DC2"/>
    <w:rsid w:val="00A51EBF"/>
    <w:rsid w:val="00A6290E"/>
    <w:rsid w:val="00A62A25"/>
    <w:rsid w:val="00A64BCA"/>
    <w:rsid w:val="00A70971"/>
    <w:rsid w:val="00A77C3E"/>
    <w:rsid w:val="00A77F9B"/>
    <w:rsid w:val="00A82073"/>
    <w:rsid w:val="00A82717"/>
    <w:rsid w:val="00A848FD"/>
    <w:rsid w:val="00A871A0"/>
    <w:rsid w:val="00A91308"/>
    <w:rsid w:val="00A94B59"/>
    <w:rsid w:val="00A96F9E"/>
    <w:rsid w:val="00AA7099"/>
    <w:rsid w:val="00AB6988"/>
    <w:rsid w:val="00AC04F8"/>
    <w:rsid w:val="00AC26FC"/>
    <w:rsid w:val="00AC3D7E"/>
    <w:rsid w:val="00AC409D"/>
    <w:rsid w:val="00AC5801"/>
    <w:rsid w:val="00AC67CB"/>
    <w:rsid w:val="00AD0F05"/>
    <w:rsid w:val="00AD1D3B"/>
    <w:rsid w:val="00AD35AB"/>
    <w:rsid w:val="00AE02EC"/>
    <w:rsid w:val="00AE1403"/>
    <w:rsid w:val="00AE2C7E"/>
    <w:rsid w:val="00AE2D55"/>
    <w:rsid w:val="00AE5260"/>
    <w:rsid w:val="00AF18BA"/>
    <w:rsid w:val="00B005CE"/>
    <w:rsid w:val="00B01334"/>
    <w:rsid w:val="00B01FDC"/>
    <w:rsid w:val="00B0286A"/>
    <w:rsid w:val="00B06EE4"/>
    <w:rsid w:val="00B07043"/>
    <w:rsid w:val="00B109CC"/>
    <w:rsid w:val="00B14DAA"/>
    <w:rsid w:val="00B152B1"/>
    <w:rsid w:val="00B2391A"/>
    <w:rsid w:val="00B23D22"/>
    <w:rsid w:val="00B2794B"/>
    <w:rsid w:val="00B32985"/>
    <w:rsid w:val="00B3457C"/>
    <w:rsid w:val="00B34DB0"/>
    <w:rsid w:val="00B35B46"/>
    <w:rsid w:val="00B3703E"/>
    <w:rsid w:val="00B42DCF"/>
    <w:rsid w:val="00B4634B"/>
    <w:rsid w:val="00B5039B"/>
    <w:rsid w:val="00B70339"/>
    <w:rsid w:val="00B70CE7"/>
    <w:rsid w:val="00B72EA8"/>
    <w:rsid w:val="00B76EEA"/>
    <w:rsid w:val="00B915EC"/>
    <w:rsid w:val="00B92B5A"/>
    <w:rsid w:val="00B92C87"/>
    <w:rsid w:val="00B935F3"/>
    <w:rsid w:val="00B955BE"/>
    <w:rsid w:val="00BB124D"/>
    <w:rsid w:val="00BB4DFA"/>
    <w:rsid w:val="00BB4E28"/>
    <w:rsid w:val="00BB5310"/>
    <w:rsid w:val="00BB6E6D"/>
    <w:rsid w:val="00BC3F22"/>
    <w:rsid w:val="00BE0B13"/>
    <w:rsid w:val="00BE24AD"/>
    <w:rsid w:val="00BE5B54"/>
    <w:rsid w:val="00BF25D4"/>
    <w:rsid w:val="00BF684A"/>
    <w:rsid w:val="00BF6C1F"/>
    <w:rsid w:val="00C0018D"/>
    <w:rsid w:val="00C00E4F"/>
    <w:rsid w:val="00C07126"/>
    <w:rsid w:val="00C11B8D"/>
    <w:rsid w:val="00C1404B"/>
    <w:rsid w:val="00C14622"/>
    <w:rsid w:val="00C15567"/>
    <w:rsid w:val="00C15C5E"/>
    <w:rsid w:val="00C22952"/>
    <w:rsid w:val="00C27275"/>
    <w:rsid w:val="00C30505"/>
    <w:rsid w:val="00C309DF"/>
    <w:rsid w:val="00C318A9"/>
    <w:rsid w:val="00C33F34"/>
    <w:rsid w:val="00C35E8F"/>
    <w:rsid w:val="00C42B68"/>
    <w:rsid w:val="00C53D87"/>
    <w:rsid w:val="00C54F31"/>
    <w:rsid w:val="00C6412C"/>
    <w:rsid w:val="00C6472E"/>
    <w:rsid w:val="00C661F0"/>
    <w:rsid w:val="00C66455"/>
    <w:rsid w:val="00C67197"/>
    <w:rsid w:val="00C71D86"/>
    <w:rsid w:val="00C72925"/>
    <w:rsid w:val="00C7338E"/>
    <w:rsid w:val="00C76E3B"/>
    <w:rsid w:val="00C96343"/>
    <w:rsid w:val="00CA1123"/>
    <w:rsid w:val="00CA4B00"/>
    <w:rsid w:val="00CA5DCA"/>
    <w:rsid w:val="00CA7982"/>
    <w:rsid w:val="00CB0185"/>
    <w:rsid w:val="00CB0611"/>
    <w:rsid w:val="00CB74D9"/>
    <w:rsid w:val="00CC3A58"/>
    <w:rsid w:val="00CC3C92"/>
    <w:rsid w:val="00CC438C"/>
    <w:rsid w:val="00CD0859"/>
    <w:rsid w:val="00CD25A2"/>
    <w:rsid w:val="00CD33AD"/>
    <w:rsid w:val="00CE0F93"/>
    <w:rsid w:val="00CE5DB7"/>
    <w:rsid w:val="00CF5052"/>
    <w:rsid w:val="00D03810"/>
    <w:rsid w:val="00D05490"/>
    <w:rsid w:val="00D068B6"/>
    <w:rsid w:val="00D06925"/>
    <w:rsid w:val="00D1350A"/>
    <w:rsid w:val="00D14596"/>
    <w:rsid w:val="00D176C1"/>
    <w:rsid w:val="00D2143C"/>
    <w:rsid w:val="00D260F5"/>
    <w:rsid w:val="00D32CE4"/>
    <w:rsid w:val="00D35E79"/>
    <w:rsid w:val="00D42F21"/>
    <w:rsid w:val="00D45EE7"/>
    <w:rsid w:val="00D4637A"/>
    <w:rsid w:val="00D503E6"/>
    <w:rsid w:val="00D51B6F"/>
    <w:rsid w:val="00D5414E"/>
    <w:rsid w:val="00D60B09"/>
    <w:rsid w:val="00D65F6E"/>
    <w:rsid w:val="00D66279"/>
    <w:rsid w:val="00D71C8F"/>
    <w:rsid w:val="00D722A0"/>
    <w:rsid w:val="00D87B82"/>
    <w:rsid w:val="00D91184"/>
    <w:rsid w:val="00D94C43"/>
    <w:rsid w:val="00DB0E39"/>
    <w:rsid w:val="00DB7F62"/>
    <w:rsid w:val="00DC1567"/>
    <w:rsid w:val="00DC4C4A"/>
    <w:rsid w:val="00DC4F98"/>
    <w:rsid w:val="00DC5207"/>
    <w:rsid w:val="00DC6CC9"/>
    <w:rsid w:val="00DD1E5F"/>
    <w:rsid w:val="00DD4E3B"/>
    <w:rsid w:val="00DD6672"/>
    <w:rsid w:val="00DE2EB2"/>
    <w:rsid w:val="00DE47F6"/>
    <w:rsid w:val="00DE78C1"/>
    <w:rsid w:val="00DF3F69"/>
    <w:rsid w:val="00DF5353"/>
    <w:rsid w:val="00E011C9"/>
    <w:rsid w:val="00E01306"/>
    <w:rsid w:val="00E11ECD"/>
    <w:rsid w:val="00E1420F"/>
    <w:rsid w:val="00E144BE"/>
    <w:rsid w:val="00E17C17"/>
    <w:rsid w:val="00E20906"/>
    <w:rsid w:val="00E26392"/>
    <w:rsid w:val="00E31A1C"/>
    <w:rsid w:val="00E34507"/>
    <w:rsid w:val="00E368CE"/>
    <w:rsid w:val="00E40C66"/>
    <w:rsid w:val="00E50625"/>
    <w:rsid w:val="00E52077"/>
    <w:rsid w:val="00E60583"/>
    <w:rsid w:val="00E61043"/>
    <w:rsid w:val="00E626CF"/>
    <w:rsid w:val="00E66789"/>
    <w:rsid w:val="00E70DE1"/>
    <w:rsid w:val="00E7153D"/>
    <w:rsid w:val="00E77812"/>
    <w:rsid w:val="00E844EF"/>
    <w:rsid w:val="00E8555A"/>
    <w:rsid w:val="00EA55E8"/>
    <w:rsid w:val="00EA6A55"/>
    <w:rsid w:val="00EB12AC"/>
    <w:rsid w:val="00EB4ACF"/>
    <w:rsid w:val="00EB5A7A"/>
    <w:rsid w:val="00EC1762"/>
    <w:rsid w:val="00EC208C"/>
    <w:rsid w:val="00ED5E99"/>
    <w:rsid w:val="00EE1864"/>
    <w:rsid w:val="00EE2D22"/>
    <w:rsid w:val="00EF06CC"/>
    <w:rsid w:val="00EF0E0E"/>
    <w:rsid w:val="00EF4556"/>
    <w:rsid w:val="00F03B50"/>
    <w:rsid w:val="00F11E4E"/>
    <w:rsid w:val="00F244E4"/>
    <w:rsid w:val="00F25B20"/>
    <w:rsid w:val="00F31331"/>
    <w:rsid w:val="00F341EE"/>
    <w:rsid w:val="00F35C0A"/>
    <w:rsid w:val="00F367F7"/>
    <w:rsid w:val="00F4668F"/>
    <w:rsid w:val="00F50A97"/>
    <w:rsid w:val="00F51537"/>
    <w:rsid w:val="00F5282E"/>
    <w:rsid w:val="00F53115"/>
    <w:rsid w:val="00F56840"/>
    <w:rsid w:val="00F610E3"/>
    <w:rsid w:val="00F66335"/>
    <w:rsid w:val="00F66661"/>
    <w:rsid w:val="00F75894"/>
    <w:rsid w:val="00F76066"/>
    <w:rsid w:val="00F8773D"/>
    <w:rsid w:val="00F926BA"/>
    <w:rsid w:val="00F95961"/>
    <w:rsid w:val="00F96E5E"/>
    <w:rsid w:val="00FA32A3"/>
    <w:rsid w:val="00FA6296"/>
    <w:rsid w:val="00FB3F47"/>
    <w:rsid w:val="00FB5103"/>
    <w:rsid w:val="00FB62CE"/>
    <w:rsid w:val="00FB66A5"/>
    <w:rsid w:val="00FC30C9"/>
    <w:rsid w:val="00FC4389"/>
    <w:rsid w:val="00FC5B69"/>
    <w:rsid w:val="00FC68A8"/>
    <w:rsid w:val="00FD61BA"/>
    <w:rsid w:val="00FE4DBA"/>
    <w:rsid w:val="00FF0B87"/>
    <w:rsid w:val="00FF1A86"/>
    <w:rsid w:val="00FF7A71"/>
    <w:rsid w:val="2336F1BA"/>
    <w:rsid w:val="3E689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6C55D6"/>
  <w15:docId w15:val="{0AB79B59-BB69-4B7A-AA7E-42F49A8C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Revision">
    <w:name w:val="Revision"/>
    <w:hidden/>
    <w:uiPriority w:val="99"/>
    <w:semiHidden/>
    <w:rsid w:val="00BE24AD"/>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665A13"/>
    <w:rPr>
      <w:color w:val="0000FF" w:themeColor="hyperlink"/>
      <w:u w:val="single"/>
    </w:rPr>
  </w:style>
  <w:style w:type="character" w:styleId="UnresolvedMention">
    <w:name w:val="Unresolved Mention"/>
    <w:basedOn w:val="DefaultParagraphFont"/>
    <w:uiPriority w:val="99"/>
    <w:semiHidden/>
    <w:unhideWhenUsed/>
    <w:rsid w:val="00665A13"/>
    <w:rPr>
      <w:color w:val="605E5C"/>
      <w:shd w:val="clear" w:color="auto" w:fill="E1DFDD"/>
    </w:rPr>
  </w:style>
  <w:style w:type="character" w:styleId="FollowedHyperlink">
    <w:name w:val="FollowedHyperlink"/>
    <w:basedOn w:val="DefaultParagraphFont"/>
    <w:uiPriority w:val="99"/>
    <w:semiHidden/>
    <w:unhideWhenUsed/>
    <w:rsid w:val="00052A4E"/>
    <w:rPr>
      <w:color w:val="800080" w:themeColor="followedHyperlink"/>
      <w:u w:val="single"/>
    </w:rPr>
  </w:style>
  <w:style w:type="paragraph" w:styleId="ListParagraph">
    <w:name w:val="List Paragraph"/>
    <w:basedOn w:val="Normal"/>
    <w:uiPriority w:val="34"/>
    <w:qFormat/>
    <w:rsid w:val="00427264"/>
    <w:pPr>
      <w:ind w:left="720"/>
      <w:contextualSpacing/>
    </w:pPr>
  </w:style>
  <w:style w:type="character" w:styleId="CommentReference">
    <w:name w:val="annotation reference"/>
    <w:basedOn w:val="DefaultParagraphFont"/>
    <w:uiPriority w:val="99"/>
    <w:semiHidden/>
    <w:unhideWhenUsed/>
    <w:rsid w:val="00427264"/>
    <w:rPr>
      <w:sz w:val="16"/>
      <w:szCs w:val="16"/>
    </w:rPr>
  </w:style>
  <w:style w:type="paragraph" w:styleId="CommentText">
    <w:name w:val="annotation text"/>
    <w:basedOn w:val="Normal"/>
    <w:link w:val="CommentTextChar"/>
    <w:uiPriority w:val="99"/>
    <w:unhideWhenUsed/>
    <w:rsid w:val="00427264"/>
  </w:style>
  <w:style w:type="character" w:customStyle="1" w:styleId="CommentTextChar">
    <w:name w:val="Comment Text Char"/>
    <w:basedOn w:val="DefaultParagraphFont"/>
    <w:link w:val="CommentText"/>
    <w:uiPriority w:val="99"/>
    <w:rsid w:val="00427264"/>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427264"/>
    <w:rPr>
      <w:b/>
      <w:bCs/>
    </w:rPr>
  </w:style>
  <w:style w:type="character" w:customStyle="1" w:styleId="CommentSubjectChar">
    <w:name w:val="Comment Subject Char"/>
    <w:basedOn w:val="CommentTextChar"/>
    <w:link w:val="CommentSubject"/>
    <w:uiPriority w:val="99"/>
    <w:semiHidden/>
    <w:rsid w:val="00427264"/>
    <w:rPr>
      <w:rFonts w:ascii="Times New Roman" w:eastAsia="Times New Roman" w:hAnsi="Times New Roman" w:cs="Times New Roman"/>
      <w:b/>
      <w:bCs/>
      <w:sz w:val="20"/>
      <w:szCs w:val="20"/>
      <w:lang w:val="nl-NL" w:eastAsia="nl-NL"/>
    </w:rPr>
  </w:style>
  <w:style w:type="paragraph" w:styleId="FootnoteText">
    <w:name w:val="footnote text"/>
    <w:basedOn w:val="Normal"/>
    <w:link w:val="FootnoteTextChar"/>
    <w:uiPriority w:val="99"/>
    <w:semiHidden/>
    <w:unhideWhenUsed/>
    <w:rsid w:val="00FC68A8"/>
    <w:pPr>
      <w:spacing w:before="0" w:after="0"/>
    </w:pPr>
  </w:style>
  <w:style w:type="character" w:customStyle="1" w:styleId="FootnoteTextChar">
    <w:name w:val="Footnote Text Char"/>
    <w:basedOn w:val="DefaultParagraphFont"/>
    <w:link w:val="FootnoteText"/>
    <w:uiPriority w:val="99"/>
    <w:semiHidden/>
    <w:rsid w:val="00FC68A8"/>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FC68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675">
      <w:bodyDiv w:val="1"/>
      <w:marLeft w:val="0"/>
      <w:marRight w:val="0"/>
      <w:marTop w:val="0"/>
      <w:marBottom w:val="0"/>
      <w:divBdr>
        <w:top w:val="none" w:sz="0" w:space="0" w:color="auto"/>
        <w:left w:val="none" w:sz="0" w:space="0" w:color="auto"/>
        <w:bottom w:val="none" w:sz="0" w:space="0" w:color="auto"/>
        <w:right w:val="none" w:sz="0" w:space="0" w:color="auto"/>
      </w:divBdr>
    </w:div>
    <w:div w:id="18052971">
      <w:bodyDiv w:val="1"/>
      <w:marLeft w:val="0"/>
      <w:marRight w:val="0"/>
      <w:marTop w:val="0"/>
      <w:marBottom w:val="0"/>
      <w:divBdr>
        <w:top w:val="none" w:sz="0" w:space="0" w:color="auto"/>
        <w:left w:val="none" w:sz="0" w:space="0" w:color="auto"/>
        <w:bottom w:val="none" w:sz="0" w:space="0" w:color="auto"/>
        <w:right w:val="none" w:sz="0" w:space="0" w:color="auto"/>
      </w:divBdr>
    </w:div>
    <w:div w:id="201213405">
      <w:bodyDiv w:val="1"/>
      <w:marLeft w:val="0"/>
      <w:marRight w:val="0"/>
      <w:marTop w:val="0"/>
      <w:marBottom w:val="0"/>
      <w:divBdr>
        <w:top w:val="none" w:sz="0" w:space="0" w:color="auto"/>
        <w:left w:val="none" w:sz="0" w:space="0" w:color="auto"/>
        <w:bottom w:val="none" w:sz="0" w:space="0" w:color="auto"/>
        <w:right w:val="none" w:sz="0" w:space="0" w:color="auto"/>
      </w:divBdr>
    </w:div>
    <w:div w:id="248541464">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423845333">
      <w:bodyDiv w:val="1"/>
      <w:marLeft w:val="0"/>
      <w:marRight w:val="0"/>
      <w:marTop w:val="0"/>
      <w:marBottom w:val="0"/>
      <w:divBdr>
        <w:top w:val="none" w:sz="0" w:space="0" w:color="auto"/>
        <w:left w:val="none" w:sz="0" w:space="0" w:color="auto"/>
        <w:bottom w:val="none" w:sz="0" w:space="0" w:color="auto"/>
        <w:right w:val="none" w:sz="0" w:space="0" w:color="auto"/>
      </w:divBdr>
    </w:div>
    <w:div w:id="546139482">
      <w:bodyDiv w:val="1"/>
      <w:marLeft w:val="0"/>
      <w:marRight w:val="0"/>
      <w:marTop w:val="0"/>
      <w:marBottom w:val="0"/>
      <w:divBdr>
        <w:top w:val="none" w:sz="0" w:space="0" w:color="auto"/>
        <w:left w:val="none" w:sz="0" w:space="0" w:color="auto"/>
        <w:bottom w:val="none" w:sz="0" w:space="0" w:color="auto"/>
        <w:right w:val="none" w:sz="0" w:space="0" w:color="auto"/>
      </w:divBdr>
    </w:div>
    <w:div w:id="597249912">
      <w:bodyDiv w:val="1"/>
      <w:marLeft w:val="0"/>
      <w:marRight w:val="0"/>
      <w:marTop w:val="0"/>
      <w:marBottom w:val="0"/>
      <w:divBdr>
        <w:top w:val="none" w:sz="0" w:space="0" w:color="auto"/>
        <w:left w:val="none" w:sz="0" w:space="0" w:color="auto"/>
        <w:bottom w:val="none" w:sz="0" w:space="0" w:color="auto"/>
        <w:right w:val="none" w:sz="0" w:space="0" w:color="auto"/>
      </w:divBdr>
    </w:div>
    <w:div w:id="723332383">
      <w:bodyDiv w:val="1"/>
      <w:marLeft w:val="0"/>
      <w:marRight w:val="0"/>
      <w:marTop w:val="0"/>
      <w:marBottom w:val="0"/>
      <w:divBdr>
        <w:top w:val="none" w:sz="0" w:space="0" w:color="auto"/>
        <w:left w:val="none" w:sz="0" w:space="0" w:color="auto"/>
        <w:bottom w:val="none" w:sz="0" w:space="0" w:color="auto"/>
        <w:right w:val="none" w:sz="0" w:space="0" w:color="auto"/>
      </w:divBdr>
    </w:div>
    <w:div w:id="750277573">
      <w:bodyDiv w:val="1"/>
      <w:marLeft w:val="0"/>
      <w:marRight w:val="0"/>
      <w:marTop w:val="0"/>
      <w:marBottom w:val="0"/>
      <w:divBdr>
        <w:top w:val="none" w:sz="0" w:space="0" w:color="auto"/>
        <w:left w:val="none" w:sz="0" w:space="0" w:color="auto"/>
        <w:bottom w:val="none" w:sz="0" w:space="0" w:color="auto"/>
        <w:right w:val="none" w:sz="0" w:space="0" w:color="auto"/>
      </w:divBdr>
    </w:div>
    <w:div w:id="786004771">
      <w:bodyDiv w:val="1"/>
      <w:marLeft w:val="0"/>
      <w:marRight w:val="0"/>
      <w:marTop w:val="0"/>
      <w:marBottom w:val="0"/>
      <w:divBdr>
        <w:top w:val="none" w:sz="0" w:space="0" w:color="auto"/>
        <w:left w:val="none" w:sz="0" w:space="0" w:color="auto"/>
        <w:bottom w:val="none" w:sz="0" w:space="0" w:color="auto"/>
        <w:right w:val="none" w:sz="0" w:space="0" w:color="auto"/>
      </w:divBdr>
    </w:div>
    <w:div w:id="921110460">
      <w:bodyDiv w:val="1"/>
      <w:marLeft w:val="0"/>
      <w:marRight w:val="0"/>
      <w:marTop w:val="0"/>
      <w:marBottom w:val="0"/>
      <w:divBdr>
        <w:top w:val="none" w:sz="0" w:space="0" w:color="auto"/>
        <w:left w:val="none" w:sz="0" w:space="0" w:color="auto"/>
        <w:bottom w:val="none" w:sz="0" w:space="0" w:color="auto"/>
        <w:right w:val="none" w:sz="0" w:space="0" w:color="auto"/>
      </w:divBdr>
    </w:div>
    <w:div w:id="1001735080">
      <w:bodyDiv w:val="1"/>
      <w:marLeft w:val="0"/>
      <w:marRight w:val="0"/>
      <w:marTop w:val="0"/>
      <w:marBottom w:val="0"/>
      <w:divBdr>
        <w:top w:val="none" w:sz="0" w:space="0" w:color="auto"/>
        <w:left w:val="none" w:sz="0" w:space="0" w:color="auto"/>
        <w:bottom w:val="none" w:sz="0" w:space="0" w:color="auto"/>
        <w:right w:val="none" w:sz="0" w:space="0" w:color="auto"/>
      </w:divBdr>
    </w:div>
    <w:div w:id="1024133432">
      <w:bodyDiv w:val="1"/>
      <w:marLeft w:val="0"/>
      <w:marRight w:val="0"/>
      <w:marTop w:val="0"/>
      <w:marBottom w:val="0"/>
      <w:divBdr>
        <w:top w:val="none" w:sz="0" w:space="0" w:color="auto"/>
        <w:left w:val="none" w:sz="0" w:space="0" w:color="auto"/>
        <w:bottom w:val="none" w:sz="0" w:space="0" w:color="auto"/>
        <w:right w:val="none" w:sz="0" w:space="0" w:color="auto"/>
      </w:divBdr>
    </w:div>
    <w:div w:id="1052071829">
      <w:bodyDiv w:val="1"/>
      <w:marLeft w:val="0"/>
      <w:marRight w:val="0"/>
      <w:marTop w:val="0"/>
      <w:marBottom w:val="0"/>
      <w:divBdr>
        <w:top w:val="none" w:sz="0" w:space="0" w:color="auto"/>
        <w:left w:val="none" w:sz="0" w:space="0" w:color="auto"/>
        <w:bottom w:val="none" w:sz="0" w:space="0" w:color="auto"/>
        <w:right w:val="none" w:sz="0" w:space="0" w:color="auto"/>
      </w:divBdr>
    </w:div>
    <w:div w:id="1083600898">
      <w:bodyDiv w:val="1"/>
      <w:marLeft w:val="0"/>
      <w:marRight w:val="0"/>
      <w:marTop w:val="0"/>
      <w:marBottom w:val="0"/>
      <w:divBdr>
        <w:top w:val="none" w:sz="0" w:space="0" w:color="auto"/>
        <w:left w:val="none" w:sz="0" w:space="0" w:color="auto"/>
        <w:bottom w:val="none" w:sz="0" w:space="0" w:color="auto"/>
        <w:right w:val="none" w:sz="0" w:space="0" w:color="auto"/>
      </w:divBdr>
    </w:div>
    <w:div w:id="1091657553">
      <w:bodyDiv w:val="1"/>
      <w:marLeft w:val="0"/>
      <w:marRight w:val="0"/>
      <w:marTop w:val="0"/>
      <w:marBottom w:val="0"/>
      <w:divBdr>
        <w:top w:val="none" w:sz="0" w:space="0" w:color="auto"/>
        <w:left w:val="none" w:sz="0" w:space="0" w:color="auto"/>
        <w:bottom w:val="none" w:sz="0" w:space="0" w:color="auto"/>
        <w:right w:val="none" w:sz="0" w:space="0" w:color="auto"/>
      </w:divBdr>
    </w:div>
    <w:div w:id="1109620107">
      <w:bodyDiv w:val="1"/>
      <w:marLeft w:val="0"/>
      <w:marRight w:val="0"/>
      <w:marTop w:val="0"/>
      <w:marBottom w:val="0"/>
      <w:divBdr>
        <w:top w:val="none" w:sz="0" w:space="0" w:color="auto"/>
        <w:left w:val="none" w:sz="0" w:space="0" w:color="auto"/>
        <w:bottom w:val="none" w:sz="0" w:space="0" w:color="auto"/>
        <w:right w:val="none" w:sz="0" w:space="0" w:color="auto"/>
      </w:divBdr>
    </w:div>
    <w:div w:id="1169322755">
      <w:bodyDiv w:val="1"/>
      <w:marLeft w:val="0"/>
      <w:marRight w:val="0"/>
      <w:marTop w:val="0"/>
      <w:marBottom w:val="0"/>
      <w:divBdr>
        <w:top w:val="none" w:sz="0" w:space="0" w:color="auto"/>
        <w:left w:val="none" w:sz="0" w:space="0" w:color="auto"/>
        <w:bottom w:val="none" w:sz="0" w:space="0" w:color="auto"/>
        <w:right w:val="none" w:sz="0" w:space="0" w:color="auto"/>
      </w:divBdr>
    </w:div>
    <w:div w:id="1300723164">
      <w:bodyDiv w:val="1"/>
      <w:marLeft w:val="0"/>
      <w:marRight w:val="0"/>
      <w:marTop w:val="0"/>
      <w:marBottom w:val="0"/>
      <w:divBdr>
        <w:top w:val="none" w:sz="0" w:space="0" w:color="auto"/>
        <w:left w:val="none" w:sz="0" w:space="0" w:color="auto"/>
        <w:bottom w:val="none" w:sz="0" w:space="0" w:color="auto"/>
        <w:right w:val="none" w:sz="0" w:space="0" w:color="auto"/>
      </w:divBdr>
    </w:div>
    <w:div w:id="1361316281">
      <w:bodyDiv w:val="1"/>
      <w:marLeft w:val="0"/>
      <w:marRight w:val="0"/>
      <w:marTop w:val="0"/>
      <w:marBottom w:val="0"/>
      <w:divBdr>
        <w:top w:val="none" w:sz="0" w:space="0" w:color="auto"/>
        <w:left w:val="none" w:sz="0" w:space="0" w:color="auto"/>
        <w:bottom w:val="none" w:sz="0" w:space="0" w:color="auto"/>
        <w:right w:val="none" w:sz="0" w:space="0" w:color="auto"/>
      </w:divBdr>
    </w:div>
    <w:div w:id="1567688378">
      <w:bodyDiv w:val="1"/>
      <w:marLeft w:val="0"/>
      <w:marRight w:val="0"/>
      <w:marTop w:val="0"/>
      <w:marBottom w:val="0"/>
      <w:divBdr>
        <w:top w:val="none" w:sz="0" w:space="0" w:color="auto"/>
        <w:left w:val="none" w:sz="0" w:space="0" w:color="auto"/>
        <w:bottom w:val="none" w:sz="0" w:space="0" w:color="auto"/>
        <w:right w:val="none" w:sz="0" w:space="0" w:color="auto"/>
      </w:divBdr>
    </w:div>
    <w:div w:id="1602949783">
      <w:bodyDiv w:val="1"/>
      <w:marLeft w:val="0"/>
      <w:marRight w:val="0"/>
      <w:marTop w:val="0"/>
      <w:marBottom w:val="0"/>
      <w:divBdr>
        <w:top w:val="none" w:sz="0" w:space="0" w:color="auto"/>
        <w:left w:val="none" w:sz="0" w:space="0" w:color="auto"/>
        <w:bottom w:val="none" w:sz="0" w:space="0" w:color="auto"/>
        <w:right w:val="none" w:sz="0" w:space="0" w:color="auto"/>
      </w:divBdr>
    </w:div>
    <w:div w:id="1618246925">
      <w:bodyDiv w:val="1"/>
      <w:marLeft w:val="0"/>
      <w:marRight w:val="0"/>
      <w:marTop w:val="0"/>
      <w:marBottom w:val="0"/>
      <w:divBdr>
        <w:top w:val="none" w:sz="0" w:space="0" w:color="auto"/>
        <w:left w:val="none" w:sz="0" w:space="0" w:color="auto"/>
        <w:bottom w:val="none" w:sz="0" w:space="0" w:color="auto"/>
        <w:right w:val="none" w:sz="0" w:space="0" w:color="auto"/>
      </w:divBdr>
    </w:div>
    <w:div w:id="1635675132">
      <w:bodyDiv w:val="1"/>
      <w:marLeft w:val="0"/>
      <w:marRight w:val="0"/>
      <w:marTop w:val="0"/>
      <w:marBottom w:val="0"/>
      <w:divBdr>
        <w:top w:val="none" w:sz="0" w:space="0" w:color="auto"/>
        <w:left w:val="none" w:sz="0" w:space="0" w:color="auto"/>
        <w:bottom w:val="none" w:sz="0" w:space="0" w:color="auto"/>
        <w:right w:val="none" w:sz="0" w:space="0" w:color="auto"/>
      </w:divBdr>
    </w:div>
    <w:div w:id="1644771242">
      <w:bodyDiv w:val="1"/>
      <w:marLeft w:val="0"/>
      <w:marRight w:val="0"/>
      <w:marTop w:val="0"/>
      <w:marBottom w:val="0"/>
      <w:divBdr>
        <w:top w:val="none" w:sz="0" w:space="0" w:color="auto"/>
        <w:left w:val="none" w:sz="0" w:space="0" w:color="auto"/>
        <w:bottom w:val="none" w:sz="0" w:space="0" w:color="auto"/>
        <w:right w:val="none" w:sz="0" w:space="0" w:color="auto"/>
      </w:divBdr>
    </w:div>
    <w:div w:id="1649549454">
      <w:bodyDiv w:val="1"/>
      <w:marLeft w:val="0"/>
      <w:marRight w:val="0"/>
      <w:marTop w:val="0"/>
      <w:marBottom w:val="0"/>
      <w:divBdr>
        <w:top w:val="none" w:sz="0" w:space="0" w:color="auto"/>
        <w:left w:val="none" w:sz="0" w:space="0" w:color="auto"/>
        <w:bottom w:val="none" w:sz="0" w:space="0" w:color="auto"/>
        <w:right w:val="none" w:sz="0" w:space="0" w:color="auto"/>
      </w:divBdr>
    </w:div>
    <w:div w:id="1764644377">
      <w:bodyDiv w:val="1"/>
      <w:marLeft w:val="0"/>
      <w:marRight w:val="0"/>
      <w:marTop w:val="0"/>
      <w:marBottom w:val="0"/>
      <w:divBdr>
        <w:top w:val="none" w:sz="0" w:space="0" w:color="auto"/>
        <w:left w:val="none" w:sz="0" w:space="0" w:color="auto"/>
        <w:bottom w:val="none" w:sz="0" w:space="0" w:color="auto"/>
        <w:right w:val="none" w:sz="0" w:space="0" w:color="auto"/>
      </w:divBdr>
    </w:div>
    <w:div w:id="1800219370">
      <w:bodyDiv w:val="1"/>
      <w:marLeft w:val="0"/>
      <w:marRight w:val="0"/>
      <w:marTop w:val="0"/>
      <w:marBottom w:val="0"/>
      <w:divBdr>
        <w:top w:val="none" w:sz="0" w:space="0" w:color="auto"/>
        <w:left w:val="none" w:sz="0" w:space="0" w:color="auto"/>
        <w:bottom w:val="none" w:sz="0" w:space="0" w:color="auto"/>
        <w:right w:val="none" w:sz="0" w:space="0" w:color="auto"/>
      </w:divBdr>
    </w:div>
    <w:div w:id="1850950554">
      <w:bodyDiv w:val="1"/>
      <w:marLeft w:val="0"/>
      <w:marRight w:val="0"/>
      <w:marTop w:val="0"/>
      <w:marBottom w:val="0"/>
      <w:divBdr>
        <w:top w:val="none" w:sz="0" w:space="0" w:color="auto"/>
        <w:left w:val="none" w:sz="0" w:space="0" w:color="auto"/>
        <w:bottom w:val="none" w:sz="0" w:space="0" w:color="auto"/>
        <w:right w:val="none" w:sz="0" w:space="0" w:color="auto"/>
      </w:divBdr>
    </w:div>
    <w:div w:id="2054188674">
      <w:bodyDiv w:val="1"/>
      <w:marLeft w:val="0"/>
      <w:marRight w:val="0"/>
      <w:marTop w:val="0"/>
      <w:marBottom w:val="0"/>
      <w:divBdr>
        <w:top w:val="none" w:sz="0" w:space="0" w:color="auto"/>
        <w:left w:val="none" w:sz="0" w:space="0" w:color="auto"/>
        <w:bottom w:val="none" w:sz="0" w:space="0" w:color="auto"/>
        <w:right w:val="none" w:sz="0" w:space="0" w:color="auto"/>
      </w:divBdr>
    </w:div>
    <w:div w:id="2066904496">
      <w:bodyDiv w:val="1"/>
      <w:marLeft w:val="0"/>
      <w:marRight w:val="0"/>
      <w:marTop w:val="0"/>
      <w:marBottom w:val="0"/>
      <w:divBdr>
        <w:top w:val="none" w:sz="0" w:space="0" w:color="auto"/>
        <w:left w:val="none" w:sz="0" w:space="0" w:color="auto"/>
        <w:bottom w:val="none" w:sz="0" w:space="0" w:color="auto"/>
        <w:right w:val="none" w:sz="0" w:space="0" w:color="auto"/>
      </w:divBdr>
    </w:div>
    <w:div w:id="2072538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openxmlformats.org/officeDocument/2006/relationships/styles" Target="styles.xml" Id="rId7" /><Relationship Type="http://schemas.openxmlformats.org/officeDocument/2006/relationships/hyperlink" Target="https://www.tweedekamer.nl/kamerstukken/brieven_regering/detail?id=2025Z08513&amp;did=2025D19463"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www.tweedekamer.nl/kamerstukken/brieven_regering/detail?id=2024Z21276&amp;did=2024D50230"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14</ap:Pages>
  <ap:Words>5547</ap:Words>
  <ap:Characters>30513</ap:Characters>
  <ap:DocSecurity>0</ap:DocSecurity>
  <ap:Lines>254</ap:Lines>
  <ap:Paragraphs>71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35989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2025-05-30T09:57:00.0000000Z</dcterms:created>
  <dcterms:modified xsi:type="dcterms:W3CDTF">2025-05-30T09:57:00.0000000Z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3759dd39-e68c-4a77-8045-625b6a10c3d7</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