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1628" w:rsidP="00901628" w:rsidRDefault="00901628" w14:paraId="58367EEA" w14:textId="77777777">
      <w:pPr>
        <w:spacing w:line="276" w:lineRule="auto"/>
      </w:pPr>
      <w:r>
        <w:t>Geachte voorzitter,</w:t>
      </w:r>
    </w:p>
    <w:p w:rsidR="00901628" w:rsidP="00901628" w:rsidRDefault="00901628" w14:paraId="1BCC3C38" w14:textId="77777777">
      <w:pPr>
        <w:spacing w:line="276" w:lineRule="auto"/>
      </w:pPr>
    </w:p>
    <w:p w:rsidR="00CD4242" w:rsidP="00901628" w:rsidRDefault="00A8191D" w14:paraId="26C2A5FD" w14:textId="18EA0B2F">
      <w:pPr>
        <w:spacing w:line="276" w:lineRule="auto"/>
      </w:pPr>
      <w:r>
        <w:t>Hierbij bied ik u de antwoorden aan</w:t>
      </w:r>
      <w:r w:rsidR="00423CEC">
        <w:t xml:space="preserve">, </w:t>
      </w:r>
      <w:r w:rsidRPr="00423CEC" w:rsidR="00423CEC">
        <w:t xml:space="preserve">mede namens de </w:t>
      </w:r>
      <w:r w:rsidR="00901628">
        <w:t>m</w:t>
      </w:r>
      <w:r w:rsidRPr="00423CEC" w:rsidR="00423CEC">
        <w:t xml:space="preserve">inister voor Buitenlandse Handel en Ontwikkelingshulp en de </w:t>
      </w:r>
      <w:r w:rsidR="00901628">
        <w:t>m</w:t>
      </w:r>
      <w:r w:rsidRPr="00423CEC" w:rsidR="00423CEC">
        <w:t xml:space="preserve">inister van Justitie en Veiligheid </w:t>
      </w:r>
      <w:r>
        <w:t>op de schriftelijke vragen gesteld door de leden Hirsch</w:t>
      </w:r>
      <w:r w:rsidR="00E90B2F">
        <w:t>, Piri</w:t>
      </w:r>
      <w:r>
        <w:t> (GL-PvdA) en Dobbe (SP) over geweld tegen hulpverleners.</w:t>
      </w:r>
      <w:r w:rsidR="00901628">
        <w:t xml:space="preserve"> </w:t>
      </w:r>
      <w:r>
        <w:t>Deze vragen werden ingezonden op 17 april 2025 met kenmerk 2025Z07782.</w:t>
      </w:r>
    </w:p>
    <w:p w:rsidR="00CD4242" w:rsidP="00901628" w:rsidRDefault="00CD4242" w14:paraId="26C2A601" w14:textId="77777777">
      <w:pPr>
        <w:spacing w:line="276" w:lineRule="auto"/>
      </w:pPr>
    </w:p>
    <w:p w:rsidR="00CD4242" w:rsidP="00901628" w:rsidRDefault="00A8191D" w14:paraId="26C2A602" w14:textId="0AC241D1">
      <w:pPr>
        <w:spacing w:line="276" w:lineRule="auto"/>
      </w:pPr>
      <w:r>
        <w:t>De minister van Buitenlandse Zaken,</w:t>
      </w:r>
      <w:r w:rsidR="007B1DDD">
        <w:tab/>
      </w:r>
      <w:r w:rsidR="007B1DDD">
        <w:tab/>
      </w:r>
      <w:r w:rsidR="007B1DDD">
        <w:tab/>
      </w:r>
      <w:r>
        <w:br/>
      </w:r>
      <w:r>
        <w:br/>
      </w:r>
      <w:r>
        <w:br/>
      </w:r>
      <w:r>
        <w:br/>
      </w:r>
      <w:r>
        <w:br/>
      </w:r>
      <w:r>
        <w:br/>
        <w:t>Caspar Veldkamp</w:t>
      </w:r>
    </w:p>
    <w:p w:rsidR="00D669B1" w:rsidP="00901628" w:rsidRDefault="00D669B1" w14:paraId="3F8ABAFE" w14:textId="77777777">
      <w:pPr>
        <w:spacing w:line="276" w:lineRule="auto"/>
      </w:pPr>
    </w:p>
    <w:p w:rsidR="00D669B1" w:rsidP="00901628" w:rsidRDefault="00D669B1" w14:paraId="262FFF3D" w14:textId="77777777">
      <w:pPr>
        <w:spacing w:line="276" w:lineRule="auto"/>
      </w:pPr>
    </w:p>
    <w:p w:rsidR="00D669B1" w:rsidP="00901628" w:rsidRDefault="00D669B1" w14:paraId="58ABDA40" w14:textId="77777777">
      <w:pPr>
        <w:spacing w:line="276" w:lineRule="auto"/>
      </w:pPr>
    </w:p>
    <w:p w:rsidR="00D669B1" w:rsidP="00901628" w:rsidRDefault="00D669B1" w14:paraId="485C0161" w14:textId="77777777">
      <w:pPr>
        <w:spacing w:line="276" w:lineRule="auto"/>
      </w:pPr>
    </w:p>
    <w:p w:rsidR="00423CEC" w:rsidP="00901628" w:rsidRDefault="00423CEC" w14:paraId="0FA28C52" w14:textId="77777777">
      <w:pPr>
        <w:spacing w:line="276" w:lineRule="auto"/>
      </w:pPr>
      <w:r>
        <w:br w:type="page"/>
      </w:r>
    </w:p>
    <w:p w:rsidRPr="00901628" w:rsidR="0024720B" w:rsidP="00901628" w:rsidRDefault="0024720B" w14:paraId="7A3688E1" w14:textId="2C37871C">
      <w:pPr>
        <w:spacing w:line="276" w:lineRule="auto"/>
        <w:rPr>
          <w:b/>
          <w:bCs/>
        </w:rPr>
      </w:pPr>
      <w:r w:rsidRPr="0024720B">
        <w:rPr>
          <w:b/>
          <w:bCs/>
        </w:rPr>
        <w:lastRenderedPageBreak/>
        <w:t xml:space="preserve">Antwoorden van de </w:t>
      </w:r>
      <w:r w:rsidR="00901628">
        <w:rPr>
          <w:b/>
          <w:bCs/>
        </w:rPr>
        <w:t>m</w:t>
      </w:r>
      <w:r w:rsidRPr="0024720B">
        <w:rPr>
          <w:b/>
          <w:bCs/>
        </w:rPr>
        <w:t>inister van Buitenlandse Zaken</w:t>
      </w:r>
      <w:r w:rsidR="00423CEC">
        <w:rPr>
          <w:b/>
          <w:bCs/>
        </w:rPr>
        <w:t xml:space="preserve">, </w:t>
      </w:r>
      <w:r w:rsidRPr="0024720B" w:rsidR="00423CEC">
        <w:rPr>
          <w:b/>
          <w:bCs/>
        </w:rPr>
        <w:t>mede namens</w:t>
      </w:r>
      <w:r w:rsidRPr="0024720B">
        <w:rPr>
          <w:b/>
          <w:bCs/>
        </w:rPr>
        <w:t xml:space="preserve"> de </w:t>
      </w:r>
      <w:r w:rsidR="00901628">
        <w:rPr>
          <w:b/>
          <w:bCs/>
        </w:rPr>
        <w:t>m</w:t>
      </w:r>
      <w:r w:rsidRPr="0024720B">
        <w:rPr>
          <w:b/>
          <w:bCs/>
        </w:rPr>
        <w:t>inister voor Buitenlandse Handel en Ontwikkelingshulp</w:t>
      </w:r>
      <w:r w:rsidR="00423CEC">
        <w:rPr>
          <w:b/>
          <w:bCs/>
        </w:rPr>
        <w:t xml:space="preserve"> en</w:t>
      </w:r>
      <w:r w:rsidRPr="0024720B">
        <w:rPr>
          <w:b/>
          <w:bCs/>
        </w:rPr>
        <w:t xml:space="preserve"> de </w:t>
      </w:r>
      <w:r w:rsidR="00901628">
        <w:rPr>
          <w:b/>
          <w:bCs/>
        </w:rPr>
        <w:t>m</w:t>
      </w:r>
      <w:r w:rsidRPr="0024720B">
        <w:rPr>
          <w:b/>
          <w:bCs/>
        </w:rPr>
        <w:t>inister van Justitie en Veiligheid op vragen van de leden Hirsch</w:t>
      </w:r>
      <w:r w:rsidR="00E90B2F">
        <w:rPr>
          <w:b/>
          <w:bCs/>
        </w:rPr>
        <w:t>, Piri</w:t>
      </w:r>
      <w:r w:rsidRPr="0024720B">
        <w:rPr>
          <w:b/>
          <w:bCs/>
        </w:rPr>
        <w:t xml:space="preserve"> (GL-PvdA) en Dobbe (SP) over geweld tegen hulpverleners</w:t>
      </w:r>
    </w:p>
    <w:p w:rsidR="0024720B" w:rsidP="00901628" w:rsidRDefault="0024720B" w14:paraId="3FB8D099" w14:textId="77777777">
      <w:pPr>
        <w:spacing w:line="276" w:lineRule="auto"/>
      </w:pPr>
    </w:p>
    <w:p w:rsidR="00CD4242" w:rsidP="00901628" w:rsidRDefault="00A8191D" w14:paraId="26C2A606" w14:textId="77777777">
      <w:pPr>
        <w:spacing w:line="276" w:lineRule="auto"/>
      </w:pPr>
      <w:r>
        <w:rPr>
          <w:b/>
        </w:rPr>
        <w:t>Vraag 1</w:t>
      </w:r>
    </w:p>
    <w:p w:rsidR="00CD4242" w:rsidP="00901628" w:rsidRDefault="00A722F8" w14:paraId="26C2A608" w14:textId="43E7867D">
      <w:pPr>
        <w:spacing w:line="276" w:lineRule="auto"/>
      </w:pPr>
      <w:r w:rsidRPr="004A09BD">
        <w:t>Bent u bekend met de berichtgeving over de aanval op vluchtelingenkampen Zamzam en Abu Shouk door de Rapid Support Forces (RSF) in Soedan, waarbij honderden burgers en negen humanitaire hulpverleners om het leven zijn gekomen?</w:t>
      </w:r>
      <w:r>
        <w:rPr>
          <w:rStyle w:val="FootnoteReference"/>
        </w:rPr>
        <w:footnoteReference w:id="2"/>
      </w:r>
    </w:p>
    <w:p w:rsidR="00A722F8" w:rsidP="00901628" w:rsidRDefault="00A722F8" w14:paraId="34064DBD" w14:textId="77777777">
      <w:pPr>
        <w:spacing w:line="276" w:lineRule="auto"/>
      </w:pPr>
    </w:p>
    <w:p w:rsidR="00CD4242" w:rsidP="00901628" w:rsidRDefault="00A8191D" w14:paraId="26C2A609" w14:textId="77777777">
      <w:pPr>
        <w:spacing w:line="276" w:lineRule="auto"/>
      </w:pPr>
      <w:r>
        <w:rPr>
          <w:b/>
        </w:rPr>
        <w:t>Antwoord</w:t>
      </w:r>
    </w:p>
    <w:p w:rsidR="00CD4242" w:rsidP="00901628" w:rsidRDefault="00A722F8" w14:paraId="26C2A60A" w14:textId="6BA1C69F">
      <w:pPr>
        <w:spacing w:line="276" w:lineRule="auto"/>
      </w:pPr>
      <w:r>
        <w:t>Ja.</w:t>
      </w:r>
    </w:p>
    <w:p w:rsidR="00A722F8" w:rsidP="00901628" w:rsidRDefault="00A722F8" w14:paraId="080C5893" w14:textId="77777777">
      <w:pPr>
        <w:spacing w:line="276" w:lineRule="auto"/>
      </w:pPr>
    </w:p>
    <w:p w:rsidR="00CD4242" w:rsidP="00901628" w:rsidRDefault="00A8191D" w14:paraId="26C2A60C" w14:textId="77777777">
      <w:pPr>
        <w:spacing w:line="276" w:lineRule="auto"/>
      </w:pPr>
      <w:r>
        <w:rPr>
          <w:b/>
        </w:rPr>
        <w:t>Vraag 2</w:t>
      </w:r>
    </w:p>
    <w:p w:rsidR="00CD4242" w:rsidP="00901628" w:rsidRDefault="00A722F8" w14:paraId="26C2A60D" w14:textId="2E547702">
      <w:pPr>
        <w:spacing w:line="276" w:lineRule="auto"/>
      </w:pPr>
      <w:r w:rsidRPr="004A09BD">
        <w:t>Heeft u zich tijdens de Raad Buitenlandse Zaken (RBZ) op 14 april ingezet om te komen tot een scherpe publieke veroordeling van aanvallen tegen hulpverleners? Zo nee, hebben andere landen dit wel gedaan?</w:t>
      </w:r>
    </w:p>
    <w:p w:rsidR="00CD4242" w:rsidP="00901628" w:rsidRDefault="00CD4242" w14:paraId="26C2A60E" w14:textId="77777777">
      <w:pPr>
        <w:spacing w:line="276" w:lineRule="auto"/>
      </w:pPr>
    </w:p>
    <w:p w:rsidR="00CD4242" w:rsidP="00901628" w:rsidRDefault="00A8191D" w14:paraId="26C2A60F" w14:textId="77777777">
      <w:pPr>
        <w:spacing w:line="276" w:lineRule="auto"/>
      </w:pPr>
      <w:r>
        <w:rPr>
          <w:b/>
        </w:rPr>
        <w:t>Antwoord</w:t>
      </w:r>
    </w:p>
    <w:p w:rsidR="00A722F8" w:rsidP="00901628" w:rsidRDefault="00A722F8" w14:paraId="72E99499" w14:textId="1C6F01EA">
      <w:pPr>
        <w:spacing w:line="276" w:lineRule="auto"/>
      </w:pPr>
      <w:r>
        <w:t>Tijdens de R</w:t>
      </w:r>
      <w:r w:rsidR="00AA6D06">
        <w:t xml:space="preserve">aad </w:t>
      </w:r>
      <w:r>
        <w:t>B</w:t>
      </w:r>
      <w:r w:rsidR="00AA6D06">
        <w:t xml:space="preserve">uitenlandse </w:t>
      </w:r>
      <w:r>
        <w:t>Z</w:t>
      </w:r>
      <w:r w:rsidR="00AA6D06">
        <w:t>aken (RBZ)</w:t>
      </w:r>
      <w:r>
        <w:t xml:space="preserve"> van 14 april </w:t>
      </w:r>
      <w:r w:rsidR="00AA6D06">
        <w:t xml:space="preserve">jl. </w:t>
      </w:r>
      <w:r>
        <w:t>hebben meerdere lidstaten</w:t>
      </w:r>
      <w:r w:rsidR="00B91728">
        <w:t>, waaronder Nederland,</w:t>
      </w:r>
      <w:r>
        <w:t xml:space="preserve"> aandacht gevraagd voor de humanitaire situatie in Soedan en </w:t>
      </w:r>
      <w:bookmarkStart w:name="_Hlk197703253" w:id="1"/>
      <w:r>
        <w:t>de aanvallen op de vluchtelingenkampen Zamzam en Abu Shouk in Darfoer</w:t>
      </w:r>
      <w:bookmarkEnd w:id="1"/>
      <w:r>
        <w:t xml:space="preserve">. Binnen de Raad was er </w:t>
      </w:r>
      <w:r w:rsidRPr="006E56AA">
        <w:t xml:space="preserve">brede steun voor diplomatieke inspanningen van de EU om een </w:t>
      </w:r>
      <w:r>
        <w:t xml:space="preserve">bijdrage te leveren aan het beëindigen van het </w:t>
      </w:r>
      <w:r w:rsidRPr="006E56AA">
        <w:t>geweld en de beschikbare instrumenten hiervoor in te zetten.</w:t>
      </w:r>
      <w:r>
        <w:t xml:space="preserve"> Nederland heeft zich hier </w:t>
      </w:r>
      <w:r w:rsidR="00B84886">
        <w:t>eveneens</w:t>
      </w:r>
      <w:r>
        <w:t xml:space="preserve"> voor uitgesproken.</w:t>
      </w:r>
    </w:p>
    <w:p w:rsidR="00A722F8" w:rsidP="00901628" w:rsidRDefault="00A722F8" w14:paraId="0B496A36" w14:textId="77777777">
      <w:pPr>
        <w:spacing w:line="276" w:lineRule="auto"/>
      </w:pPr>
    </w:p>
    <w:p w:rsidR="00A722F8" w:rsidP="00901628" w:rsidRDefault="00A722F8" w14:paraId="05F69BFD" w14:textId="41D7D458">
      <w:pPr>
        <w:spacing w:line="276" w:lineRule="auto"/>
      </w:pPr>
      <w:r>
        <w:t>Ook de recente aanval op hulpverleners in de Gazastrook, waarbij onder meer hulpverleners van de Palestijnse Rode Halve Maan om het leven kwamen, is door Nederland opgebracht tijdens de RBZ</w:t>
      </w:r>
      <w:r w:rsidR="00B91728">
        <w:t xml:space="preserve"> in april</w:t>
      </w:r>
      <w:r>
        <w:t xml:space="preserve">. </w:t>
      </w:r>
      <w:r w:rsidRPr="003B33DD">
        <w:t xml:space="preserve">Tijdens de ontbieding van de Israëlische ambassadeur op 9 april </w:t>
      </w:r>
      <w:r w:rsidR="00AA6D06">
        <w:t xml:space="preserve">jl. </w:t>
      </w:r>
      <w:r w:rsidRPr="003B33DD">
        <w:t xml:space="preserve">is benadrukt dat het kabinet de aanval op hulpverleners veroordeelt en dat een grondig en onafhankelijk onderzoek moet worden uitgevoerd. Het Israëlische leger publiceerde op 20 april jl. een verklaring over het onderzoek dat is uitgevoerd over deze aanval op hulpverleners. De Israëlische legerleiding heeft op basis van dit onderzoek besloten de verantwoordelijke brigadecommandant een reprimande te geven en de betrokken bataljonscommandant uit zijn functie te ontheffen. Dit onderzoek is inmiddels overgedragen aan de militaire aanklager voor opvolging. </w:t>
      </w:r>
      <w:r w:rsidR="0045747F">
        <w:t>C</w:t>
      </w:r>
      <w:r w:rsidRPr="003B33DD">
        <w:t>onform de motie Kahraman/Ceder (</w:t>
      </w:r>
      <w:r w:rsidR="00AA6D06">
        <w:t xml:space="preserve">Kamerstuk </w:t>
      </w:r>
      <w:r w:rsidRPr="003B33DD">
        <w:t>21 501-02, nr. 3107)</w:t>
      </w:r>
      <w:r w:rsidR="0045747F">
        <w:t xml:space="preserve"> verzoekt de regering</w:t>
      </w:r>
      <w:r w:rsidRPr="003B33DD">
        <w:t xml:space="preserve"> op</w:t>
      </w:r>
      <w:r w:rsidR="0045747F">
        <w:t xml:space="preserve"> te </w:t>
      </w:r>
      <w:r w:rsidRPr="003B33DD">
        <w:t>roepen tot een internationaal onderzoek.</w:t>
      </w:r>
      <w:r w:rsidR="0045747F">
        <w:t xml:space="preserve"> </w:t>
      </w:r>
      <w:r w:rsidRPr="0045747F" w:rsidR="0045747F">
        <w:t>In dat verband heb ik laten nagaan of deze aanval op hulpverleners wordt onderzocht door de Independent International Commission of Inquiry on the Occupied Palestinian Territory, including East Jerusalem, and Israel, opgericht door de VN-Mensenrechtenraad. De Commission of Inquiry heeft bevestigd dat dit het geval is.</w:t>
      </w:r>
    </w:p>
    <w:p w:rsidR="00CD4242" w:rsidP="00901628" w:rsidRDefault="00CD4242" w14:paraId="26C2A611" w14:textId="77777777">
      <w:pPr>
        <w:spacing w:line="276" w:lineRule="auto"/>
      </w:pPr>
    </w:p>
    <w:p w:rsidRPr="00901628" w:rsidR="00EB7B4A" w:rsidP="00901628" w:rsidRDefault="00EB7B4A" w14:paraId="538EB8B3" w14:textId="618F33B2">
      <w:pPr>
        <w:spacing w:line="276" w:lineRule="auto"/>
        <w:rPr>
          <w:b/>
        </w:rPr>
      </w:pPr>
      <w:r>
        <w:rPr>
          <w:b/>
        </w:rPr>
        <w:br w:type="page"/>
      </w:r>
      <w:bookmarkStart w:name="_Hlk197950160" w:id="2"/>
      <w:r w:rsidR="00A8191D">
        <w:rPr>
          <w:b/>
        </w:rPr>
        <w:lastRenderedPageBreak/>
        <w:t>Vraag 3</w:t>
      </w:r>
    </w:p>
    <w:p w:rsidR="00CD4242" w:rsidP="00901628" w:rsidRDefault="00A722F8" w14:paraId="26C2A613" w14:textId="747F528C">
      <w:pPr>
        <w:spacing w:line="276" w:lineRule="auto"/>
      </w:pPr>
      <w:r w:rsidRPr="004A09BD">
        <w:t>Heeft u contact gehad met de ambassadeur van de Verenigde Arabische Emiraten (VAE) over de wapenleveranties aan de RSF?</w:t>
      </w:r>
      <w:r>
        <w:rPr>
          <w:rStyle w:val="FootnoteReference"/>
        </w:rPr>
        <w:footnoteReference w:id="3"/>
      </w:r>
      <w:r w:rsidRPr="004A09BD">
        <w:t xml:space="preserve"> Zo nee, waarom niet? Zo ja, welke reactie heeft u ontvangen?</w:t>
      </w:r>
    </w:p>
    <w:bookmarkEnd w:id="2"/>
    <w:p w:rsidR="00CD4242" w:rsidP="00901628" w:rsidRDefault="00CD4242" w14:paraId="26C2A614" w14:textId="77777777">
      <w:pPr>
        <w:spacing w:line="276" w:lineRule="auto"/>
      </w:pPr>
    </w:p>
    <w:p w:rsidR="00CD4242" w:rsidP="00901628" w:rsidRDefault="00A8191D" w14:paraId="26C2A615" w14:textId="77777777">
      <w:pPr>
        <w:spacing w:line="276" w:lineRule="auto"/>
      </w:pPr>
      <w:r>
        <w:rPr>
          <w:b/>
        </w:rPr>
        <w:t>Antwoord</w:t>
      </w:r>
    </w:p>
    <w:p w:rsidR="00A722F8" w:rsidP="00901628" w:rsidRDefault="00A722F8" w14:paraId="28764080" w14:textId="1F66AD3E">
      <w:pPr>
        <w:spacing w:line="276" w:lineRule="auto"/>
      </w:pPr>
      <w:bookmarkStart w:name="_Hlk197950118" w:id="3"/>
      <w:r>
        <w:t xml:space="preserve">Het kabinet spreekt binnen de brede bilaterale relatie met de </w:t>
      </w:r>
      <w:r w:rsidR="00AA6D06">
        <w:t>Verenigde Arabische Emiraten (</w:t>
      </w:r>
      <w:r>
        <w:t>VAE</w:t>
      </w:r>
      <w:r w:rsidR="00AA6D06">
        <w:t>)</w:t>
      </w:r>
      <w:r>
        <w:t xml:space="preserve"> ook over de situatie in Soedan, zowel op politiek als hoogambtelijk niveau.</w:t>
      </w:r>
      <w:r w:rsidR="009418FE">
        <w:t xml:space="preserve"> Dit gesprek vindt onder meer via de ambassades plaats. </w:t>
      </w:r>
      <w:r>
        <w:t>In d</w:t>
      </w:r>
      <w:r w:rsidRPr="003A2137">
        <w:t xml:space="preserve">eze gesprekken </w:t>
      </w:r>
      <w:r>
        <w:t xml:space="preserve">wordt de bredere Nederlandse inzet ten aanzien van het conflict in Soedan, </w:t>
      </w:r>
      <w:r w:rsidRPr="003A2137">
        <w:t xml:space="preserve">gericht op het bereiken van een staakt-het-vuren, </w:t>
      </w:r>
      <w:r>
        <w:t xml:space="preserve">uitgedragen. De Verenigde Arabische Emiraten is een van de relevante, regionale actoren </w:t>
      </w:r>
      <w:r w:rsidR="00A61358">
        <w:t xml:space="preserve">die invloed hebben </w:t>
      </w:r>
      <w:r w:rsidRPr="003A2137">
        <w:t>om tot een einde aan het</w:t>
      </w:r>
      <w:r>
        <w:t xml:space="preserve"> </w:t>
      </w:r>
      <w:r w:rsidRPr="003A2137">
        <w:t>conflict</w:t>
      </w:r>
      <w:r>
        <w:t xml:space="preserve"> en </w:t>
      </w:r>
      <w:r w:rsidR="00A61358">
        <w:t xml:space="preserve">een </w:t>
      </w:r>
      <w:r>
        <w:t>vredesovereenkomst te komen</w:t>
      </w:r>
      <w:r w:rsidRPr="003A2137">
        <w:t>.</w:t>
      </w:r>
      <w:r>
        <w:t xml:space="preserve"> I</w:t>
      </w:r>
      <w:r w:rsidRPr="003A2137">
        <w:t>n</w:t>
      </w:r>
      <w:r>
        <w:t xml:space="preserve"> bilaterale</w:t>
      </w:r>
      <w:r w:rsidRPr="003A2137">
        <w:t xml:space="preserve"> gesprekke</w:t>
      </w:r>
      <w:r>
        <w:t xml:space="preserve">n worden </w:t>
      </w:r>
      <w:r w:rsidRPr="003A2137">
        <w:t xml:space="preserve">zorgen uitgesproken over de </w:t>
      </w:r>
      <w:r w:rsidR="00A61358">
        <w:t xml:space="preserve">humanitaire </w:t>
      </w:r>
      <w:r w:rsidRPr="003A2137">
        <w:t xml:space="preserve">situatie </w:t>
      </w:r>
      <w:r>
        <w:t>ter plekke</w:t>
      </w:r>
      <w:r w:rsidR="004D15C7">
        <w:t xml:space="preserve"> en</w:t>
      </w:r>
      <w:r w:rsidR="00A61358">
        <w:t xml:space="preserve"> de </w:t>
      </w:r>
      <w:r w:rsidR="004D15C7">
        <w:t xml:space="preserve">negatieve </w:t>
      </w:r>
      <w:r w:rsidR="00A61358">
        <w:t>consequenties van het voortduren van de oorlog</w:t>
      </w:r>
      <w:r w:rsidR="004D15C7">
        <w:t xml:space="preserve"> voor zowel</w:t>
      </w:r>
      <w:r w:rsidR="003323DE">
        <w:t xml:space="preserve"> Soedan, </w:t>
      </w:r>
      <w:r w:rsidR="004D15C7">
        <w:t>de regio als de EU</w:t>
      </w:r>
      <w:r>
        <w:t>.</w:t>
      </w:r>
      <w:r w:rsidR="000E4678">
        <w:t xml:space="preserve"> </w:t>
      </w:r>
      <w:r w:rsidRPr="00564EA4" w:rsidR="000E4678">
        <w:t>Ook zijn de zorgen over wapenleveranties van derde partijen aan de strijdende partijen in Soedan overgebracht.</w:t>
      </w:r>
    </w:p>
    <w:bookmarkEnd w:id="3"/>
    <w:p w:rsidR="00A722F8" w:rsidP="00901628" w:rsidRDefault="00A722F8" w14:paraId="175506B3" w14:textId="77777777">
      <w:pPr>
        <w:spacing w:line="276" w:lineRule="auto"/>
      </w:pPr>
    </w:p>
    <w:p w:rsidR="00CD4242" w:rsidP="00901628" w:rsidRDefault="00A8191D" w14:paraId="26C2A618" w14:textId="77777777">
      <w:pPr>
        <w:spacing w:line="276" w:lineRule="auto"/>
      </w:pPr>
      <w:r>
        <w:rPr>
          <w:b/>
        </w:rPr>
        <w:t>Vraag 4</w:t>
      </w:r>
    </w:p>
    <w:p w:rsidR="00CD4242" w:rsidP="00901628" w:rsidRDefault="00A722F8" w14:paraId="26C2A619" w14:textId="76BAF2EC">
      <w:pPr>
        <w:spacing w:line="276" w:lineRule="auto"/>
      </w:pPr>
      <w:r w:rsidRPr="00574001">
        <w:t>Wat is de positie van Nederland wat betreft de gesprekken tussen de Europese Unie (EU) en de VAE over een mogelijk vrijhandelsverdrag?</w:t>
      </w:r>
      <w:r>
        <w:rPr>
          <w:rStyle w:val="FootnoteReference"/>
        </w:rPr>
        <w:footnoteReference w:id="4"/>
      </w:r>
      <w:r w:rsidRPr="00574001">
        <w:t xml:space="preserve"> Is steun van de VAE aan de RSF hierin een factor? Zo nee, waarom niet?</w:t>
      </w:r>
    </w:p>
    <w:p w:rsidR="00CD4242" w:rsidP="00901628" w:rsidRDefault="00CD4242" w14:paraId="26C2A61A" w14:textId="77777777">
      <w:pPr>
        <w:spacing w:line="276" w:lineRule="auto"/>
      </w:pPr>
    </w:p>
    <w:p w:rsidR="00CD4242" w:rsidP="00901628" w:rsidRDefault="00A8191D" w14:paraId="26C2A61B" w14:textId="77777777">
      <w:pPr>
        <w:spacing w:line="276" w:lineRule="auto"/>
      </w:pPr>
      <w:r>
        <w:rPr>
          <w:b/>
        </w:rPr>
        <w:t>Antwoord</w:t>
      </w:r>
    </w:p>
    <w:p w:rsidR="00A722F8" w:rsidP="00901628" w:rsidRDefault="00A722F8" w14:paraId="25A06B37" w14:textId="3322B20C">
      <w:pPr>
        <w:pStyle w:val="Geenafstand1"/>
        <w:spacing w:line="276" w:lineRule="auto"/>
      </w:pPr>
      <w:r w:rsidRPr="00812983">
        <w:t xml:space="preserve">Commissievoorzitter Von der Leyen heeft op 10 april </w:t>
      </w:r>
      <w:r w:rsidR="007530D7">
        <w:t xml:space="preserve">jl. </w:t>
      </w:r>
      <w:r w:rsidRPr="00812983">
        <w:t>onderhandelingen over een mogelijk handelsverdrag (FTA) tussen de EU en de VAE aangekondigd. Volgens de Commissie zullen de onderhandelingen zich richten op liberalisering van de handel in goederen, diensten en investeringen, evenals samenwerking in strategische sectoren zoals hernieuwbare energie, groene waterstof en kritieke grondstoffen. Daarnaast heeft de Commissie onderhandelingen aangekondigd over strategische partnerschapsakkoorden (SPA) tussen de EU en de individuele leden van de Samenwerkingsraad van de Arabische Golfstaten (GCC), waaronder de VAE. Strategische partnerschapsakkoorden zijn brede overeenkomsten waarin afspraken kunnen worden gemaakt over een breed palet aan buitenlandpolitieke onderwerpen. Op basis van de conceptmandaten voor de onderhavige onderhandelingen zal het kabinet een positie innemen</w:t>
      </w:r>
      <w:r w:rsidR="00B91728">
        <w:t xml:space="preserve">. </w:t>
      </w:r>
      <w:r w:rsidRPr="00812983">
        <w:t xml:space="preserve"> </w:t>
      </w:r>
    </w:p>
    <w:p w:rsidR="00A722F8" w:rsidP="00901628" w:rsidRDefault="00A722F8" w14:paraId="69174747" w14:textId="77777777">
      <w:pPr>
        <w:spacing w:line="276" w:lineRule="auto"/>
      </w:pPr>
    </w:p>
    <w:p w:rsidR="00CD4242" w:rsidP="00901628" w:rsidRDefault="00A8191D" w14:paraId="26C2A61E" w14:textId="77777777">
      <w:pPr>
        <w:spacing w:line="276" w:lineRule="auto"/>
      </w:pPr>
      <w:r>
        <w:rPr>
          <w:b/>
        </w:rPr>
        <w:t>Vraag 5</w:t>
      </w:r>
    </w:p>
    <w:p w:rsidR="00CD4242" w:rsidP="00901628" w:rsidRDefault="00A722F8" w14:paraId="26C2A61F" w14:textId="00EFBD9C">
      <w:pPr>
        <w:spacing w:line="276" w:lineRule="auto"/>
      </w:pPr>
      <w:r w:rsidRPr="004A09BD">
        <w:t>Wat is de positie van het kabinet over sancties tegen de VAE? Zijn sancties tegenover de VAE ter sprake gekomen in de RBZ op 14 april? Zo ja, welke positie heeft Nederland hierbij ingenomen?</w:t>
      </w:r>
    </w:p>
    <w:p w:rsidR="00A722F8" w:rsidP="00901628" w:rsidRDefault="00A722F8" w14:paraId="048BC739" w14:textId="77777777">
      <w:pPr>
        <w:spacing w:line="276" w:lineRule="auto"/>
        <w:rPr>
          <w:b/>
        </w:rPr>
      </w:pPr>
    </w:p>
    <w:p w:rsidR="007530D7" w:rsidP="00901628" w:rsidRDefault="007530D7" w14:paraId="7585FAD5" w14:textId="77777777">
      <w:pPr>
        <w:spacing w:line="276" w:lineRule="auto"/>
        <w:rPr>
          <w:b/>
        </w:rPr>
      </w:pPr>
    </w:p>
    <w:p w:rsidR="007530D7" w:rsidP="00901628" w:rsidRDefault="007530D7" w14:paraId="7EFD1F2F" w14:textId="77777777">
      <w:pPr>
        <w:spacing w:line="276" w:lineRule="auto"/>
        <w:rPr>
          <w:b/>
        </w:rPr>
      </w:pPr>
    </w:p>
    <w:p w:rsidR="00A722F8" w:rsidP="00901628" w:rsidRDefault="00A722F8" w14:paraId="5FA8D673" w14:textId="0140489D">
      <w:pPr>
        <w:spacing w:line="276" w:lineRule="auto"/>
      </w:pPr>
      <w:r>
        <w:rPr>
          <w:b/>
        </w:rPr>
        <w:lastRenderedPageBreak/>
        <w:t>Vraag 6</w:t>
      </w:r>
    </w:p>
    <w:p w:rsidR="00A722F8" w:rsidP="00901628" w:rsidRDefault="00A722F8" w14:paraId="6B37F3FC" w14:textId="1472BAE2">
      <w:pPr>
        <w:spacing w:line="276" w:lineRule="auto"/>
      </w:pPr>
      <w:r w:rsidRPr="004A09BD">
        <w:t>Bepleit u strengere sancties tegen de RSF, na de aanval op burgers en hulpverleners in Zamzam en Abu Shouk? Zo nee, waarom niet?</w:t>
      </w:r>
    </w:p>
    <w:p w:rsidR="007530D7" w:rsidP="00901628" w:rsidRDefault="007530D7" w14:paraId="6C126E62" w14:textId="77777777">
      <w:pPr>
        <w:spacing w:line="276" w:lineRule="auto"/>
      </w:pPr>
    </w:p>
    <w:p w:rsidR="00A722F8" w:rsidP="00901628" w:rsidRDefault="00A722F8" w14:paraId="4B9A0AD8" w14:textId="56F38814">
      <w:pPr>
        <w:spacing w:line="276" w:lineRule="auto"/>
      </w:pPr>
      <w:r>
        <w:rPr>
          <w:b/>
        </w:rPr>
        <w:t>Antwoord vraag 5 en 6</w:t>
      </w:r>
    </w:p>
    <w:p w:rsidR="00A722F8" w:rsidP="00901628" w:rsidRDefault="00A722F8" w14:paraId="16DB8DD7" w14:textId="3FEC5F86">
      <w:pPr>
        <w:spacing w:line="276" w:lineRule="auto"/>
      </w:pPr>
      <w:bookmarkStart w:name="_Hlk197514283" w:id="4"/>
      <w:r>
        <w:t>Nederland heeft bij de Raad Buitenlandse Zaken van 14 april</w:t>
      </w:r>
      <w:r w:rsidR="007530D7">
        <w:t xml:space="preserve"> jl.</w:t>
      </w:r>
      <w:r>
        <w:rPr>
          <w:rStyle w:val="FootnoteReference"/>
        </w:rPr>
        <w:footnoteReference w:id="5"/>
      </w:r>
      <w:r>
        <w:t xml:space="preserve"> bepleit dat </w:t>
      </w:r>
      <w:r w:rsidRPr="00C522EA">
        <w:t>de EU zich meer zou moeten inspannen om een eind aan het conflict te brengen</w:t>
      </w:r>
      <w:r>
        <w:t xml:space="preserve">, en </w:t>
      </w:r>
      <w:r w:rsidRPr="00C522EA">
        <w:t xml:space="preserve">dat </w:t>
      </w:r>
      <w:r>
        <w:t xml:space="preserve">– </w:t>
      </w:r>
      <w:r w:rsidRPr="00C522EA">
        <w:t xml:space="preserve">indien opportuun </w:t>
      </w:r>
      <w:r>
        <w:t xml:space="preserve">– </w:t>
      </w:r>
      <w:r w:rsidRPr="00C522EA">
        <w:t>maatregelen moeten worden overwogen om wapentoevoer en financiële stromen richting de strijdende partijen in te dammen, met als doel een eind te maken aan het geweld</w:t>
      </w:r>
      <w:bookmarkEnd w:id="4"/>
      <w:r>
        <w:t xml:space="preserve">. Dit is in lijn met eerdere oproep van Nederland tijdens de RBZ van oktober 2024, tot </w:t>
      </w:r>
      <w:r w:rsidRPr="006E56AA">
        <w:t>meer</w:t>
      </w:r>
      <w:r>
        <w:t xml:space="preserve"> </w:t>
      </w:r>
      <w:r w:rsidRPr="006E56AA">
        <w:t xml:space="preserve">diplomatieke druk door middel van een derde sanctiepakket gericht op </w:t>
      </w:r>
      <w:r>
        <w:t xml:space="preserve">leden van de </w:t>
      </w:r>
      <w:r w:rsidRPr="00867ABD">
        <w:rPr>
          <w:i/>
          <w:iCs/>
        </w:rPr>
        <w:t>Rapid Support Forces</w:t>
      </w:r>
      <w:r>
        <w:t xml:space="preserve"> (RSF) en </w:t>
      </w:r>
      <w:r w:rsidRPr="00867ABD">
        <w:rPr>
          <w:i/>
          <w:iCs/>
        </w:rPr>
        <w:t>Sudanese Armed Forces</w:t>
      </w:r>
      <w:r>
        <w:t xml:space="preserve"> (SAF)</w:t>
      </w:r>
      <w:r w:rsidRPr="006E56AA">
        <w:t>, en op diegenen die zich in strijd met het geldende wapenembargo schuldig maken aan het bewapenen, financieren of logistieke ondersteuning bieden aan de strijdende partijen, zowel binnen als buiten Soedan.</w:t>
      </w:r>
      <w:r>
        <w:t xml:space="preserve"> </w:t>
      </w:r>
    </w:p>
    <w:p w:rsidR="00A722F8" w:rsidP="00901628" w:rsidRDefault="00A722F8" w14:paraId="73268998" w14:textId="77777777">
      <w:pPr>
        <w:spacing w:line="276" w:lineRule="auto"/>
      </w:pPr>
    </w:p>
    <w:p w:rsidR="00A722F8" w:rsidP="00901628" w:rsidRDefault="00A722F8" w14:paraId="6F9EE505" w14:textId="6605DB2F">
      <w:pPr>
        <w:spacing w:line="276" w:lineRule="auto"/>
      </w:pPr>
      <w:r>
        <w:t xml:space="preserve">Per situatie moet worden overwogen wat het meest effectieve instrument is. Sancties zijn een van de instrumenten die daarbij kan worden overwogen en zijn geen doel op zich. Gezien de gevoelige aard van dergelijke overwegingen en besprekingen in Europees verband kan ik </w:t>
      </w:r>
      <w:r w:rsidR="00A61358">
        <w:t>daar</w:t>
      </w:r>
      <w:r>
        <w:t xml:space="preserve"> geen </w:t>
      </w:r>
      <w:r w:rsidR="00A61358">
        <w:t xml:space="preserve">verdere </w:t>
      </w:r>
      <w:r>
        <w:t>uitlatingen over doen.</w:t>
      </w:r>
    </w:p>
    <w:p w:rsidR="00A722F8" w:rsidP="00901628" w:rsidRDefault="00A722F8" w14:paraId="444C9708" w14:textId="77777777">
      <w:pPr>
        <w:spacing w:line="276" w:lineRule="auto"/>
      </w:pPr>
    </w:p>
    <w:p w:rsidR="00A722F8" w:rsidP="00901628" w:rsidRDefault="00A722F8" w14:paraId="46006E57" w14:textId="08D33B66">
      <w:pPr>
        <w:spacing w:line="276" w:lineRule="auto"/>
      </w:pPr>
      <w:r>
        <w:rPr>
          <w:b/>
        </w:rPr>
        <w:t>Vraag 7</w:t>
      </w:r>
    </w:p>
    <w:p w:rsidR="00A722F8" w:rsidP="00901628" w:rsidRDefault="00A722F8" w14:paraId="1995E403" w14:textId="2AE8C8BF">
      <w:pPr>
        <w:spacing w:line="276" w:lineRule="auto"/>
      </w:pPr>
      <w:r w:rsidRPr="004A09BD">
        <w:t>Vindt u dat geweld tegen humanitaire hulpverleners altijd ferm, duidelijk en niet-selectief veroordeeld moet worden en concrete consequenties moet hebben? Zo nee, waarom niet?</w:t>
      </w:r>
    </w:p>
    <w:p w:rsidR="00A722F8" w:rsidP="00901628" w:rsidRDefault="00A722F8" w14:paraId="265909DA" w14:textId="77777777">
      <w:pPr>
        <w:spacing w:line="276" w:lineRule="auto"/>
      </w:pPr>
    </w:p>
    <w:p w:rsidR="00A722F8" w:rsidP="00901628" w:rsidRDefault="00A722F8" w14:paraId="40DBC3F7" w14:textId="77777777">
      <w:pPr>
        <w:spacing w:line="276" w:lineRule="auto"/>
      </w:pPr>
      <w:r>
        <w:rPr>
          <w:b/>
        </w:rPr>
        <w:t>Antwoord</w:t>
      </w:r>
    </w:p>
    <w:p w:rsidRPr="007B377A" w:rsidR="00A722F8" w:rsidP="00901628" w:rsidRDefault="00A722F8" w14:paraId="319CE442" w14:textId="77777777">
      <w:pPr>
        <w:spacing w:line="276" w:lineRule="auto"/>
      </w:pPr>
      <w:r>
        <w:t xml:space="preserve">Ja. </w:t>
      </w:r>
      <w:r w:rsidRPr="007B377A">
        <w:t>Ik onderschrijf het belang van duidelijke stellingname bij aanvallen gericht op humanitaire hulpverleners. Dergelijk geweld is onacceptabel en zal door Nederland nooit worden genormaliseerd.</w:t>
      </w:r>
    </w:p>
    <w:p w:rsidR="00A722F8" w:rsidP="00901628" w:rsidRDefault="00A722F8" w14:paraId="690D7FDC" w14:textId="77777777">
      <w:pPr>
        <w:spacing w:line="276" w:lineRule="auto"/>
      </w:pPr>
    </w:p>
    <w:p w:rsidRPr="005D4E0E" w:rsidR="00A722F8" w:rsidP="00901628" w:rsidRDefault="00A722F8" w14:paraId="6AED7929" w14:textId="22F340E6">
      <w:pPr>
        <w:spacing w:line="276" w:lineRule="auto"/>
      </w:pPr>
      <w:r>
        <w:t>Hulpverleners</w:t>
      </w:r>
      <w:r w:rsidRPr="0021430E">
        <w:t xml:space="preserve"> moeten </w:t>
      </w:r>
      <w:r>
        <w:t xml:space="preserve">hun werk </w:t>
      </w:r>
      <w:r w:rsidRPr="0021430E">
        <w:t xml:space="preserve">altijd veilig en ongehinderd kunnen </w:t>
      </w:r>
      <w:r>
        <w:t>uitvoeren</w:t>
      </w:r>
      <w:r w:rsidRPr="0021430E">
        <w:t>.</w:t>
      </w:r>
      <w:r>
        <w:t xml:space="preserve"> S</w:t>
      </w:r>
      <w:r w:rsidRPr="005D4E0E">
        <w:t>trijdende partijen zijn te allen tijde verplicht onderscheid te maken tussen</w:t>
      </w:r>
      <w:r>
        <w:t xml:space="preserve"> </w:t>
      </w:r>
      <w:r w:rsidRPr="005D4E0E">
        <w:t xml:space="preserve">burgers en burgerobjecten enerzijds en strijders en militaire doelen anderzijds. </w:t>
      </w:r>
      <w:r>
        <w:t>A</w:t>
      </w:r>
      <w:r w:rsidRPr="005D4E0E">
        <w:t xml:space="preserve">anvallen </w:t>
      </w:r>
      <w:r>
        <w:t xml:space="preserve">gericht </w:t>
      </w:r>
      <w:r w:rsidRPr="005D4E0E">
        <w:t>op burgers, onder wie humanitaire hulpverleners, zijn in strijd met het humanitair oorlogsrecht. Humanitaire hulpverlening</w:t>
      </w:r>
      <w:r>
        <w:t xml:space="preserve"> </w:t>
      </w:r>
      <w:r w:rsidRPr="005D4E0E">
        <w:t>en humanitaire hulpgoederen moeten door de strijdende partijen worden</w:t>
      </w:r>
      <w:r>
        <w:t xml:space="preserve"> </w:t>
      </w:r>
      <w:r w:rsidRPr="005D4E0E">
        <w:t>ontzien en beschermd.</w:t>
      </w:r>
    </w:p>
    <w:p w:rsidR="00A722F8" w:rsidP="00901628" w:rsidRDefault="00A722F8" w14:paraId="5FDBC855" w14:textId="77777777">
      <w:pPr>
        <w:spacing w:line="276" w:lineRule="auto"/>
        <w:rPr>
          <w:b/>
        </w:rPr>
      </w:pPr>
    </w:p>
    <w:p w:rsidR="00A722F8" w:rsidP="00901628" w:rsidRDefault="00A722F8" w14:paraId="3694D55A" w14:textId="04B73023">
      <w:pPr>
        <w:spacing w:line="276" w:lineRule="auto"/>
      </w:pPr>
      <w:r>
        <w:rPr>
          <w:b/>
        </w:rPr>
        <w:t>Vraag 8</w:t>
      </w:r>
    </w:p>
    <w:p w:rsidRPr="00901628" w:rsidR="00A61358" w:rsidP="00901628" w:rsidRDefault="00585E4E" w14:paraId="3BC73C45" w14:textId="08406F09">
      <w:pPr>
        <w:spacing w:line="276" w:lineRule="auto"/>
      </w:pPr>
      <w:r w:rsidRPr="004A09BD">
        <w:t xml:space="preserve">Waarom heeft u de aanval op hulpverleners in Zamzam en Abu Shouk direct veroordeeld als schending van het internationaal humanitair recht, zonder een onderzoek of oordeel van een rechter af te wachten, maar doet u dat niet bij de aanval van de </w:t>
      </w:r>
      <w:r w:rsidRPr="008A43C7">
        <w:rPr>
          <w:i/>
          <w:iCs/>
        </w:rPr>
        <w:t>Israeli Defense Forces</w:t>
      </w:r>
      <w:r w:rsidRPr="004A09BD">
        <w:t xml:space="preserve"> (IDF) op hulpverleners op 23 maart 2025?</w:t>
      </w:r>
      <w:r>
        <w:rPr>
          <w:rStyle w:val="FootnoteReference"/>
        </w:rPr>
        <w:footnoteReference w:id="6"/>
      </w:r>
    </w:p>
    <w:p w:rsidR="00A61358" w:rsidP="00901628" w:rsidRDefault="00A61358" w14:paraId="54F781EF" w14:textId="77777777">
      <w:pPr>
        <w:spacing w:line="276" w:lineRule="auto"/>
        <w:rPr>
          <w:b/>
        </w:rPr>
      </w:pPr>
    </w:p>
    <w:p w:rsidR="00A722F8" w:rsidP="00901628" w:rsidRDefault="00A722F8" w14:paraId="468D469D" w14:textId="3F44FF00">
      <w:pPr>
        <w:spacing w:line="276" w:lineRule="auto"/>
      </w:pPr>
      <w:r>
        <w:rPr>
          <w:b/>
        </w:rPr>
        <w:lastRenderedPageBreak/>
        <w:t>Antwoord</w:t>
      </w:r>
    </w:p>
    <w:p w:rsidR="00A722F8" w:rsidP="00901628" w:rsidRDefault="00585E4E" w14:paraId="34DAD060" w14:textId="4D613FE3">
      <w:pPr>
        <w:spacing w:line="276" w:lineRule="auto"/>
      </w:pPr>
      <w:r>
        <w:t>Z</w:t>
      </w:r>
      <w:r w:rsidRPr="00777ED1">
        <w:t xml:space="preserve">owel </w:t>
      </w:r>
      <w:r>
        <w:t>bij</w:t>
      </w:r>
      <w:r w:rsidRPr="00777ED1">
        <w:t xml:space="preserve"> de aanval op de kampen ZamZam en Abu Shouk in Darf</w:t>
      </w:r>
      <w:r>
        <w:t>oe</w:t>
      </w:r>
      <w:r w:rsidRPr="00777ED1">
        <w:t xml:space="preserve">r als </w:t>
      </w:r>
      <w:r>
        <w:t xml:space="preserve">bij </w:t>
      </w:r>
      <w:r w:rsidRPr="00777ED1">
        <w:t xml:space="preserve">de aanval op hulpverleners in </w:t>
      </w:r>
      <w:r>
        <w:t xml:space="preserve">de </w:t>
      </w:r>
      <w:r w:rsidRPr="00777ED1">
        <w:t>Gaza</w:t>
      </w:r>
      <w:r>
        <w:t>strook</w:t>
      </w:r>
      <w:r w:rsidRPr="00777ED1">
        <w:t xml:space="preserve"> </w:t>
      </w:r>
      <w:r w:rsidR="00056640">
        <w:t>is</w:t>
      </w:r>
      <w:r w:rsidRPr="00777ED1" w:rsidR="00056640">
        <w:t xml:space="preserve"> </w:t>
      </w:r>
      <w:r w:rsidRPr="00777ED1">
        <w:t xml:space="preserve">sprake van schending van het humanitair oorlogsrecht. </w:t>
      </w:r>
      <w:r>
        <w:t>Hulpverleners mogen nooit het doelwit zijn van een aanval, en h</w:t>
      </w:r>
      <w:r w:rsidRPr="00777ED1">
        <w:t>et kabinet veroordeel</w:t>
      </w:r>
      <w:r w:rsidR="00B91728">
        <w:t>t</w:t>
      </w:r>
      <w:r w:rsidRPr="00777ED1">
        <w:t xml:space="preserve"> </w:t>
      </w:r>
      <w:r w:rsidR="00B91728">
        <w:t xml:space="preserve">dan ook </w:t>
      </w:r>
      <w:r w:rsidRPr="00777ED1">
        <w:t xml:space="preserve">beide aanvallen. </w:t>
      </w:r>
      <w:r w:rsidRPr="00AD145C">
        <w:t>Gedegen en onafhankelijk onderzoek zal nodig zijn om feiten te verzamelen over vermeende schendingen. Daarbij is het in beginsel aan een (internationale) rechter om op basis van alle feiten na hoor</w:t>
      </w:r>
      <w:r w:rsidR="000E4C78">
        <w:t xml:space="preserve"> </w:t>
      </w:r>
      <w:r w:rsidRPr="00AD145C">
        <w:t xml:space="preserve">en wederhoor schendingen vast te stellen. Het is in eerste instantie aan de meest betrokken staat of staten die ter zake rechtsmacht hebben om internationale misdrijven te onderzoeken en degenen die daarvoor verantwoordelijk zijn te vervolgen en berechten. </w:t>
      </w:r>
      <w:r w:rsidRPr="006978E8">
        <w:t>Internationale mechanismen – zoals onderzoeksmechanismen, bewijzenbanken en internationale of hybride tribunalen – zijn complementair aan de nationale strafrechtelijke procedures</w:t>
      </w:r>
      <w:r>
        <w:t>.</w:t>
      </w:r>
    </w:p>
    <w:p w:rsidR="00585E4E" w:rsidP="00901628" w:rsidRDefault="00585E4E" w14:paraId="3583ABD5" w14:textId="77777777">
      <w:pPr>
        <w:spacing w:line="276" w:lineRule="auto"/>
      </w:pPr>
    </w:p>
    <w:p w:rsidR="00A722F8" w:rsidP="00901628" w:rsidRDefault="00A722F8" w14:paraId="36FCA090" w14:textId="6593B046">
      <w:pPr>
        <w:spacing w:line="276" w:lineRule="auto"/>
      </w:pPr>
      <w:bookmarkStart w:name="_Hlk198717716" w:id="5"/>
      <w:r>
        <w:rPr>
          <w:b/>
        </w:rPr>
        <w:t xml:space="preserve">Vraag </w:t>
      </w:r>
      <w:r w:rsidR="00585E4E">
        <w:rPr>
          <w:b/>
        </w:rPr>
        <w:t>9</w:t>
      </w:r>
    </w:p>
    <w:p w:rsidR="00A722F8" w:rsidP="00901628" w:rsidRDefault="00585E4E" w14:paraId="14A88A09" w14:textId="301102DB">
      <w:pPr>
        <w:spacing w:line="276" w:lineRule="auto"/>
      </w:pPr>
      <w:r w:rsidRPr="004A09BD">
        <w:t>Bent u het ermee eens dat het nalaten van consequenties richting Israël na de aanval van de IDF op medische zorgverleners bijdraagt aan de erosie van het humanitair recht wereldwijd en een vrijbrief is richting strijdende partijen voor geweld tegen hulpverleners?</w:t>
      </w:r>
    </w:p>
    <w:p w:rsidR="00A722F8" w:rsidP="00901628" w:rsidRDefault="00A722F8" w14:paraId="20C426F4" w14:textId="77777777">
      <w:pPr>
        <w:spacing w:line="276" w:lineRule="auto"/>
      </w:pPr>
    </w:p>
    <w:p w:rsidR="00A722F8" w:rsidP="00901628" w:rsidRDefault="00A722F8" w14:paraId="20173483" w14:textId="77777777">
      <w:pPr>
        <w:spacing w:line="276" w:lineRule="auto"/>
      </w:pPr>
      <w:r>
        <w:rPr>
          <w:b/>
        </w:rPr>
        <w:t>Antwoord</w:t>
      </w:r>
    </w:p>
    <w:p w:rsidR="00585E4E" w:rsidP="00901628" w:rsidRDefault="00585E4E" w14:paraId="1D688726" w14:textId="3DC61CBE">
      <w:pPr>
        <w:spacing w:line="276" w:lineRule="auto"/>
      </w:pPr>
      <w:r w:rsidRPr="007F5D5F">
        <w:t xml:space="preserve">Zie ook het antwoord op vraag 8. Het kabinet veroordeelt alle aanvallen </w:t>
      </w:r>
      <w:r>
        <w:t xml:space="preserve">gericht </w:t>
      </w:r>
      <w:r w:rsidRPr="007F5D5F">
        <w:t xml:space="preserve">op humanitaire hulpverleners. Zij moeten altijd veilig en ongehinderd hun werk kunnen doen. Het kabinet roept voortdurend strijdende partijen op zich aan het humanitair oorlogsrecht te houden en maakt zich grote zorgen over tekortschietende naleving daarvan in gewapende conflicten wereldwijd. </w:t>
      </w:r>
      <w:r>
        <w:t>Het</w:t>
      </w:r>
      <w:r w:rsidRPr="007F5D5F">
        <w:t xml:space="preserve"> kabinet </w:t>
      </w:r>
      <w:r>
        <w:t>vindt dat</w:t>
      </w:r>
      <w:r w:rsidRPr="007F5D5F">
        <w:t xml:space="preserve"> strijdende partrijen zich te allen tijde houden aan het humanitair oorlogsrecht</w:t>
      </w:r>
      <w:r>
        <w:t xml:space="preserve"> moeten houden. Dit is ook onderstreept tijdens de ontbieding van de Israëlische ambassadeur op 9 april jl.</w:t>
      </w:r>
      <w:r w:rsidR="00056640">
        <w:t xml:space="preserve"> Nederland was op dat moment overigens de enige EU-lidstaat die tot een dergelijke ontbieding overging.</w:t>
      </w:r>
    </w:p>
    <w:p w:rsidR="00585E4E" w:rsidP="00901628" w:rsidRDefault="00585E4E" w14:paraId="46934D1C" w14:textId="77777777">
      <w:pPr>
        <w:spacing w:line="276" w:lineRule="auto"/>
      </w:pPr>
    </w:p>
    <w:p w:rsidR="00585E4E" w:rsidP="00901628" w:rsidRDefault="00585E4E" w14:paraId="4E158782" w14:textId="0B651757">
      <w:pPr>
        <w:spacing w:line="276" w:lineRule="auto"/>
      </w:pPr>
      <w:r w:rsidRPr="00B761B0">
        <w:t xml:space="preserve">Sinds het uitbreken van de oorlog </w:t>
      </w:r>
      <w:r>
        <w:t xml:space="preserve">in de Gazastrook </w:t>
      </w:r>
      <w:r w:rsidRPr="00B761B0">
        <w:t xml:space="preserve">heeft Nederland partijen opgeroepen zich aan het humanitair oorlogsrecht te houden. Dit heeft het kabinet zowel voor als achter de schermen gedaan. </w:t>
      </w:r>
      <w:r>
        <w:t>H</w:t>
      </w:r>
      <w:r w:rsidRPr="00B761B0">
        <w:t>et kabinet</w:t>
      </w:r>
      <w:r>
        <w:t xml:space="preserve"> heeft daarbij</w:t>
      </w:r>
      <w:r w:rsidRPr="00B761B0">
        <w:t xml:space="preserve"> meermaals en duidelijk aangegeven dat het door Israël tegenhouden van humanitaire hulp indruist tegen het humanitair oorlogsrecht. Het kabinet heeft Israël hier ook meermaals op aangesproken.</w:t>
      </w:r>
      <w:r w:rsidR="008D096B">
        <w:t xml:space="preserve"> </w:t>
      </w:r>
      <w:r w:rsidRPr="008D096B" w:rsidR="008D096B">
        <w:t xml:space="preserve">Naar aanleiding van het Nederlandse verzoek daartoe, heeft de EU Hoge Vertegenwoordiger op 20 mei </w:t>
      </w:r>
      <w:r w:rsidR="007530D7">
        <w:t xml:space="preserve">jl. </w:t>
      </w:r>
      <w:r w:rsidRPr="008D096B" w:rsidR="008D096B">
        <w:t xml:space="preserve">aangekondigd onderzoek in te stellen naar de naleving door Israël van Artikel 2 van het Associatieakkoord. </w:t>
      </w:r>
      <w:bookmarkEnd w:id="5"/>
    </w:p>
    <w:p w:rsidR="00A722F8" w:rsidP="00901628" w:rsidRDefault="00A722F8" w14:paraId="02F946E8" w14:textId="77777777">
      <w:pPr>
        <w:spacing w:line="276" w:lineRule="auto"/>
      </w:pPr>
    </w:p>
    <w:p w:rsidR="00A722F8" w:rsidP="00901628" w:rsidRDefault="00A722F8" w14:paraId="6E0B2D2A" w14:textId="35E424E9">
      <w:pPr>
        <w:spacing w:line="276" w:lineRule="auto"/>
      </w:pPr>
      <w:r>
        <w:rPr>
          <w:b/>
        </w:rPr>
        <w:t xml:space="preserve">Vraag </w:t>
      </w:r>
      <w:r w:rsidR="00585E4E">
        <w:rPr>
          <w:b/>
        </w:rPr>
        <w:t>10</w:t>
      </w:r>
    </w:p>
    <w:p w:rsidR="00585E4E" w:rsidP="00901628" w:rsidRDefault="00585E4E" w14:paraId="600FEB5B" w14:textId="03A9292C">
      <w:pPr>
        <w:spacing w:line="276" w:lineRule="auto"/>
      </w:pPr>
      <w:r w:rsidRPr="004A09BD">
        <w:t>Hoe duidt u de cijfers van het Werel</w:t>
      </w:r>
      <w:r w:rsidR="00A61358">
        <w:t>d</w:t>
      </w:r>
      <w:r w:rsidRPr="004A09BD">
        <w:t>gezondheidsorganisatie (WHO)-dashboard, waaruit blijkt dat in 2024 een recordaantal van 937 medische zorgverleners is gedood?</w:t>
      </w:r>
      <w:r>
        <w:rPr>
          <w:rStyle w:val="FootnoteReference"/>
        </w:rPr>
        <w:footnoteReference w:id="7"/>
      </w:r>
    </w:p>
    <w:p w:rsidR="007530D7" w:rsidP="0061657E" w:rsidRDefault="007530D7" w14:paraId="69DA7DDC" w14:textId="77777777">
      <w:pPr>
        <w:spacing w:line="276" w:lineRule="auto"/>
        <w:jc w:val="center"/>
      </w:pPr>
    </w:p>
    <w:p w:rsidR="007530D7" w:rsidP="00901628" w:rsidRDefault="007530D7" w14:paraId="06981287" w14:textId="77777777">
      <w:pPr>
        <w:spacing w:line="276" w:lineRule="auto"/>
      </w:pPr>
    </w:p>
    <w:p w:rsidR="00A722F8" w:rsidP="00901628" w:rsidRDefault="00A722F8" w14:paraId="14003273" w14:textId="375CAE14">
      <w:pPr>
        <w:spacing w:line="276" w:lineRule="auto"/>
      </w:pPr>
      <w:r>
        <w:rPr>
          <w:b/>
        </w:rPr>
        <w:lastRenderedPageBreak/>
        <w:t>Antwoord</w:t>
      </w:r>
    </w:p>
    <w:p w:rsidR="00585E4E" w:rsidP="00901628" w:rsidRDefault="00585E4E" w14:paraId="591AFB8D" w14:textId="3A83F1C2">
      <w:pPr>
        <w:spacing w:line="276" w:lineRule="auto"/>
      </w:pPr>
      <w:r>
        <w:t xml:space="preserve">De cijfers van de Wereldgezondheidsorganisatie geven blijk van de zeer zorgwekkende wereldwijde trend van geweld tegen hulpverleners. Huidige conflicten laten zien dat het humanitair oorlogsrecht en daarbinnen het beschermen van hulpverleners onder druk staat. Het kabinet deelt de zorgen van uw Kamer over de groeiende onveiligheid van hulpverleners en zet zich hiervoor in, zie ook het antwoord op vraag 11. </w:t>
      </w:r>
    </w:p>
    <w:p w:rsidR="007530D7" w:rsidP="00901628" w:rsidRDefault="007530D7" w14:paraId="6923B9C4" w14:textId="77777777">
      <w:pPr>
        <w:spacing w:line="276" w:lineRule="auto"/>
      </w:pPr>
    </w:p>
    <w:p w:rsidR="00A722F8" w:rsidP="00901628" w:rsidRDefault="00A722F8" w14:paraId="43AD7C30" w14:textId="70DBBC9E">
      <w:pPr>
        <w:spacing w:line="276" w:lineRule="auto"/>
      </w:pPr>
      <w:bookmarkStart w:name="_Hlk198637679" w:id="6"/>
      <w:r>
        <w:rPr>
          <w:b/>
        </w:rPr>
        <w:t xml:space="preserve">Vraag </w:t>
      </w:r>
      <w:r w:rsidR="00585E4E">
        <w:rPr>
          <w:b/>
        </w:rPr>
        <w:t>11</w:t>
      </w:r>
    </w:p>
    <w:p w:rsidR="00A722F8" w:rsidP="00901628" w:rsidRDefault="00585E4E" w14:paraId="71820ECF" w14:textId="656BA46B">
      <w:pPr>
        <w:spacing w:line="276" w:lineRule="auto"/>
      </w:pPr>
      <w:r>
        <w:t>H</w:t>
      </w:r>
      <w:r w:rsidRPr="004A09BD">
        <w:t>oe gaat u zich inzetten voor de veiligheid van hulpverleners wereldwijd?</w:t>
      </w:r>
    </w:p>
    <w:p w:rsidR="00A722F8" w:rsidP="00901628" w:rsidRDefault="00A722F8" w14:paraId="257EFF15" w14:textId="77777777">
      <w:pPr>
        <w:spacing w:line="276" w:lineRule="auto"/>
      </w:pPr>
    </w:p>
    <w:p w:rsidR="00A722F8" w:rsidP="00901628" w:rsidRDefault="00A722F8" w14:paraId="140C810E" w14:textId="77777777">
      <w:pPr>
        <w:spacing w:line="276" w:lineRule="auto"/>
      </w:pPr>
      <w:r>
        <w:rPr>
          <w:b/>
        </w:rPr>
        <w:t>Antwoord</w:t>
      </w:r>
    </w:p>
    <w:p w:rsidR="00585E4E" w:rsidP="00901628" w:rsidRDefault="00A83EEC" w14:paraId="7745D785" w14:textId="2CD56018">
      <w:pPr>
        <w:spacing w:line="276" w:lineRule="auto"/>
      </w:pPr>
      <w:r w:rsidRPr="00A83EEC">
        <w:t xml:space="preserve">De veiligheid van hulpverleners blijft voor dit kabinet een prioriteit, </w:t>
      </w:r>
      <w:r w:rsidRPr="00E82D81" w:rsidR="00585E4E">
        <w:t>zoals beschreven in de Beleidsbrief Ontwikkelingshulp en verder toegelicht in de Kamerbrief Humanitaire Hulp. Hulpverleners moeten hun werk veilig en ongehinderd kunnen uitvoeren en mogen, zoals gezegd, nooit het doelwit zijn van aanvallen.</w:t>
      </w:r>
    </w:p>
    <w:p w:rsidR="00585E4E" w:rsidP="00901628" w:rsidRDefault="00585E4E" w14:paraId="65094DE2" w14:textId="77777777">
      <w:pPr>
        <w:spacing w:line="276" w:lineRule="auto"/>
      </w:pPr>
    </w:p>
    <w:p w:rsidR="00585E4E" w:rsidP="00901628" w:rsidRDefault="00585E4E" w14:paraId="4D6A13DC" w14:textId="14ADA7C1">
      <w:pPr>
        <w:spacing w:line="276" w:lineRule="auto"/>
      </w:pPr>
      <w:r w:rsidRPr="00E82D81">
        <w:t>In het verleden droeg Nederland reeds bij aan de totstandkoming van VN-resoluties en resoluties van de Rode Kruis- en Halve Maanbeweging die betrekking hadden op de veiligheid van hulpverleners. Ook in komende periode zal Nederland op multilateraal gebied aandacht blijven besteden aan het belang van naleving van het humanitair oorlogsrecht, zowel in algemene zin als in relatie tot specifieke, zorgwekkende contexten zoals de Gazastrook.</w:t>
      </w:r>
    </w:p>
    <w:p w:rsidR="00585E4E" w:rsidP="00901628" w:rsidRDefault="00585E4E" w14:paraId="480B51FD" w14:textId="77777777">
      <w:pPr>
        <w:spacing w:line="276" w:lineRule="auto"/>
      </w:pPr>
    </w:p>
    <w:p w:rsidR="00585E4E" w:rsidP="00901628" w:rsidRDefault="00585E4E" w14:paraId="7988B337" w14:textId="1903F644">
      <w:pPr>
        <w:spacing w:line="276" w:lineRule="auto"/>
      </w:pPr>
      <w:r w:rsidRPr="00E82D81">
        <w:t xml:space="preserve">Ook op programmatisch gebied werkt Nederland aan de veiligheid van hulpverleners. Zo draagt het kabinet in 2025 extra bij aan het werk van de </w:t>
      </w:r>
      <w:r w:rsidRPr="00425124">
        <w:rPr>
          <w:i/>
          <w:iCs/>
        </w:rPr>
        <w:t>International NGO-Safety Organisation</w:t>
      </w:r>
      <w:r w:rsidRPr="00E82D81">
        <w:t xml:space="preserve"> (INSO). Deze organisatie verzorgt veiligheidstrainingen voor hulpverleners en voorziet hen van actuele informatie over veiligheidsincidenten wereldwijd. Daarnaast steunt Nederland de trainingsprogramma’s van Clingendael die zijn gericht op het versterken van onderhandelingsvaardigheden met oog op humanitaire toegang. In dit kader is ook de Nederlandse financiële en politieke steun voor het Internationale Comité van het Rode Kruis (ICRC) relevant. ICRC is de hoeder van het humanitair oorlogsrecht en onderwijst jaarlijks duizenden soldaten en strijders in het humanitair oorlogsrecht. Recent lanceerde ICRC het </w:t>
      </w:r>
      <w:r w:rsidRPr="00BE70CE">
        <w:rPr>
          <w:i/>
        </w:rPr>
        <w:t>Global Initiative to Galvanize Political Commitment to International Humanitarian Law</w:t>
      </w:r>
      <w:r w:rsidRPr="00E82D81">
        <w:t xml:space="preserve"> dat werd gesteund door Nederland. Dit initiatief beoogt politieke toewijding aan het humanitair oorlogsrecht te vergroten, de naleving ervan te versterken en concrete aanbevelingen te ontwikkelen voor onder meer de bescherming van civiele infrastructuur en medische voorzieningen.</w:t>
      </w:r>
      <w:bookmarkEnd w:id="6"/>
    </w:p>
    <w:p w:rsidR="00A722F8" w:rsidP="00901628" w:rsidRDefault="00A722F8" w14:paraId="634E6D82" w14:textId="77777777">
      <w:pPr>
        <w:spacing w:line="276" w:lineRule="auto"/>
      </w:pPr>
    </w:p>
    <w:p w:rsidR="00A722F8" w:rsidP="00901628" w:rsidRDefault="00A722F8" w14:paraId="0BFDD311" w14:textId="2D90CEB4">
      <w:pPr>
        <w:spacing w:line="276" w:lineRule="auto"/>
      </w:pPr>
      <w:r>
        <w:rPr>
          <w:b/>
        </w:rPr>
        <w:t xml:space="preserve">Vraag </w:t>
      </w:r>
      <w:r w:rsidR="00585E4E">
        <w:rPr>
          <w:b/>
        </w:rPr>
        <w:t>12</w:t>
      </w:r>
    </w:p>
    <w:p w:rsidR="00A61358" w:rsidP="00901628" w:rsidRDefault="00585E4E" w14:paraId="3EF81072" w14:textId="14C5BD8A">
      <w:pPr>
        <w:spacing w:line="276" w:lineRule="auto"/>
      </w:pPr>
      <w:r w:rsidRPr="004A09BD">
        <w:t>Bent u bereid om lokale organisaties en netwerken te betrekken bij het opsporen van personen die zich schuldig hebben gemaakt aan gericht geweld tegen hulpverleners?</w:t>
      </w:r>
    </w:p>
    <w:p w:rsidRPr="00901628" w:rsidR="00901628" w:rsidP="00901628" w:rsidRDefault="00901628" w14:paraId="58A14F61" w14:textId="77777777">
      <w:pPr>
        <w:spacing w:line="276" w:lineRule="auto"/>
      </w:pPr>
    </w:p>
    <w:p w:rsidR="00A722F8" w:rsidP="00901628" w:rsidRDefault="00A722F8" w14:paraId="3A71CE17" w14:textId="290BA650">
      <w:pPr>
        <w:spacing w:line="276" w:lineRule="auto"/>
      </w:pPr>
      <w:r>
        <w:rPr>
          <w:b/>
        </w:rPr>
        <w:t>Antwoord</w:t>
      </w:r>
    </w:p>
    <w:p w:rsidR="00A722F8" w:rsidP="00901628" w:rsidRDefault="008E0B49" w14:paraId="736E4437" w14:textId="152DDFA4">
      <w:pPr>
        <w:spacing w:line="276" w:lineRule="auto"/>
      </w:pPr>
      <w:r w:rsidRPr="0054483D">
        <w:t xml:space="preserve">Bestaande, lopende onderzoeken betrekken reeds lokale organisaties en netwerken bij hun werkzaamheden en onderzoek. Bijvoorbeeld de </w:t>
      </w:r>
      <w:r w:rsidRPr="00990368">
        <w:rPr>
          <w:i/>
          <w:iCs/>
        </w:rPr>
        <w:t xml:space="preserve">Fact-Finding </w:t>
      </w:r>
      <w:r w:rsidRPr="00990368">
        <w:rPr>
          <w:i/>
          <w:iCs/>
        </w:rPr>
        <w:lastRenderedPageBreak/>
        <w:t>Mission for the Sudan</w:t>
      </w:r>
      <w:r w:rsidRPr="0054483D">
        <w:t xml:space="preserve">, die als hoofdtaak heeft om de feiten, omstandigheden en grondoorzaken van alle vermeende mensenrechtenschendingen en schendingen van het humanitair </w:t>
      </w:r>
      <w:r>
        <w:t>oorlogs</w:t>
      </w:r>
      <w:r w:rsidRPr="0054483D">
        <w:t>recht te onderzoeken en vast te stellen. Maar ook het landenkantoor van de VN Hoge Commissaris voor de Mensenrechten (OHCHR) in S</w:t>
      </w:r>
      <w:r>
        <w:t>oe</w:t>
      </w:r>
      <w:r w:rsidRPr="0054483D">
        <w:t xml:space="preserve">dan, dat als primaire taak het registeren en documenteren van mensenrechtenschendingen heeft, heeft een uitgebreid lokaal netwerk waarin deze informatie wordt verzameld. Daarnaast steunt Nederland in </w:t>
      </w:r>
      <w:r w:rsidRPr="00564EA4">
        <w:t>Soedan</w:t>
      </w:r>
      <w:r w:rsidRPr="00564EA4" w:rsidR="00564EA4">
        <w:t xml:space="preserve"> lokale mensenrechtenorganisaties</w:t>
      </w:r>
      <w:r w:rsidRPr="0054483D">
        <w:t xml:space="preserve"> op het gebied van het monitoren en documenteren van mensenrechtenschendingen.</w:t>
      </w:r>
    </w:p>
    <w:p w:rsidR="00901628" w:rsidP="00901628" w:rsidRDefault="00901628" w14:paraId="3B1B7801" w14:textId="77777777">
      <w:pPr>
        <w:spacing w:line="276" w:lineRule="auto"/>
      </w:pPr>
    </w:p>
    <w:p w:rsidR="00A722F8" w:rsidP="00901628" w:rsidRDefault="00A722F8" w14:paraId="683BEE6F" w14:textId="7753F16C">
      <w:pPr>
        <w:spacing w:line="276" w:lineRule="auto"/>
      </w:pPr>
      <w:r>
        <w:rPr>
          <w:b/>
        </w:rPr>
        <w:t xml:space="preserve">Vraag </w:t>
      </w:r>
      <w:r w:rsidR="008E0B49">
        <w:rPr>
          <w:b/>
        </w:rPr>
        <w:t>13</w:t>
      </w:r>
    </w:p>
    <w:p w:rsidR="00A722F8" w:rsidP="00901628" w:rsidRDefault="008E0B49" w14:paraId="0105981E" w14:textId="715255B8">
      <w:pPr>
        <w:spacing w:line="276" w:lineRule="auto"/>
      </w:pPr>
      <w:r w:rsidRPr="004A09BD">
        <w:t xml:space="preserve">Bent u bereid om extra middelen vrij te maken voor opsporing en vervolging van de daders en </w:t>
      </w:r>
      <w:r w:rsidRPr="00C57901">
        <w:t>accountability ten aanzien van vergelijkbare schendingen van het humanitair recht wereldwijd? Zo nee, waarom niet?</w:t>
      </w:r>
    </w:p>
    <w:p w:rsidR="008E0B49" w:rsidP="00901628" w:rsidRDefault="008E0B49" w14:paraId="3E3B82EE" w14:textId="77777777">
      <w:pPr>
        <w:spacing w:line="276" w:lineRule="auto"/>
      </w:pPr>
    </w:p>
    <w:p w:rsidR="00A722F8" w:rsidP="00901628" w:rsidRDefault="00A722F8" w14:paraId="4EA96E45" w14:textId="77777777">
      <w:pPr>
        <w:spacing w:line="276" w:lineRule="auto"/>
      </w:pPr>
      <w:r>
        <w:rPr>
          <w:b/>
        </w:rPr>
        <w:t>Antwoord</w:t>
      </w:r>
    </w:p>
    <w:p w:rsidR="00A722F8" w:rsidP="00901628" w:rsidRDefault="008E0B49" w14:paraId="54F82FD2" w14:textId="057C3472">
      <w:pPr>
        <w:spacing w:line="276" w:lineRule="auto"/>
      </w:pPr>
      <w:r w:rsidRPr="00F6792C">
        <w:t xml:space="preserve">Gerechtigheid voor slachtoffers en het tegengaan van straffeloosheid is van groot belang voor een duurzame vrede op de lange termijn. Nederland blijft zich daarom inzetten voor </w:t>
      </w:r>
      <w:r w:rsidRPr="007530D7">
        <w:rPr>
          <w:i/>
          <w:iCs/>
        </w:rPr>
        <w:t>accountability</w:t>
      </w:r>
      <w:r w:rsidRPr="00F6792C">
        <w:t xml:space="preserve"> en draagt in </w:t>
      </w:r>
      <w:r w:rsidR="00B91728">
        <w:t xml:space="preserve">de </w:t>
      </w:r>
      <w:r w:rsidRPr="00F6792C">
        <w:t xml:space="preserve">bredere context direct bij aan onafhankelijk onderzoek naar schendingen van het internationaal recht. Zo heeft Nederland in de afgelopen jaren EUR 6 miljoen aan vrijwillige bijdragen overgemaakt aan het Internationaal Strafhof om de onderzoekscapaciteit van het Hof te versterken. Daarnaast maakt Nederland financiering voor </w:t>
      </w:r>
      <w:r w:rsidRPr="007530D7">
        <w:rPr>
          <w:i/>
          <w:iCs/>
        </w:rPr>
        <w:t>accountability</w:t>
      </w:r>
      <w:r w:rsidRPr="00F6792C">
        <w:t xml:space="preserve"> beschikbaar via algemene bijdragen aan het </w:t>
      </w:r>
      <w:r>
        <w:t xml:space="preserve">kantoor van de </w:t>
      </w:r>
      <w:r w:rsidRPr="00F6792C">
        <w:t xml:space="preserve">VN </w:t>
      </w:r>
      <w:r>
        <w:t>Hoge Commissaris voor de mensenrechten</w:t>
      </w:r>
      <w:r w:rsidRPr="00F6792C">
        <w:t xml:space="preserve"> (OHCHR) en via bijdragen aan OHCHR-landenkantoren in onder meer Oekraïne, Soedan en de Palestijnse Gebieden. Zo heeft Nederland in 2024 een financiële bijdrage van EUR 2 miljoen </w:t>
      </w:r>
      <w:r>
        <w:t>gegeven</w:t>
      </w:r>
      <w:r w:rsidRPr="00F6792C">
        <w:t xml:space="preserve"> aan het OHCHR-landenkantoor in Soedan voor de registratie en documentatie van </w:t>
      </w:r>
      <w:r>
        <w:t>mensenrechtenschendingen.</w:t>
      </w:r>
      <w:r w:rsidRPr="00F6792C" w:rsidDel="00262433">
        <w:t xml:space="preserve"> </w:t>
      </w:r>
      <w:r w:rsidRPr="00F6792C">
        <w:t xml:space="preserve">Daarnaast steunt Nederland in Soedan </w:t>
      </w:r>
      <w:r>
        <w:t>andere</w:t>
      </w:r>
      <w:r w:rsidRPr="00F6792C">
        <w:t xml:space="preserve"> organisaties op het gebied van het monitoren en documenteren van mensenrechtenschendingen. Gezien de bezuinigingsopdracht, zoals afgesproken in het </w:t>
      </w:r>
      <w:r w:rsidR="00D863B8">
        <w:t>Hoofdlijnenakkoord</w:t>
      </w:r>
      <w:r w:rsidRPr="00F6792C">
        <w:t xml:space="preserve">, is er weinig ruimte om bovenop bestaande financiering voor </w:t>
      </w:r>
      <w:r w:rsidRPr="007530D7">
        <w:rPr>
          <w:i/>
          <w:iCs/>
        </w:rPr>
        <w:t>accountability</w:t>
      </w:r>
      <w:r w:rsidRPr="00F6792C">
        <w:t xml:space="preserve"> nog extra middelen vrij te maken.</w:t>
      </w:r>
    </w:p>
    <w:p w:rsidR="00A722F8" w:rsidP="00901628" w:rsidRDefault="00A722F8" w14:paraId="14EF663C" w14:textId="77777777">
      <w:pPr>
        <w:spacing w:line="276" w:lineRule="auto"/>
      </w:pPr>
    </w:p>
    <w:p w:rsidR="00A722F8" w:rsidP="00901628" w:rsidRDefault="00A722F8" w14:paraId="4831C45F" w14:textId="22B2CAE0">
      <w:pPr>
        <w:spacing w:line="276" w:lineRule="auto"/>
      </w:pPr>
      <w:r>
        <w:rPr>
          <w:b/>
        </w:rPr>
        <w:t xml:space="preserve">Vraag </w:t>
      </w:r>
      <w:r w:rsidR="008E0B49">
        <w:rPr>
          <w:b/>
        </w:rPr>
        <w:t>1</w:t>
      </w:r>
      <w:r>
        <w:rPr>
          <w:b/>
        </w:rPr>
        <w:t>4</w:t>
      </w:r>
    </w:p>
    <w:p w:rsidR="00A722F8" w:rsidP="00901628" w:rsidRDefault="008E0B49" w14:paraId="2194B506" w14:textId="54C162C9">
      <w:pPr>
        <w:spacing w:line="276" w:lineRule="auto"/>
      </w:pPr>
      <w:r w:rsidRPr="004A09BD">
        <w:t>Bent u bereid om ook staten aansprakelijk te stellen voor geweld tegen hulpverleners? Zo nee, waarom niet?</w:t>
      </w:r>
    </w:p>
    <w:p w:rsidR="008E0B49" w:rsidP="00901628" w:rsidRDefault="008E0B49" w14:paraId="794B8848" w14:textId="77777777">
      <w:pPr>
        <w:spacing w:line="276" w:lineRule="auto"/>
      </w:pPr>
    </w:p>
    <w:p w:rsidR="00A722F8" w:rsidP="00901628" w:rsidRDefault="00A722F8" w14:paraId="60F17B79" w14:textId="77777777">
      <w:pPr>
        <w:spacing w:line="276" w:lineRule="auto"/>
      </w:pPr>
      <w:r>
        <w:rPr>
          <w:b/>
        </w:rPr>
        <w:t>Antwoord</w:t>
      </w:r>
    </w:p>
    <w:p w:rsidR="008E0B49" w:rsidP="00901628" w:rsidRDefault="008E0B49" w14:paraId="63545C75" w14:textId="090CCB6D">
      <w:pPr>
        <w:spacing w:line="276" w:lineRule="auto"/>
      </w:pPr>
      <w:r w:rsidRPr="00C31458">
        <w:t>Een aansprakelijkstelling is pas aan de orde als aan drie voorwaarden is voldaan. Ten eerste moet er voldoende en overtuigend bewijs zijn van een schending dat overeind blijft voor een internationale rechter. Ten tweede moet een internationaal hof of tribunaal bevoegd zijn om over deze schending te oordelen</w:t>
      </w:r>
      <w:r>
        <w:t xml:space="preserve"> in de vorm van een voor partijen bindende uitspraak op basis van regels die gelden voor de partijen bij het geschil</w:t>
      </w:r>
      <w:r w:rsidRPr="00C31458">
        <w:t xml:space="preserve">. Dat is het geval wanneer tussen Nederland en het desbetreffende land een verdrag van toepassing is dat geweld tegen hulpverleners verbiedt en voorziet in bindende geschillenbeslechting in geval van een schending, of wanneer zowel Nederland als het desbetreffende land bindende geschillenbeslechting op een andere wijze aanvaard hebben. Ten derde zou het bij geweld tegen hulpverleners gaan om een aansprakelijkstelling in het algemeen </w:t>
      </w:r>
      <w:r w:rsidRPr="00C31458">
        <w:lastRenderedPageBreak/>
        <w:t>belang</w:t>
      </w:r>
      <w:r>
        <w:t xml:space="preserve"> (indien het geweld betreft buiten Nederlands grondgebied en geen Nederlanders daarbij betrokken zijn)</w:t>
      </w:r>
      <w:r w:rsidRPr="00C31458">
        <w:t xml:space="preserve">. Nederland initieert een aansprakelijkstelling in het algemeen belang bij voorkeur niet alleen, maar samen met een gelijkgezinde partner. </w:t>
      </w:r>
      <w:r>
        <w:t xml:space="preserve">Het hangt derhalve van de feiten en omstandigheden van een specifieke gebeurtenis af of een aansprakelijkstelling mogelijk is. </w:t>
      </w:r>
      <w:r w:rsidRPr="00C31458">
        <w:t>Ook geldt dat aansprakelijkstellingen in het algemeen belang tijdrovend en langdurig zijn en in het licht van de taakstelling die het Kabinet de Rijksoverheid heeft opgelegd, is de capaciteit beperkt om in de toekomst namens Nederland dergelijke procedures te initiëren. Daarom wordt dit op dit moment niet zonder meer overwogen.</w:t>
      </w:r>
    </w:p>
    <w:p w:rsidR="00A722F8" w:rsidP="00901628" w:rsidRDefault="00A722F8" w14:paraId="3B13EEE4" w14:textId="77777777">
      <w:pPr>
        <w:spacing w:line="276" w:lineRule="auto"/>
      </w:pPr>
    </w:p>
    <w:p w:rsidR="00A722F8" w:rsidP="00901628" w:rsidRDefault="00A722F8" w14:paraId="06C079B2" w14:textId="234A268E">
      <w:pPr>
        <w:spacing w:line="276" w:lineRule="auto"/>
      </w:pPr>
      <w:r>
        <w:rPr>
          <w:b/>
        </w:rPr>
        <w:t xml:space="preserve">Vraag </w:t>
      </w:r>
      <w:r w:rsidR="008E0B49">
        <w:rPr>
          <w:b/>
        </w:rPr>
        <w:t>1</w:t>
      </w:r>
      <w:r>
        <w:rPr>
          <w:b/>
        </w:rPr>
        <w:t>5</w:t>
      </w:r>
    </w:p>
    <w:p w:rsidR="00A722F8" w:rsidP="00901628" w:rsidRDefault="003C3EF2" w14:paraId="2109657A" w14:textId="7F42748A">
      <w:pPr>
        <w:spacing w:line="276" w:lineRule="auto"/>
      </w:pPr>
      <w:r w:rsidRPr="004A09BD">
        <w:t>Wanneer verwacht het kabinet de adviezen van de Commissie van advies inzake volkenrechtelijke vraagstukken (CAVV) en Adviesraad Internationale Vraagstukken (AIV) over de beschikbare instrumenten om de straffeloosheid voor geweldpleging tegen hulpverleners te bestrijden te presenteren aan de Kamer, conform motie Dobbe</w:t>
      </w:r>
      <w:r>
        <w:t>?</w:t>
      </w:r>
      <w:r>
        <w:rPr>
          <w:rStyle w:val="FootnoteReference"/>
        </w:rPr>
        <w:footnoteReference w:id="8"/>
      </w:r>
    </w:p>
    <w:p w:rsidR="00A722F8" w:rsidP="00901628" w:rsidRDefault="00A722F8" w14:paraId="0086BB90" w14:textId="77777777">
      <w:pPr>
        <w:spacing w:line="276" w:lineRule="auto"/>
      </w:pPr>
    </w:p>
    <w:p w:rsidR="00A722F8" w:rsidP="00901628" w:rsidRDefault="00A722F8" w14:paraId="4BD6264E" w14:textId="77777777">
      <w:pPr>
        <w:spacing w:line="276" w:lineRule="auto"/>
      </w:pPr>
      <w:r>
        <w:rPr>
          <w:b/>
        </w:rPr>
        <w:t>Antwoord</w:t>
      </w:r>
    </w:p>
    <w:p w:rsidRPr="001B49ED" w:rsidR="003C3EF2" w:rsidP="00901628" w:rsidRDefault="003C3EF2" w14:paraId="67841EEB" w14:textId="4FDB3729">
      <w:pPr>
        <w:spacing w:line="276" w:lineRule="auto"/>
      </w:pPr>
      <w:r w:rsidRPr="001B49ED">
        <w:t xml:space="preserve">In de adviesaanvraag aan de AIV en CAVV is verzocht om het advies </w:t>
      </w:r>
      <w:r w:rsidRPr="0074495A" w:rsidR="0074495A">
        <w:t xml:space="preserve">conform de motie Dobbe met spoed te verkrijgen. </w:t>
      </w:r>
      <w:bookmarkStart w:name="_Hlk196916064" w:id="7"/>
      <w:r w:rsidRPr="001B49ED">
        <w:t xml:space="preserve">Omdat de AIV en de CAVV onafhankelijke adviescommissies zijn van de regering en uw </w:t>
      </w:r>
      <w:r>
        <w:t>K</w:t>
      </w:r>
      <w:r w:rsidRPr="001B49ED">
        <w:t xml:space="preserve">amer, is het aan de adviescommissies zelf om te bepalen wanneer </w:t>
      </w:r>
      <w:r w:rsidR="00602F3B">
        <w:t>het</w:t>
      </w:r>
      <w:r w:rsidRPr="001B49ED">
        <w:t xml:space="preserve"> aangevraagde advies wordt uitgebracht.</w:t>
      </w:r>
    </w:p>
    <w:bookmarkEnd w:id="7"/>
    <w:p w:rsidR="00A722F8" w:rsidP="00901628" w:rsidRDefault="00A722F8" w14:paraId="78CAFD4C" w14:textId="77777777">
      <w:pPr>
        <w:spacing w:line="276" w:lineRule="auto"/>
      </w:pPr>
    </w:p>
    <w:p w:rsidR="00A722F8" w:rsidP="00901628" w:rsidRDefault="00A722F8" w14:paraId="35AF6E55" w14:textId="15705736">
      <w:pPr>
        <w:spacing w:line="276" w:lineRule="auto"/>
      </w:pPr>
      <w:r>
        <w:rPr>
          <w:b/>
        </w:rPr>
        <w:t xml:space="preserve">Vraag </w:t>
      </w:r>
      <w:r w:rsidR="003C3EF2">
        <w:rPr>
          <w:b/>
        </w:rPr>
        <w:t>16</w:t>
      </w:r>
    </w:p>
    <w:p w:rsidR="00A722F8" w:rsidP="00901628" w:rsidRDefault="003C3EF2" w14:paraId="26287052" w14:textId="7164E779">
      <w:pPr>
        <w:spacing w:line="276" w:lineRule="auto"/>
      </w:pPr>
      <w:r w:rsidRPr="004A09BD">
        <w:t>Bent u bekend met de oproep vanuit Artsen zonder Grenzen om de Wet internationale misdrijven aan te passen, zodat de kans op berechting in Nederland groter wordt?</w:t>
      </w:r>
      <w:r>
        <w:rPr>
          <w:rStyle w:val="FootnoteReference"/>
        </w:rPr>
        <w:footnoteReference w:id="9"/>
      </w:r>
    </w:p>
    <w:p w:rsidR="00A722F8" w:rsidP="00901628" w:rsidRDefault="00A722F8" w14:paraId="7869D187" w14:textId="77777777">
      <w:pPr>
        <w:spacing w:line="276" w:lineRule="auto"/>
      </w:pPr>
    </w:p>
    <w:p w:rsidR="00A722F8" w:rsidP="00901628" w:rsidRDefault="00A722F8" w14:paraId="0E981CC9" w14:textId="77777777">
      <w:pPr>
        <w:spacing w:line="276" w:lineRule="auto"/>
      </w:pPr>
      <w:r>
        <w:rPr>
          <w:b/>
        </w:rPr>
        <w:t>Antwoord</w:t>
      </w:r>
    </w:p>
    <w:p w:rsidR="00A722F8" w:rsidP="00901628" w:rsidRDefault="003C3EF2" w14:paraId="7C94FE7E" w14:textId="333A1162">
      <w:pPr>
        <w:spacing w:line="276" w:lineRule="auto"/>
      </w:pPr>
      <w:r>
        <w:t xml:space="preserve">Ja. </w:t>
      </w:r>
    </w:p>
    <w:p w:rsidR="003C3EF2" w:rsidP="00901628" w:rsidRDefault="003C3EF2" w14:paraId="63BC84B8" w14:textId="77777777">
      <w:pPr>
        <w:spacing w:line="276" w:lineRule="auto"/>
      </w:pPr>
    </w:p>
    <w:p w:rsidR="00A722F8" w:rsidP="00901628" w:rsidRDefault="00A722F8" w14:paraId="027521BE" w14:textId="17EBFAF9">
      <w:pPr>
        <w:spacing w:line="276" w:lineRule="auto"/>
      </w:pPr>
      <w:bookmarkStart w:name="_Hlk198626902" w:id="8"/>
      <w:r>
        <w:rPr>
          <w:b/>
        </w:rPr>
        <w:t xml:space="preserve">Vraag </w:t>
      </w:r>
      <w:r w:rsidR="003C3EF2">
        <w:rPr>
          <w:b/>
        </w:rPr>
        <w:t>17</w:t>
      </w:r>
    </w:p>
    <w:p w:rsidR="00A722F8" w:rsidP="00901628" w:rsidRDefault="003C3EF2" w14:paraId="629C2BE5" w14:textId="0B1FFB1B">
      <w:pPr>
        <w:spacing w:line="276" w:lineRule="auto"/>
      </w:pPr>
      <w:r w:rsidRPr="004A09BD">
        <w:t>Bent u het ermee eens dat een uitbreiding van de rechtsmacht van de Wet internationale misdrijven wenselijk is om een einde te maken aan de straffeloosheid voor geweld tegen hulpverleners? Zo nee, waarom niet?</w:t>
      </w:r>
    </w:p>
    <w:p w:rsidR="00A722F8" w:rsidP="00901628" w:rsidRDefault="00A722F8" w14:paraId="1C4CE10A" w14:textId="77777777">
      <w:pPr>
        <w:spacing w:line="276" w:lineRule="auto"/>
      </w:pPr>
    </w:p>
    <w:p w:rsidR="00A722F8" w:rsidP="00901628" w:rsidRDefault="00A722F8" w14:paraId="4C61F5E1" w14:textId="77777777">
      <w:pPr>
        <w:spacing w:line="276" w:lineRule="auto"/>
      </w:pPr>
      <w:r>
        <w:rPr>
          <w:b/>
        </w:rPr>
        <w:t>Antwoord</w:t>
      </w:r>
    </w:p>
    <w:p w:rsidR="00A722F8" w:rsidP="00901628" w:rsidRDefault="003C3EF2" w14:paraId="79109870" w14:textId="4D5F37FE">
      <w:pPr>
        <w:spacing w:line="276" w:lineRule="auto"/>
      </w:pPr>
      <w:r w:rsidRPr="00DA42FB">
        <w:t xml:space="preserve">Laat ik vooropstellen dat straffeloosheid bij geweld tegen hulpverleners tijdens gewapende conflicten uiteraard te allen tijde dient te worden tegengegaan. Dat internationale misdrijven tegen hulpverleners buiten Nederland worden gepleegd, staat er niet aan in de weg dat deze misdrijven in Nederland vervolgd kunnen worden. Dat is het geval wanneer de verdachte zich op Nederlands grondgebied bevindt, wanneer </w:t>
      </w:r>
      <w:r>
        <w:t xml:space="preserve">een </w:t>
      </w:r>
      <w:r w:rsidRPr="00DA42FB">
        <w:t xml:space="preserve">zodanig misdrijf </w:t>
      </w:r>
      <w:r>
        <w:t>wordt</w:t>
      </w:r>
      <w:r w:rsidRPr="00DA42FB">
        <w:t xml:space="preserve"> gepleegd tegen een Nederlander of wanneer de verdachte een Nederlander is, dan wel een vreemdeling met een </w:t>
      </w:r>
      <w:r w:rsidRPr="00DA42FB">
        <w:lastRenderedPageBreak/>
        <w:t>vaste woon- of verblijfplaats in Nederland. De Wet internationale misdrijven kent hiermee reeds een ruime mogelijkheid tot vervolging in gevallen waarin sprake is van een internationaal misdrijf dat buiten Nederland is gepleegd, maar waarbij er voldoende aanknopingspunten met Nederland zijn. Dat er sprake is van een voldoende aanknopingspunt met Nederland is van belang, omdat het voor het daadwerkelijk tegengaan van straffeloosheid niet voldoende is dat een staat beschikt over rechtsmacht, maar ook vereist is dat in die staat effectieve opsporing en vervolging mogelijk is. Uitbreiding van de rechtsmacht betekent op zichzelf dan ook niet dat daarmee een einde zou worden gemaakt aan straffeloosheid. Het ontbreken van een voldoende link met Nederland kan effectieve opsporing en vervolging ernstig belemmeren dan wel onmogelijk maken. Dat ziet zowel op het vergaren van voldoende bewijsmateriaal, hetgeen sowieso al zeer complex is bij onderzoeken naar internationale misdrijven, als op de aanwezigheid van de verdachte bij berechting. Berechting bij een zaak zonder aanknopingspunten met de staat van berechting kan ook leiden tot jurisdictieconflicten met staten die wel een duidelijk aanknopingspunt met de zaak hebben. Wanneer door die berechting een mogelijk meer kansrijke vervolging in een andere staat onmogelijk wordt gemaakt, kan dat een effectieve berechting en tenuitvoerlegging van een opgelegde straf belemmeren. Het belang van het tegengaan van straffeloosheid wordt daarmee niet gediend.</w:t>
      </w:r>
      <w:bookmarkEnd w:id="8"/>
    </w:p>
    <w:p w:rsidR="00A722F8" w:rsidP="00901628" w:rsidRDefault="00A722F8" w14:paraId="0CB4EBC3" w14:textId="77777777">
      <w:pPr>
        <w:spacing w:line="276" w:lineRule="auto"/>
      </w:pPr>
    </w:p>
    <w:p w:rsidR="00A722F8" w:rsidP="00901628" w:rsidRDefault="00A722F8" w14:paraId="5660C0DF" w14:textId="340F37E4">
      <w:pPr>
        <w:spacing w:line="276" w:lineRule="auto"/>
      </w:pPr>
      <w:r>
        <w:rPr>
          <w:b/>
        </w:rPr>
        <w:t xml:space="preserve">Vraag </w:t>
      </w:r>
      <w:r w:rsidR="003C3EF2">
        <w:rPr>
          <w:b/>
        </w:rPr>
        <w:t>18</w:t>
      </w:r>
    </w:p>
    <w:p w:rsidR="00A722F8" w:rsidP="00901628" w:rsidRDefault="003C3EF2" w14:paraId="59046E48" w14:textId="3761CDF8">
      <w:pPr>
        <w:spacing w:line="276" w:lineRule="auto"/>
      </w:pPr>
      <w:r w:rsidRPr="004A09BD">
        <w:t>Is het kabinet bekend met de wetgeving in Duitsland, waaronder de mogelijkheden tot vervolging van oorlogsmisdadigers groter zijn dan in Nederland? Hoe beoordeelt het kabinet aanpassingen aan de Wet internationale misdrijven naar Duits voorbeeld?</w:t>
      </w:r>
    </w:p>
    <w:p w:rsidR="003C3EF2" w:rsidP="00901628" w:rsidRDefault="003C3EF2" w14:paraId="2880719E" w14:textId="77777777">
      <w:pPr>
        <w:spacing w:line="276" w:lineRule="auto"/>
      </w:pPr>
    </w:p>
    <w:p w:rsidR="00A722F8" w:rsidP="00901628" w:rsidRDefault="00A722F8" w14:paraId="1A0793DB" w14:textId="77777777">
      <w:pPr>
        <w:spacing w:line="276" w:lineRule="auto"/>
      </w:pPr>
      <w:r>
        <w:rPr>
          <w:b/>
        </w:rPr>
        <w:t>Antwoord</w:t>
      </w:r>
    </w:p>
    <w:p w:rsidR="00A722F8" w:rsidP="00901628" w:rsidRDefault="003C3EF2" w14:paraId="2FBFE7EA" w14:textId="15903EF7">
      <w:pPr>
        <w:spacing w:line="276" w:lineRule="auto"/>
      </w:pPr>
      <w:r w:rsidRPr="00DA42FB">
        <w:t xml:space="preserve">Ja. Ik verwijs naar </w:t>
      </w:r>
      <w:r w:rsidR="002947F0">
        <w:t>het</w:t>
      </w:r>
      <w:r w:rsidRPr="00DA42FB">
        <w:t xml:space="preserve"> antwoord op vraag 17. Wellicht ten overvloede merk ik op dat in Duitsland in de praktijk vaak niet wordt overgegaan tot opsporing en vervolging bij afwezigheid van een link met Duitsland.</w:t>
      </w:r>
    </w:p>
    <w:p w:rsidR="00A722F8" w:rsidP="00901628" w:rsidRDefault="00A722F8" w14:paraId="7030CE0D" w14:textId="77777777">
      <w:pPr>
        <w:spacing w:line="276" w:lineRule="auto"/>
      </w:pPr>
    </w:p>
    <w:p w:rsidR="00A722F8" w:rsidP="00901628" w:rsidRDefault="00A722F8" w14:paraId="1B5DC4F5" w14:textId="14CF3D19">
      <w:pPr>
        <w:spacing w:line="276" w:lineRule="auto"/>
      </w:pPr>
      <w:r>
        <w:rPr>
          <w:b/>
        </w:rPr>
        <w:t xml:space="preserve">Vraag </w:t>
      </w:r>
      <w:r w:rsidR="003C3EF2">
        <w:rPr>
          <w:b/>
        </w:rPr>
        <w:t>19</w:t>
      </w:r>
    </w:p>
    <w:p w:rsidR="00A722F8" w:rsidP="00901628" w:rsidRDefault="003C3EF2" w14:paraId="45131B7E" w14:textId="140EA0E8">
      <w:pPr>
        <w:spacing w:line="276" w:lineRule="auto"/>
      </w:pPr>
      <w:r w:rsidRPr="004A09BD">
        <w:t>Hoe heeft u tot nu toe al uitvoering gegeven, en blijft u dit doen, aan de motie Dobbe die vraagt om een leidende rol voor Nederland bij het beschermen van hulpverleners</w:t>
      </w:r>
      <w:r>
        <w:t>?</w:t>
      </w:r>
      <w:r>
        <w:rPr>
          <w:rStyle w:val="FootnoteReference"/>
        </w:rPr>
        <w:footnoteReference w:id="10"/>
      </w:r>
    </w:p>
    <w:p w:rsidR="003C3EF2" w:rsidP="00901628" w:rsidRDefault="003C3EF2" w14:paraId="093A2E19" w14:textId="77777777">
      <w:pPr>
        <w:spacing w:line="276" w:lineRule="auto"/>
      </w:pPr>
    </w:p>
    <w:p w:rsidR="00A722F8" w:rsidP="00901628" w:rsidRDefault="00A722F8" w14:paraId="0912896B" w14:textId="77777777">
      <w:pPr>
        <w:spacing w:line="276" w:lineRule="auto"/>
      </w:pPr>
      <w:r>
        <w:rPr>
          <w:b/>
        </w:rPr>
        <w:t>Antwoord</w:t>
      </w:r>
    </w:p>
    <w:p w:rsidRPr="000E4C78" w:rsidR="003C3EF2" w:rsidP="00901628" w:rsidRDefault="00056640" w14:paraId="1C5A3A5F" w14:textId="0960941A">
      <w:pPr>
        <w:spacing w:line="276" w:lineRule="auto"/>
      </w:pPr>
      <w:r>
        <w:t>Het kabinet blijft een leidende rol voor Nederland zien bij het beschermen van hulpverleners. Voor de uitvoering van de motie Dobbe verwijst ik naar het antwoord op vragen 11 en 13.</w:t>
      </w:r>
    </w:p>
    <w:p w:rsidR="00A722F8" w:rsidP="00901628" w:rsidRDefault="00A722F8" w14:paraId="3D75ACE5" w14:textId="77777777">
      <w:pPr>
        <w:spacing w:line="276" w:lineRule="auto"/>
      </w:pPr>
    </w:p>
    <w:p w:rsidR="00A722F8" w:rsidP="00901628" w:rsidRDefault="00A722F8" w14:paraId="4A313760" w14:textId="4AB250A1">
      <w:pPr>
        <w:spacing w:line="276" w:lineRule="auto"/>
      </w:pPr>
    </w:p>
    <w:sectPr w:rsidR="00A722F8">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9D9BE" w14:textId="77777777" w:rsidR="00AA0CD0" w:rsidRDefault="00AA0CD0">
      <w:pPr>
        <w:spacing w:line="240" w:lineRule="auto"/>
      </w:pPr>
      <w:r>
        <w:separator/>
      </w:r>
    </w:p>
  </w:endnote>
  <w:endnote w:type="continuationSeparator" w:id="0">
    <w:p w14:paraId="582C66EA" w14:textId="77777777" w:rsidR="00AA0CD0" w:rsidRDefault="00AA0CD0">
      <w:pPr>
        <w:spacing w:line="240" w:lineRule="auto"/>
      </w:pPr>
      <w:r>
        <w:continuationSeparator/>
      </w:r>
    </w:p>
  </w:endnote>
  <w:endnote w:type="continuationNotice" w:id="1">
    <w:p w14:paraId="36E572B3" w14:textId="77777777" w:rsidR="00AA0CD0" w:rsidRDefault="00AA0C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ED9D" w14:textId="77777777" w:rsidR="004A63C4" w:rsidRDefault="004A6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920B" w14:textId="77777777" w:rsidR="004A63C4" w:rsidRDefault="004A63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A439" w14:textId="77777777" w:rsidR="004A63C4" w:rsidRDefault="004A6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FA07C" w14:textId="77777777" w:rsidR="00AA0CD0" w:rsidRDefault="00AA0CD0">
      <w:pPr>
        <w:spacing w:line="240" w:lineRule="auto"/>
      </w:pPr>
      <w:r>
        <w:separator/>
      </w:r>
    </w:p>
  </w:footnote>
  <w:footnote w:type="continuationSeparator" w:id="0">
    <w:p w14:paraId="44A861CA" w14:textId="77777777" w:rsidR="00AA0CD0" w:rsidRDefault="00AA0CD0">
      <w:pPr>
        <w:spacing w:line="240" w:lineRule="auto"/>
      </w:pPr>
      <w:r>
        <w:continuationSeparator/>
      </w:r>
    </w:p>
  </w:footnote>
  <w:footnote w:type="continuationNotice" w:id="1">
    <w:p w14:paraId="796F6E40" w14:textId="77777777" w:rsidR="00AA0CD0" w:rsidRDefault="00AA0CD0">
      <w:pPr>
        <w:spacing w:line="240" w:lineRule="auto"/>
      </w:pPr>
    </w:p>
  </w:footnote>
  <w:footnote w:id="2">
    <w:p w14:paraId="241F30E5" w14:textId="052DDB4D" w:rsidR="00A722F8" w:rsidRPr="00A722F8" w:rsidRDefault="00A722F8">
      <w:pPr>
        <w:pStyle w:val="FootnoteText"/>
        <w:rPr>
          <w:sz w:val="16"/>
          <w:szCs w:val="16"/>
          <w:lang w:val="en-US"/>
        </w:rPr>
      </w:pPr>
      <w:r w:rsidRPr="00A722F8">
        <w:rPr>
          <w:rStyle w:val="FootnoteReference"/>
          <w:sz w:val="16"/>
          <w:szCs w:val="16"/>
        </w:rPr>
        <w:footnoteRef/>
      </w:r>
      <w:r w:rsidRPr="00A722F8">
        <w:rPr>
          <w:sz w:val="16"/>
          <w:szCs w:val="16"/>
          <w:lang w:val="en-US"/>
        </w:rPr>
        <w:t xml:space="preserve"> </w:t>
      </w:r>
      <w:bookmarkStart w:id="0" w:name="_Hlk197695823"/>
      <w:r w:rsidRPr="00A722F8">
        <w:rPr>
          <w:sz w:val="16"/>
          <w:szCs w:val="16"/>
          <w:lang w:val="en-US"/>
        </w:rPr>
        <w:t>The Guardian, 13 april 2025, 'More than 200 civilians killed as Sudan’s RSF attacks Darfur displacement camps' (https://www.theguardian.com/world/2025/apr/13/sudans-rsf-kills-civilians-in-attacks-on-darfur-refugee-camps)</w:t>
      </w:r>
      <w:bookmarkEnd w:id="0"/>
    </w:p>
  </w:footnote>
  <w:footnote w:id="3">
    <w:p w14:paraId="34B6F894" w14:textId="019B7331" w:rsidR="00A722F8" w:rsidRPr="00A722F8" w:rsidRDefault="00A722F8">
      <w:pPr>
        <w:pStyle w:val="FootnoteText"/>
        <w:rPr>
          <w:lang w:val="en-US"/>
        </w:rPr>
      </w:pPr>
      <w:r>
        <w:rPr>
          <w:rStyle w:val="FootnoteReference"/>
        </w:rPr>
        <w:footnoteRef/>
      </w:r>
      <w:r w:rsidRPr="00A722F8">
        <w:rPr>
          <w:lang w:val="en-US"/>
        </w:rPr>
        <w:t xml:space="preserve"> </w:t>
      </w:r>
      <w:r w:rsidRPr="00A722F8">
        <w:rPr>
          <w:sz w:val="16"/>
          <w:szCs w:val="16"/>
          <w:lang w:val="en-US"/>
        </w:rPr>
        <w:t>The Guardian, 14 april 2025, 'Leaked UN experts report raises fresh concerns over UAE’s role in Sudan war' (https://www.theguardian.com/global-development/2025/apr/14/leaked-un-experts-report-raises-fresh-concerns-over-uaes-role-in-sudan-war)</w:t>
      </w:r>
    </w:p>
  </w:footnote>
  <w:footnote w:id="4">
    <w:p w14:paraId="7D0641A4" w14:textId="795935F4" w:rsidR="00A722F8" w:rsidRPr="00A722F8" w:rsidRDefault="00A722F8">
      <w:pPr>
        <w:pStyle w:val="FootnoteText"/>
        <w:rPr>
          <w:sz w:val="16"/>
          <w:szCs w:val="16"/>
          <w:lang w:val="en-US"/>
        </w:rPr>
      </w:pPr>
      <w:r w:rsidRPr="00A722F8">
        <w:rPr>
          <w:rStyle w:val="FootnoteReference"/>
          <w:sz w:val="16"/>
          <w:szCs w:val="16"/>
        </w:rPr>
        <w:footnoteRef/>
      </w:r>
      <w:r w:rsidRPr="00A722F8">
        <w:rPr>
          <w:sz w:val="16"/>
          <w:szCs w:val="16"/>
          <w:lang w:val="en-US"/>
        </w:rPr>
        <w:t xml:space="preserve"> Europese Commissie, 10 april 2025, 'EU and UAE agree to launch free trade talks' (https://ec.europa.eu/commission/presscorner/detail/en/read_25_1043)</w:t>
      </w:r>
    </w:p>
  </w:footnote>
  <w:footnote w:id="5">
    <w:p w14:paraId="24D69624" w14:textId="27A19CE2" w:rsidR="00A722F8" w:rsidRPr="007530D7" w:rsidRDefault="00A722F8" w:rsidP="00A722F8">
      <w:pPr>
        <w:pStyle w:val="FootnoteText"/>
        <w:rPr>
          <w:sz w:val="16"/>
          <w:szCs w:val="16"/>
        </w:rPr>
      </w:pPr>
      <w:r w:rsidRPr="007530D7">
        <w:rPr>
          <w:rStyle w:val="FootnoteReference"/>
          <w:sz w:val="16"/>
          <w:szCs w:val="16"/>
        </w:rPr>
        <w:footnoteRef/>
      </w:r>
      <w:r w:rsidRPr="007530D7">
        <w:rPr>
          <w:sz w:val="16"/>
          <w:szCs w:val="16"/>
        </w:rPr>
        <w:t xml:space="preserve"> Verslag Raad Buitenlandse Zaken van 14 april</w:t>
      </w:r>
      <w:r w:rsidR="00901628" w:rsidRPr="007530D7">
        <w:rPr>
          <w:sz w:val="16"/>
          <w:szCs w:val="16"/>
        </w:rPr>
        <w:t xml:space="preserve"> 2025, Kamerstuk 21501-02, nr. 3127</w:t>
      </w:r>
      <w:r w:rsidRPr="007530D7">
        <w:rPr>
          <w:sz w:val="16"/>
          <w:szCs w:val="16"/>
        </w:rPr>
        <w:t>5</w:t>
      </w:r>
    </w:p>
  </w:footnote>
  <w:footnote w:id="6">
    <w:p w14:paraId="0F28B952" w14:textId="458EF7F1" w:rsidR="00585E4E" w:rsidRPr="00585E4E" w:rsidRDefault="00585E4E" w:rsidP="00585E4E">
      <w:pPr>
        <w:rPr>
          <w:lang w:val="en-US"/>
        </w:rPr>
      </w:pPr>
      <w:r w:rsidRPr="007530D7">
        <w:rPr>
          <w:rStyle w:val="FootnoteReference"/>
          <w:sz w:val="16"/>
          <w:szCs w:val="16"/>
        </w:rPr>
        <w:footnoteRef/>
      </w:r>
      <w:r w:rsidRPr="007530D7">
        <w:rPr>
          <w:sz w:val="16"/>
          <w:szCs w:val="16"/>
          <w:lang w:val="en-US"/>
        </w:rPr>
        <w:t xml:space="preserve"> Minister</w:t>
      </w:r>
      <w:r w:rsidR="00901628" w:rsidRPr="007530D7">
        <w:rPr>
          <w:sz w:val="16"/>
          <w:szCs w:val="16"/>
          <w:lang w:val="en-US"/>
        </w:rPr>
        <w:t xml:space="preserve"> </w:t>
      </w:r>
      <w:r w:rsidRPr="007530D7">
        <w:rPr>
          <w:sz w:val="16"/>
          <w:szCs w:val="16"/>
          <w:lang w:val="en-US"/>
        </w:rPr>
        <w:t>BZ op X, 13 april</w:t>
      </w:r>
      <w:r w:rsidRPr="00585E4E">
        <w:rPr>
          <w:sz w:val="16"/>
          <w:szCs w:val="16"/>
          <w:lang w:val="en-US"/>
        </w:rPr>
        <w:t xml:space="preserve"> 2025, 'Alarmed by attacks in ZamZam and Abu Shouk displacement camps and Al Fasher by RSF affiliated forces in Sudan. At least 100 civilians and 9 aid workers have been killed which is a grave violation of International Humanitarian Law. 1/2' (https://x.com/ministerBZ/status/1911429374282281234)</w:t>
      </w:r>
    </w:p>
  </w:footnote>
  <w:footnote w:id="7">
    <w:p w14:paraId="7EB45064" w14:textId="6D7EF620" w:rsidR="00585E4E" w:rsidRPr="00585E4E" w:rsidRDefault="00585E4E">
      <w:pPr>
        <w:pStyle w:val="FootnoteText"/>
        <w:rPr>
          <w:lang w:val="en-US"/>
        </w:rPr>
      </w:pPr>
      <w:r>
        <w:rPr>
          <w:rStyle w:val="FootnoteReference"/>
        </w:rPr>
        <w:footnoteRef/>
      </w:r>
      <w:r w:rsidRPr="00585E4E">
        <w:rPr>
          <w:lang w:val="en-US"/>
        </w:rPr>
        <w:t xml:space="preserve"> </w:t>
      </w:r>
      <w:r w:rsidRPr="00585E4E">
        <w:rPr>
          <w:sz w:val="16"/>
          <w:szCs w:val="16"/>
          <w:lang w:val="en-US"/>
        </w:rPr>
        <w:t>WHO, Surveillance system for attacks on health care (SSA) (https://extranet.who.int/ssa/Index.aspx)</w:t>
      </w:r>
    </w:p>
  </w:footnote>
  <w:footnote w:id="8">
    <w:p w14:paraId="337DD33C" w14:textId="595F2859" w:rsidR="003C3EF2" w:rsidRPr="000E4C78" w:rsidRDefault="003C3EF2">
      <w:pPr>
        <w:pStyle w:val="FootnoteText"/>
        <w:rPr>
          <w:sz w:val="16"/>
          <w:szCs w:val="16"/>
        </w:rPr>
      </w:pPr>
      <w:r w:rsidRPr="003C3EF2">
        <w:rPr>
          <w:rStyle w:val="FootnoteReference"/>
          <w:sz w:val="16"/>
          <w:szCs w:val="16"/>
        </w:rPr>
        <w:footnoteRef/>
      </w:r>
      <w:r w:rsidRPr="003C3EF2">
        <w:rPr>
          <w:sz w:val="16"/>
          <w:szCs w:val="16"/>
        </w:rPr>
        <w:t xml:space="preserve"> Kamerstuk 21501-02, nr. 3108</w:t>
      </w:r>
    </w:p>
  </w:footnote>
  <w:footnote w:id="9">
    <w:p w14:paraId="4711110E" w14:textId="124EE6CD" w:rsidR="003C3EF2" w:rsidRPr="003C3EF2" w:rsidRDefault="003C3EF2">
      <w:pPr>
        <w:pStyle w:val="FootnoteText"/>
      </w:pPr>
      <w:r w:rsidRPr="003C3EF2">
        <w:rPr>
          <w:rStyle w:val="FootnoteReference"/>
          <w:sz w:val="16"/>
          <w:szCs w:val="16"/>
        </w:rPr>
        <w:footnoteRef/>
      </w:r>
      <w:r w:rsidRPr="003C3EF2">
        <w:rPr>
          <w:sz w:val="16"/>
          <w:szCs w:val="16"/>
        </w:rPr>
        <w:t xml:space="preserve"> NRC, 14 april 2025, 'Artsen zonder Grenzen wil dat oorlogsmisdaden tegen hulpverleners vervolgd kunnen worden in Nederland' (https://www.nrc.nl/nieuws/2025/04/14/artsen-zonder-grenzen-wil-in-nederland-oorlogsmisdaden-tegen-hulpverleners-kunnen-vervolgen-a4889909)</w:t>
      </w:r>
    </w:p>
  </w:footnote>
  <w:footnote w:id="10">
    <w:p w14:paraId="103F9E21" w14:textId="4D0F79A0" w:rsidR="003C3EF2" w:rsidRPr="003C3EF2" w:rsidRDefault="003C3EF2">
      <w:pPr>
        <w:pStyle w:val="FootnoteText"/>
        <w:rPr>
          <w:sz w:val="16"/>
          <w:szCs w:val="16"/>
          <w:lang w:val="en-US"/>
        </w:rPr>
      </w:pPr>
      <w:r w:rsidRPr="003C3EF2">
        <w:rPr>
          <w:rStyle w:val="FootnoteReference"/>
          <w:sz w:val="16"/>
          <w:szCs w:val="16"/>
        </w:rPr>
        <w:footnoteRef/>
      </w:r>
      <w:r w:rsidRPr="003C3EF2">
        <w:rPr>
          <w:sz w:val="16"/>
          <w:szCs w:val="16"/>
        </w:rPr>
        <w:t xml:space="preserve"> Kamerstuk 36180, nr. 122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8A15" w14:textId="77777777" w:rsidR="004A63C4" w:rsidRDefault="004A6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A623" w14:textId="3D8C6468" w:rsidR="00CD4242" w:rsidRDefault="00A8191D">
    <w:r>
      <w:rPr>
        <w:noProof/>
      </w:rPr>
      <mc:AlternateContent>
        <mc:Choice Requires="wps">
          <w:drawing>
            <wp:anchor distT="0" distB="0" distL="0" distR="0" simplePos="0" relativeHeight="251658240" behindDoc="0" locked="1" layoutInCell="1" allowOverlap="1" wp14:anchorId="26C2A627" wp14:editId="54053FC7">
              <wp:simplePos x="0" y="0"/>
              <wp:positionH relativeFrom="page">
                <wp:posOffset>5924550</wp:posOffset>
              </wp:positionH>
              <wp:positionV relativeFrom="page">
                <wp:posOffset>1968500</wp:posOffset>
              </wp:positionV>
              <wp:extent cx="1377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7950" cy="8009890"/>
                      </a:xfrm>
                      <a:prstGeom prst="rect">
                        <a:avLst/>
                      </a:prstGeom>
                      <a:noFill/>
                    </wps:spPr>
                    <wps:txbx>
                      <w:txbxContent>
                        <w:p w14:paraId="26C2A656" w14:textId="77777777" w:rsidR="00CD4242" w:rsidRDefault="00A8191D">
                          <w:pPr>
                            <w:pStyle w:val="Referentiegegevensbold"/>
                          </w:pPr>
                          <w:r>
                            <w:t>Ministerie van Buitenlandse Zaken</w:t>
                          </w:r>
                        </w:p>
                        <w:p w14:paraId="26C2A657" w14:textId="77777777" w:rsidR="00CD4242" w:rsidRDefault="00CD4242">
                          <w:pPr>
                            <w:pStyle w:val="WitregelW2"/>
                          </w:pPr>
                        </w:p>
                        <w:p w14:paraId="26C2A658" w14:textId="77777777" w:rsidR="00CD4242" w:rsidRDefault="00A8191D">
                          <w:pPr>
                            <w:pStyle w:val="Referentiegegevensbold"/>
                          </w:pPr>
                          <w:r>
                            <w:t>Onze referentie</w:t>
                          </w:r>
                        </w:p>
                        <w:p w14:paraId="26C2A659" w14:textId="77777777" w:rsidR="00CD4242" w:rsidRDefault="00A8191D">
                          <w:pPr>
                            <w:pStyle w:val="Referentiegegevens"/>
                          </w:pPr>
                          <w:r>
                            <w:t>BZ2515411</w:t>
                          </w:r>
                        </w:p>
                      </w:txbxContent>
                    </wps:txbx>
                    <wps:bodyPr vert="horz" wrap="square" lIns="0" tIns="0" rIns="0" bIns="0" anchor="t" anchorCtr="0"/>
                  </wps:wsp>
                </a:graphicData>
              </a:graphic>
              <wp14:sizeRelH relativeFrom="margin">
                <wp14:pctWidth>0</wp14:pctWidth>
              </wp14:sizeRelH>
            </wp:anchor>
          </w:drawing>
        </mc:Choice>
        <mc:Fallback>
          <w:pict>
            <v:shapetype w14:anchorId="26C2A627" id="_x0000_t202" coordsize="21600,21600" o:spt="202" path="m,l,21600r21600,l21600,xe">
              <v:stroke joinstyle="miter"/>
              <v:path gradientshapeok="t" o:connecttype="rect"/>
            </v:shapetype>
            <v:shape id="41b1110a-80a4-11ea-b356-6230a4311406" o:spid="_x0000_s1026" type="#_x0000_t202" style="position:absolute;margin-left:466.5pt;margin-top:155pt;width:10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" filled="f" stroked="f">
              <v:textbox inset="0,0,0,0">
                <w:txbxContent>
                  <w:p w14:paraId="26C2A656" w14:textId="77777777" w:rsidR="00CD4242" w:rsidRDefault="00A8191D">
                    <w:pPr>
                      <w:pStyle w:val="Referentiegegevensbold"/>
                    </w:pPr>
                    <w:r>
                      <w:t>Ministerie van Buitenlandse Zaken</w:t>
                    </w:r>
                  </w:p>
                  <w:p w14:paraId="26C2A657" w14:textId="77777777" w:rsidR="00CD4242" w:rsidRDefault="00CD4242">
                    <w:pPr>
                      <w:pStyle w:val="WitregelW2"/>
                    </w:pPr>
                  </w:p>
                  <w:p w14:paraId="26C2A658" w14:textId="77777777" w:rsidR="00CD4242" w:rsidRDefault="00A8191D">
                    <w:pPr>
                      <w:pStyle w:val="Referentiegegevensbold"/>
                    </w:pPr>
                    <w:r>
                      <w:t>Onze referentie</w:t>
                    </w:r>
                  </w:p>
                  <w:p w14:paraId="26C2A659" w14:textId="77777777" w:rsidR="00CD4242" w:rsidRDefault="00A8191D">
                    <w:pPr>
                      <w:pStyle w:val="Referentiegegevens"/>
                    </w:pPr>
                    <w:r>
                      <w:t>BZ2515411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6C2A62B" wp14:editId="4DF4C69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C2A65B" w14:textId="529D5861" w:rsidR="00CD4242" w:rsidRDefault="007B1DDD">
                          <w:pPr>
                            <w:pStyle w:val="Referentiegegevens"/>
                          </w:pPr>
                          <w:r>
                            <w:t xml:space="preserve">Pagina </w:t>
                          </w:r>
                          <w:r>
                            <w:fldChar w:fldCharType="begin"/>
                          </w:r>
                          <w:r>
                            <w:instrText>=</w:instrText>
                          </w:r>
                          <w:r>
                            <w:fldChar w:fldCharType="begin"/>
                          </w:r>
                          <w:r>
                            <w:instrText>PAGE</w:instrText>
                          </w:r>
                          <w:r>
                            <w:fldChar w:fldCharType="separate"/>
                          </w:r>
                          <w:r w:rsidR="00725850">
                            <w:rPr>
                              <w:noProof/>
                            </w:rPr>
                            <w:instrText>2</w:instrText>
                          </w:r>
                          <w:r>
                            <w:fldChar w:fldCharType="end"/>
                          </w:r>
                          <w:r>
                            <w:instrText>-1</w:instrText>
                          </w:r>
                          <w:r>
                            <w:fldChar w:fldCharType="separate"/>
                          </w:r>
                          <w:r w:rsidR="00725850">
                            <w:rPr>
                              <w:noProof/>
                            </w:rPr>
                            <w:t>1</w:t>
                          </w:r>
                          <w:r>
                            <w:fldChar w:fldCharType="end"/>
                          </w:r>
                          <w:r>
                            <w:t xml:space="preserve"> van </w:t>
                          </w:r>
                          <w:r>
                            <w:fldChar w:fldCharType="begin"/>
                          </w:r>
                          <w:r>
                            <w:instrText>=</w:instrText>
                          </w:r>
                          <w:r>
                            <w:fldChar w:fldCharType="begin"/>
                          </w:r>
                          <w:r>
                            <w:instrText>NUMPAGES</w:instrText>
                          </w:r>
                          <w:r>
                            <w:fldChar w:fldCharType="separate"/>
                          </w:r>
                          <w:r w:rsidR="00725850">
                            <w:rPr>
                              <w:noProof/>
                            </w:rPr>
                            <w:instrText>9</w:instrText>
                          </w:r>
                          <w:r>
                            <w:fldChar w:fldCharType="end"/>
                          </w:r>
                          <w:r>
                            <w:instrText>-1</w:instrText>
                          </w:r>
                          <w:r>
                            <w:fldChar w:fldCharType="separate"/>
                          </w:r>
                          <w:r w:rsidR="00725850">
                            <w:rPr>
                              <w:noProof/>
                            </w:rPr>
                            <w:t>8</w:t>
                          </w:r>
                          <w:r>
                            <w:fldChar w:fldCharType="end"/>
                          </w:r>
                        </w:p>
                      </w:txbxContent>
                    </wps:txbx>
                    <wps:bodyPr vert="horz" wrap="square" lIns="0" tIns="0" rIns="0" bIns="0" anchor="t" anchorCtr="0"/>
                  </wps:wsp>
                </a:graphicData>
              </a:graphic>
            </wp:anchor>
          </w:drawing>
        </mc:Choice>
        <mc:Fallback>
          <w:pict>
            <v:shape w14:anchorId="26C2A62B"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6C2A65B" w14:textId="529D5861" w:rsidR="00CD4242" w:rsidRDefault="007B1DDD">
                    <w:pPr>
                      <w:pStyle w:val="Referentiegegevens"/>
                    </w:pPr>
                    <w:r>
                      <w:t xml:space="preserve">Pagina </w:t>
                    </w:r>
                    <w:r>
                      <w:fldChar w:fldCharType="begin"/>
                    </w:r>
                    <w:r>
                      <w:instrText>=</w:instrText>
                    </w:r>
                    <w:r>
                      <w:fldChar w:fldCharType="begin"/>
                    </w:r>
                    <w:r>
                      <w:instrText>PAGE</w:instrText>
                    </w:r>
                    <w:r>
                      <w:fldChar w:fldCharType="separate"/>
                    </w:r>
                    <w:r w:rsidR="00725850">
                      <w:rPr>
                        <w:noProof/>
                      </w:rPr>
                      <w:instrText>2</w:instrText>
                    </w:r>
                    <w:r>
                      <w:fldChar w:fldCharType="end"/>
                    </w:r>
                    <w:r>
                      <w:instrText>-1</w:instrText>
                    </w:r>
                    <w:r>
                      <w:fldChar w:fldCharType="separate"/>
                    </w:r>
                    <w:r w:rsidR="00725850">
                      <w:rPr>
                        <w:noProof/>
                      </w:rPr>
                      <w:t>1</w:t>
                    </w:r>
                    <w:r>
                      <w:fldChar w:fldCharType="end"/>
                    </w:r>
                    <w:r>
                      <w:t xml:space="preserve"> van </w:t>
                    </w:r>
                    <w:r>
                      <w:fldChar w:fldCharType="begin"/>
                    </w:r>
                    <w:r>
                      <w:instrText>=</w:instrText>
                    </w:r>
                    <w:r>
                      <w:fldChar w:fldCharType="begin"/>
                    </w:r>
                    <w:r>
                      <w:instrText>NUMPAGES</w:instrText>
                    </w:r>
                    <w:r>
                      <w:fldChar w:fldCharType="separate"/>
                    </w:r>
                    <w:r w:rsidR="00725850">
                      <w:rPr>
                        <w:noProof/>
                      </w:rPr>
                      <w:instrText>9</w:instrText>
                    </w:r>
                    <w:r>
                      <w:fldChar w:fldCharType="end"/>
                    </w:r>
                    <w:r>
                      <w:instrText>-1</w:instrText>
                    </w:r>
                    <w:r>
                      <w:fldChar w:fldCharType="separate"/>
                    </w:r>
                    <w:r w:rsidR="00725850">
                      <w:rPr>
                        <w:noProof/>
                      </w:rPr>
                      <w:t>8</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A625" w14:textId="755F6086" w:rsidR="00CD4242" w:rsidRDefault="00A8191D">
    <w:pPr>
      <w:spacing w:after="7131" w:line="14" w:lineRule="exact"/>
    </w:pPr>
    <w:r>
      <w:rPr>
        <w:noProof/>
      </w:rPr>
      <mc:AlternateContent>
        <mc:Choice Requires="wps">
          <w:drawing>
            <wp:anchor distT="0" distB="0" distL="0" distR="0" simplePos="0" relativeHeight="251658243" behindDoc="0" locked="1" layoutInCell="1" allowOverlap="1" wp14:anchorId="26C2A62D" wp14:editId="26C2A62E">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6C2A65C" w14:textId="77777777" w:rsidR="00A8191D" w:rsidRDefault="00A8191D"/>
                      </w:txbxContent>
                    </wps:txbx>
                    <wps:bodyPr vert="horz" wrap="square" lIns="0" tIns="0" rIns="0" bIns="0" anchor="t" anchorCtr="0"/>
                  </wps:wsp>
                </a:graphicData>
              </a:graphic>
            </wp:anchor>
          </w:drawing>
        </mc:Choice>
        <mc:Fallback>
          <w:pict>
            <v:shapetype w14:anchorId="26C2A62D"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6C2A65C" w14:textId="77777777" w:rsidR="00A8191D" w:rsidRDefault="00A8191D"/>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6C2A62F" wp14:editId="26C2A630">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9A538F5" w14:textId="77777777" w:rsidR="00901628" w:rsidRPr="00CF7C5C" w:rsidRDefault="00901628" w:rsidP="00901628">
                          <w:r>
                            <w:t>Aan de Voorzitter van de</w:t>
                          </w:r>
                          <w:r>
                            <w:br/>
                            <w:t>Tweede Kamer der Staten-Generaal</w:t>
                          </w:r>
                          <w:r>
                            <w:br/>
                            <w:t>Prinses Irenestraat 6</w:t>
                          </w:r>
                          <w:r>
                            <w:br/>
                            <w:t>Den Haag</w:t>
                          </w:r>
                        </w:p>
                        <w:p w14:paraId="26C2A63D" w14:textId="74C3E140" w:rsidR="00CD4242" w:rsidRDefault="00CD4242">
                          <w:pPr>
                            <w:pStyle w:val="Rubricering"/>
                          </w:pPr>
                        </w:p>
                      </w:txbxContent>
                    </wps:txbx>
                    <wps:bodyPr vert="horz" wrap="square" lIns="0" tIns="0" rIns="0" bIns="0" anchor="t" anchorCtr="0"/>
                  </wps:wsp>
                </a:graphicData>
              </a:graphic>
            </wp:anchor>
          </w:drawing>
        </mc:Choice>
        <mc:Fallback>
          <w:pict>
            <v:shape w14:anchorId="26C2A62F"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9A538F5" w14:textId="77777777" w:rsidR="00901628" w:rsidRPr="00CF7C5C" w:rsidRDefault="00901628" w:rsidP="00901628">
                    <w:r>
                      <w:t>Aan de Voorzitter van de</w:t>
                    </w:r>
                    <w:r>
                      <w:br/>
                      <w:t>Tweede Kamer der Staten-Generaal</w:t>
                    </w:r>
                    <w:r>
                      <w:br/>
                      <w:t>Prinses Irenestraat 6</w:t>
                    </w:r>
                    <w:r>
                      <w:br/>
                      <w:t>Den Haag</w:t>
                    </w:r>
                  </w:p>
                  <w:p w14:paraId="26C2A63D" w14:textId="74C3E140" w:rsidR="00CD4242" w:rsidRDefault="00CD4242">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6C2A631" wp14:editId="26C2A632">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D09EF01" w14:textId="44504B58" w:rsidR="00901628" w:rsidRDefault="00901628" w:rsidP="00901628">
                          <w:r>
                            <w:t>Datum</w:t>
                          </w:r>
                          <w:r>
                            <w:tab/>
                          </w:r>
                          <w:r w:rsidR="004A63C4">
                            <w:t>30</w:t>
                          </w:r>
                          <w:r>
                            <w:t xml:space="preserve"> mei 2025</w:t>
                          </w:r>
                        </w:p>
                        <w:p w14:paraId="3D27A4EE" w14:textId="4742F168" w:rsidR="00901628" w:rsidRDefault="00901628" w:rsidP="00901628">
                          <w:r>
                            <w:t>Betreft Beantwoording vragen van de leden Hirsch, Piri (GL-PvdA) en Dobbe (SP) over geweld tegen hulpverleners</w:t>
                          </w:r>
                        </w:p>
                        <w:p w14:paraId="26C2A646" w14:textId="77777777" w:rsidR="00CD4242" w:rsidRDefault="00CD4242"/>
                      </w:txbxContent>
                    </wps:txbx>
                    <wps:bodyPr vert="horz" wrap="square" lIns="0" tIns="0" rIns="0" bIns="0" anchor="t" anchorCtr="0"/>
                  </wps:wsp>
                </a:graphicData>
              </a:graphic>
            </wp:anchor>
          </w:drawing>
        </mc:Choice>
        <mc:Fallback>
          <w:pict>
            <v:shape w14:anchorId="26C2A631"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D09EF01" w14:textId="44504B58" w:rsidR="00901628" w:rsidRDefault="00901628" w:rsidP="00901628">
                    <w:r>
                      <w:t>Datum</w:t>
                    </w:r>
                    <w:r>
                      <w:tab/>
                    </w:r>
                    <w:r w:rsidR="004A63C4">
                      <w:t>30</w:t>
                    </w:r>
                    <w:r>
                      <w:t xml:space="preserve"> mei 2025</w:t>
                    </w:r>
                  </w:p>
                  <w:p w14:paraId="3D27A4EE" w14:textId="4742F168" w:rsidR="00901628" w:rsidRDefault="00901628" w:rsidP="00901628">
                    <w:r>
                      <w:t>Betreft Beantwoording vragen van de leden Hirsch, Piri (GL-PvdA) en Dobbe (SP) over geweld tegen hulpverleners</w:t>
                    </w:r>
                  </w:p>
                  <w:p w14:paraId="26C2A646" w14:textId="77777777" w:rsidR="00CD4242" w:rsidRDefault="00CD424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6C2A633" wp14:editId="0F155B9B">
              <wp:simplePos x="0" y="0"/>
              <wp:positionH relativeFrom="page">
                <wp:posOffset>5924550</wp:posOffset>
              </wp:positionH>
              <wp:positionV relativeFrom="page">
                <wp:posOffset>1968500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BF2C655" w14:textId="77777777" w:rsidR="00901628" w:rsidRPr="00F51C07" w:rsidRDefault="00901628" w:rsidP="00901628">
                              <w:pPr>
                                <w:rPr>
                                  <w:b/>
                                  <w:sz w:val="13"/>
                                  <w:szCs w:val="13"/>
                                </w:rPr>
                              </w:pPr>
                              <w:r w:rsidRPr="00FC13FA">
                                <w:rPr>
                                  <w:b/>
                                  <w:sz w:val="13"/>
                                  <w:szCs w:val="13"/>
                                </w:rPr>
                                <w:t>Ministerie van Buitenlandse Zaken</w:t>
                              </w:r>
                            </w:p>
                          </w:sdtContent>
                        </w:sdt>
                        <w:p w14:paraId="4BAF7A61" w14:textId="77777777" w:rsidR="00901628" w:rsidRPr="00EE5E5D" w:rsidRDefault="00901628" w:rsidP="00901628">
                          <w:pPr>
                            <w:rPr>
                              <w:sz w:val="13"/>
                              <w:szCs w:val="13"/>
                            </w:rPr>
                          </w:pPr>
                          <w:r>
                            <w:rPr>
                              <w:sz w:val="13"/>
                              <w:szCs w:val="13"/>
                            </w:rPr>
                            <w:t>Rijnstraat 8</w:t>
                          </w:r>
                        </w:p>
                        <w:p w14:paraId="25F6AA5D" w14:textId="77777777" w:rsidR="00901628" w:rsidRPr="0059764A" w:rsidRDefault="00901628" w:rsidP="00901628">
                          <w:pPr>
                            <w:rPr>
                              <w:sz w:val="13"/>
                              <w:szCs w:val="13"/>
                              <w:lang w:val="da-DK"/>
                            </w:rPr>
                          </w:pPr>
                          <w:r w:rsidRPr="0059764A">
                            <w:rPr>
                              <w:sz w:val="13"/>
                              <w:szCs w:val="13"/>
                              <w:lang w:val="da-DK"/>
                            </w:rPr>
                            <w:t>2515 XP Den Haag</w:t>
                          </w:r>
                        </w:p>
                        <w:p w14:paraId="02F2846F" w14:textId="77777777" w:rsidR="00901628" w:rsidRPr="0059764A" w:rsidRDefault="00901628" w:rsidP="00901628">
                          <w:pPr>
                            <w:rPr>
                              <w:sz w:val="13"/>
                              <w:szCs w:val="13"/>
                              <w:lang w:val="da-DK"/>
                            </w:rPr>
                          </w:pPr>
                          <w:r w:rsidRPr="0059764A">
                            <w:rPr>
                              <w:sz w:val="13"/>
                              <w:szCs w:val="13"/>
                              <w:lang w:val="da-DK"/>
                            </w:rPr>
                            <w:t>Postbus 20061</w:t>
                          </w:r>
                        </w:p>
                        <w:p w14:paraId="2CCF5737" w14:textId="77777777" w:rsidR="00901628" w:rsidRPr="0059764A" w:rsidRDefault="00901628" w:rsidP="00901628">
                          <w:pPr>
                            <w:rPr>
                              <w:sz w:val="13"/>
                              <w:szCs w:val="13"/>
                              <w:lang w:val="da-DK"/>
                            </w:rPr>
                          </w:pPr>
                          <w:r w:rsidRPr="0059764A">
                            <w:rPr>
                              <w:sz w:val="13"/>
                              <w:szCs w:val="13"/>
                              <w:lang w:val="da-DK"/>
                            </w:rPr>
                            <w:t>Nederland</w:t>
                          </w:r>
                        </w:p>
                        <w:p w14:paraId="29519800" w14:textId="77777777" w:rsidR="00901628" w:rsidRPr="0059764A" w:rsidRDefault="00901628" w:rsidP="00901628">
                          <w:pPr>
                            <w:rPr>
                              <w:sz w:val="13"/>
                              <w:szCs w:val="13"/>
                              <w:lang w:val="da-DK"/>
                            </w:rPr>
                          </w:pPr>
                          <w:r w:rsidRPr="0059764A">
                            <w:rPr>
                              <w:sz w:val="13"/>
                              <w:szCs w:val="13"/>
                              <w:lang w:val="da-DK"/>
                            </w:rPr>
                            <w:t>www.rijksoverheid.nl</w:t>
                          </w:r>
                        </w:p>
                        <w:p w14:paraId="26C2A64B" w14:textId="77777777" w:rsidR="00CD4242" w:rsidRPr="00901628" w:rsidRDefault="00CD4242">
                          <w:pPr>
                            <w:pStyle w:val="WitregelW2"/>
                            <w:rPr>
                              <w:lang w:val="da-DK"/>
                            </w:rPr>
                          </w:pPr>
                        </w:p>
                        <w:p w14:paraId="26C2A64C" w14:textId="77777777" w:rsidR="00CD4242" w:rsidRDefault="00A8191D">
                          <w:pPr>
                            <w:pStyle w:val="Referentiegegevensbold"/>
                          </w:pPr>
                          <w:r>
                            <w:t>Onze referentie</w:t>
                          </w:r>
                        </w:p>
                        <w:p w14:paraId="26C2A64D" w14:textId="77777777" w:rsidR="00CD4242" w:rsidRDefault="00A8191D">
                          <w:pPr>
                            <w:pStyle w:val="Referentiegegevens"/>
                          </w:pPr>
                          <w:r>
                            <w:t>BZ2515411</w:t>
                          </w:r>
                        </w:p>
                        <w:p w14:paraId="26C2A64E" w14:textId="77777777" w:rsidR="00CD4242" w:rsidRDefault="00CD4242">
                          <w:pPr>
                            <w:pStyle w:val="WitregelW1"/>
                          </w:pPr>
                        </w:p>
                        <w:p w14:paraId="26C2A64F" w14:textId="77777777" w:rsidR="00CD4242" w:rsidRDefault="00A8191D">
                          <w:pPr>
                            <w:pStyle w:val="Referentiegegevensbold"/>
                          </w:pPr>
                          <w:r>
                            <w:t>Uw referentie</w:t>
                          </w:r>
                        </w:p>
                        <w:p w14:paraId="26C2A650" w14:textId="77777777" w:rsidR="00CD4242" w:rsidRDefault="00A8191D">
                          <w:pPr>
                            <w:pStyle w:val="Referentiegegevens"/>
                          </w:pPr>
                          <w:r>
                            <w:t>2025Z07782</w:t>
                          </w:r>
                        </w:p>
                        <w:p w14:paraId="26C2A651" w14:textId="77777777" w:rsidR="00CD4242" w:rsidRDefault="00CD4242">
                          <w:pPr>
                            <w:pStyle w:val="WitregelW1"/>
                          </w:pPr>
                        </w:p>
                        <w:p w14:paraId="26C2A652" w14:textId="77777777" w:rsidR="00CD4242" w:rsidRDefault="00A8191D">
                          <w:pPr>
                            <w:pStyle w:val="Referentiegegevensbold"/>
                          </w:pPr>
                          <w:r>
                            <w:t>Bijlage(n)</w:t>
                          </w:r>
                        </w:p>
                        <w:p w14:paraId="26C2A653" w14:textId="77777777" w:rsidR="00CD4242" w:rsidRDefault="00A8191D">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6C2A633" id="41b10cd4-80a4-11ea-b356-6230a4311406" o:spid="_x0000_s1031" type="#_x0000_t202" style="position:absolute;margin-left:466.5pt;margin-top:15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BF2C655" w14:textId="77777777" w:rsidR="00901628" w:rsidRPr="00F51C07" w:rsidRDefault="00901628" w:rsidP="00901628">
                        <w:pPr>
                          <w:rPr>
                            <w:b/>
                            <w:sz w:val="13"/>
                            <w:szCs w:val="13"/>
                          </w:rPr>
                        </w:pPr>
                        <w:r w:rsidRPr="00FC13FA">
                          <w:rPr>
                            <w:b/>
                            <w:sz w:val="13"/>
                            <w:szCs w:val="13"/>
                          </w:rPr>
                          <w:t>Ministerie van Buitenlandse Zaken</w:t>
                        </w:r>
                      </w:p>
                    </w:sdtContent>
                  </w:sdt>
                  <w:p w14:paraId="4BAF7A61" w14:textId="77777777" w:rsidR="00901628" w:rsidRPr="00EE5E5D" w:rsidRDefault="00901628" w:rsidP="00901628">
                    <w:pPr>
                      <w:rPr>
                        <w:sz w:val="13"/>
                        <w:szCs w:val="13"/>
                      </w:rPr>
                    </w:pPr>
                    <w:r>
                      <w:rPr>
                        <w:sz w:val="13"/>
                        <w:szCs w:val="13"/>
                      </w:rPr>
                      <w:t>Rijnstraat 8</w:t>
                    </w:r>
                  </w:p>
                  <w:p w14:paraId="25F6AA5D" w14:textId="77777777" w:rsidR="00901628" w:rsidRPr="0059764A" w:rsidRDefault="00901628" w:rsidP="00901628">
                    <w:pPr>
                      <w:rPr>
                        <w:sz w:val="13"/>
                        <w:szCs w:val="13"/>
                        <w:lang w:val="da-DK"/>
                      </w:rPr>
                    </w:pPr>
                    <w:r w:rsidRPr="0059764A">
                      <w:rPr>
                        <w:sz w:val="13"/>
                        <w:szCs w:val="13"/>
                        <w:lang w:val="da-DK"/>
                      </w:rPr>
                      <w:t>2515 XP Den Haag</w:t>
                    </w:r>
                  </w:p>
                  <w:p w14:paraId="02F2846F" w14:textId="77777777" w:rsidR="00901628" w:rsidRPr="0059764A" w:rsidRDefault="00901628" w:rsidP="00901628">
                    <w:pPr>
                      <w:rPr>
                        <w:sz w:val="13"/>
                        <w:szCs w:val="13"/>
                        <w:lang w:val="da-DK"/>
                      </w:rPr>
                    </w:pPr>
                    <w:r w:rsidRPr="0059764A">
                      <w:rPr>
                        <w:sz w:val="13"/>
                        <w:szCs w:val="13"/>
                        <w:lang w:val="da-DK"/>
                      </w:rPr>
                      <w:t>Postbus 20061</w:t>
                    </w:r>
                  </w:p>
                  <w:p w14:paraId="2CCF5737" w14:textId="77777777" w:rsidR="00901628" w:rsidRPr="0059764A" w:rsidRDefault="00901628" w:rsidP="00901628">
                    <w:pPr>
                      <w:rPr>
                        <w:sz w:val="13"/>
                        <w:szCs w:val="13"/>
                        <w:lang w:val="da-DK"/>
                      </w:rPr>
                    </w:pPr>
                    <w:r w:rsidRPr="0059764A">
                      <w:rPr>
                        <w:sz w:val="13"/>
                        <w:szCs w:val="13"/>
                        <w:lang w:val="da-DK"/>
                      </w:rPr>
                      <w:t>Nederland</w:t>
                    </w:r>
                  </w:p>
                  <w:p w14:paraId="29519800" w14:textId="77777777" w:rsidR="00901628" w:rsidRPr="0059764A" w:rsidRDefault="00901628" w:rsidP="00901628">
                    <w:pPr>
                      <w:rPr>
                        <w:sz w:val="13"/>
                        <w:szCs w:val="13"/>
                        <w:lang w:val="da-DK"/>
                      </w:rPr>
                    </w:pPr>
                    <w:r w:rsidRPr="0059764A">
                      <w:rPr>
                        <w:sz w:val="13"/>
                        <w:szCs w:val="13"/>
                        <w:lang w:val="da-DK"/>
                      </w:rPr>
                      <w:t>www.rijksoverheid.nl</w:t>
                    </w:r>
                  </w:p>
                  <w:p w14:paraId="26C2A64B" w14:textId="77777777" w:rsidR="00CD4242" w:rsidRPr="00901628" w:rsidRDefault="00CD4242">
                    <w:pPr>
                      <w:pStyle w:val="WitregelW2"/>
                      <w:rPr>
                        <w:lang w:val="da-DK"/>
                      </w:rPr>
                    </w:pPr>
                  </w:p>
                  <w:p w14:paraId="26C2A64C" w14:textId="77777777" w:rsidR="00CD4242" w:rsidRDefault="00A8191D">
                    <w:pPr>
                      <w:pStyle w:val="Referentiegegevensbold"/>
                    </w:pPr>
                    <w:r>
                      <w:t>Onze referentie</w:t>
                    </w:r>
                  </w:p>
                  <w:p w14:paraId="26C2A64D" w14:textId="77777777" w:rsidR="00CD4242" w:rsidRDefault="00A8191D">
                    <w:pPr>
                      <w:pStyle w:val="Referentiegegevens"/>
                    </w:pPr>
                    <w:r>
                      <w:t>BZ2515411</w:t>
                    </w:r>
                  </w:p>
                  <w:p w14:paraId="26C2A64E" w14:textId="77777777" w:rsidR="00CD4242" w:rsidRDefault="00CD4242">
                    <w:pPr>
                      <w:pStyle w:val="WitregelW1"/>
                    </w:pPr>
                  </w:p>
                  <w:p w14:paraId="26C2A64F" w14:textId="77777777" w:rsidR="00CD4242" w:rsidRDefault="00A8191D">
                    <w:pPr>
                      <w:pStyle w:val="Referentiegegevensbold"/>
                    </w:pPr>
                    <w:r>
                      <w:t>Uw referentie</w:t>
                    </w:r>
                  </w:p>
                  <w:p w14:paraId="26C2A650" w14:textId="77777777" w:rsidR="00CD4242" w:rsidRDefault="00A8191D">
                    <w:pPr>
                      <w:pStyle w:val="Referentiegegevens"/>
                    </w:pPr>
                    <w:r>
                      <w:t>2025Z07782</w:t>
                    </w:r>
                  </w:p>
                  <w:p w14:paraId="26C2A651" w14:textId="77777777" w:rsidR="00CD4242" w:rsidRDefault="00CD4242">
                    <w:pPr>
                      <w:pStyle w:val="WitregelW1"/>
                    </w:pPr>
                  </w:p>
                  <w:p w14:paraId="26C2A652" w14:textId="77777777" w:rsidR="00CD4242" w:rsidRDefault="00A8191D">
                    <w:pPr>
                      <w:pStyle w:val="Referentiegegevensbold"/>
                    </w:pPr>
                    <w:r>
                      <w:t>Bijlage(n)</w:t>
                    </w:r>
                  </w:p>
                  <w:p w14:paraId="26C2A653" w14:textId="77777777" w:rsidR="00CD4242" w:rsidRDefault="00A8191D">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6C2A637" wp14:editId="6706EA8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C2A662" w14:textId="77777777" w:rsidR="00A8191D" w:rsidRDefault="00A8191D"/>
                      </w:txbxContent>
                    </wps:txbx>
                    <wps:bodyPr vert="horz" wrap="square" lIns="0" tIns="0" rIns="0" bIns="0" anchor="t" anchorCtr="0"/>
                  </wps:wsp>
                </a:graphicData>
              </a:graphic>
            </wp:anchor>
          </w:drawing>
        </mc:Choice>
        <mc:Fallback>
          <w:pict>
            <v:shape w14:anchorId="26C2A637"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6C2A662" w14:textId="77777777" w:rsidR="00A8191D" w:rsidRDefault="00A8191D"/>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C2A639" wp14:editId="26C2A63A">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C2A664" w14:textId="77777777" w:rsidR="00A8191D" w:rsidRDefault="00A8191D"/>
                      </w:txbxContent>
                    </wps:txbx>
                    <wps:bodyPr vert="horz" wrap="square" lIns="0" tIns="0" rIns="0" bIns="0" anchor="t" anchorCtr="0"/>
                  </wps:wsp>
                </a:graphicData>
              </a:graphic>
            </wp:anchor>
          </w:drawing>
        </mc:Choice>
        <mc:Fallback>
          <w:pict>
            <v:shape w14:anchorId="26C2A639"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6C2A664" w14:textId="77777777" w:rsidR="00A8191D" w:rsidRDefault="00A8191D"/>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6C2A63B" wp14:editId="26C2A63C">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C2A655" w14:textId="77777777" w:rsidR="00CD4242" w:rsidRDefault="00A8191D">
                          <w:pPr>
                            <w:spacing w:line="240" w:lineRule="auto"/>
                          </w:pPr>
                          <w:r>
                            <w:rPr>
                              <w:noProof/>
                            </w:rPr>
                            <w:drawing>
                              <wp:inline distT="0" distB="0" distL="0" distR="0" wp14:anchorId="26C2A65C" wp14:editId="26C2A6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C2A63B"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6C2A655" w14:textId="77777777" w:rsidR="00CD4242" w:rsidRDefault="00A8191D">
                    <w:pPr>
                      <w:spacing w:line="240" w:lineRule="auto"/>
                    </w:pPr>
                    <w:r>
                      <w:rPr>
                        <w:noProof/>
                      </w:rPr>
                      <w:drawing>
                        <wp:inline distT="0" distB="0" distL="0" distR="0" wp14:anchorId="26C2A65C" wp14:editId="26C2A65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966A20"/>
    <w:multiLevelType w:val="multilevel"/>
    <w:tmpl w:val="CA85F58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78EB52E"/>
    <w:multiLevelType w:val="multilevel"/>
    <w:tmpl w:val="3D902C3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370A29F5"/>
    <w:multiLevelType w:val="hybridMultilevel"/>
    <w:tmpl w:val="2BF48716"/>
    <w:lvl w:ilvl="0" w:tplc="04130001">
      <w:start w:val="1"/>
      <w:numFmt w:val="bullet"/>
      <w:lvlText w:val=""/>
      <w:lvlJc w:val="left"/>
      <w:pPr>
        <w:ind w:left="360" w:hanging="360"/>
      </w:pPr>
      <w:rPr>
        <w:rFonts w:ascii="Symbol" w:hAnsi="Symbol" w:hint="default"/>
      </w:rPr>
    </w:lvl>
    <w:lvl w:ilvl="1" w:tplc="DAA0EF58">
      <w:start w:val="1"/>
      <w:numFmt w:val="bullet"/>
      <w:lvlText w:val=""/>
      <w:lvlJc w:val="left"/>
      <w:pPr>
        <w:ind w:left="1080" w:hanging="360"/>
      </w:pPr>
      <w:rPr>
        <w:rFonts w:ascii="Symbol" w:hAnsi="Symbol"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3B8B6696"/>
    <w:multiLevelType w:val="multilevel"/>
    <w:tmpl w:val="F8196E3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60F45A8"/>
    <w:multiLevelType w:val="multilevel"/>
    <w:tmpl w:val="E3FB4D2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59E2A0D"/>
    <w:multiLevelType w:val="hybridMultilevel"/>
    <w:tmpl w:val="D6727FF8"/>
    <w:lvl w:ilvl="0" w:tplc="D0387E04">
      <w:start w:val="1"/>
      <w:numFmt w:val="bullet"/>
      <w:lvlText w:val=""/>
      <w:lvlJc w:val="left"/>
      <w:pPr>
        <w:ind w:left="1440" w:hanging="360"/>
      </w:pPr>
      <w:rPr>
        <w:rFonts w:ascii="Symbol" w:hAnsi="Symbol"/>
      </w:rPr>
    </w:lvl>
    <w:lvl w:ilvl="1" w:tplc="00946C2E">
      <w:start w:val="1"/>
      <w:numFmt w:val="bullet"/>
      <w:lvlText w:val=""/>
      <w:lvlJc w:val="left"/>
      <w:pPr>
        <w:ind w:left="1440" w:hanging="360"/>
      </w:pPr>
      <w:rPr>
        <w:rFonts w:ascii="Symbol" w:hAnsi="Symbol"/>
      </w:rPr>
    </w:lvl>
    <w:lvl w:ilvl="2" w:tplc="A4C0DE86">
      <w:start w:val="1"/>
      <w:numFmt w:val="bullet"/>
      <w:lvlText w:val=""/>
      <w:lvlJc w:val="left"/>
      <w:pPr>
        <w:ind w:left="1440" w:hanging="360"/>
      </w:pPr>
      <w:rPr>
        <w:rFonts w:ascii="Symbol" w:hAnsi="Symbol"/>
      </w:rPr>
    </w:lvl>
    <w:lvl w:ilvl="3" w:tplc="46B4B322">
      <w:start w:val="1"/>
      <w:numFmt w:val="bullet"/>
      <w:lvlText w:val=""/>
      <w:lvlJc w:val="left"/>
      <w:pPr>
        <w:ind w:left="1440" w:hanging="360"/>
      </w:pPr>
      <w:rPr>
        <w:rFonts w:ascii="Symbol" w:hAnsi="Symbol"/>
      </w:rPr>
    </w:lvl>
    <w:lvl w:ilvl="4" w:tplc="AC1EB00E">
      <w:start w:val="1"/>
      <w:numFmt w:val="bullet"/>
      <w:lvlText w:val=""/>
      <w:lvlJc w:val="left"/>
      <w:pPr>
        <w:ind w:left="1440" w:hanging="360"/>
      </w:pPr>
      <w:rPr>
        <w:rFonts w:ascii="Symbol" w:hAnsi="Symbol"/>
      </w:rPr>
    </w:lvl>
    <w:lvl w:ilvl="5" w:tplc="85464B72">
      <w:start w:val="1"/>
      <w:numFmt w:val="bullet"/>
      <w:lvlText w:val=""/>
      <w:lvlJc w:val="left"/>
      <w:pPr>
        <w:ind w:left="1440" w:hanging="360"/>
      </w:pPr>
      <w:rPr>
        <w:rFonts w:ascii="Symbol" w:hAnsi="Symbol"/>
      </w:rPr>
    </w:lvl>
    <w:lvl w:ilvl="6" w:tplc="AFFE4590">
      <w:start w:val="1"/>
      <w:numFmt w:val="bullet"/>
      <w:lvlText w:val=""/>
      <w:lvlJc w:val="left"/>
      <w:pPr>
        <w:ind w:left="1440" w:hanging="360"/>
      </w:pPr>
      <w:rPr>
        <w:rFonts w:ascii="Symbol" w:hAnsi="Symbol"/>
      </w:rPr>
    </w:lvl>
    <w:lvl w:ilvl="7" w:tplc="11766394">
      <w:start w:val="1"/>
      <w:numFmt w:val="bullet"/>
      <w:lvlText w:val=""/>
      <w:lvlJc w:val="left"/>
      <w:pPr>
        <w:ind w:left="1440" w:hanging="360"/>
      </w:pPr>
      <w:rPr>
        <w:rFonts w:ascii="Symbol" w:hAnsi="Symbol"/>
      </w:rPr>
    </w:lvl>
    <w:lvl w:ilvl="8" w:tplc="B82E2DA0">
      <w:start w:val="1"/>
      <w:numFmt w:val="bullet"/>
      <w:lvlText w:val=""/>
      <w:lvlJc w:val="left"/>
      <w:pPr>
        <w:ind w:left="1440" w:hanging="360"/>
      </w:pPr>
      <w:rPr>
        <w:rFonts w:ascii="Symbol" w:hAnsi="Symbol"/>
      </w:rPr>
    </w:lvl>
  </w:abstractNum>
  <w:abstractNum w:abstractNumId="6" w15:restartNumberingAfterBreak="0">
    <w:nsid w:val="68266574"/>
    <w:multiLevelType w:val="multilevel"/>
    <w:tmpl w:val="79309B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58526416">
    <w:abstractNumId w:val="1"/>
  </w:num>
  <w:num w:numId="2" w16cid:durableId="997270928">
    <w:abstractNumId w:val="3"/>
  </w:num>
  <w:num w:numId="3" w16cid:durableId="2106268216">
    <w:abstractNumId w:val="6"/>
  </w:num>
  <w:num w:numId="4" w16cid:durableId="1755936022">
    <w:abstractNumId w:val="4"/>
  </w:num>
  <w:num w:numId="5" w16cid:durableId="881483596">
    <w:abstractNumId w:val="0"/>
  </w:num>
  <w:num w:numId="6" w16cid:durableId="1554461603">
    <w:abstractNumId w:val="5"/>
  </w:num>
  <w:num w:numId="7" w16cid:durableId="374931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42"/>
    <w:rsid w:val="00002DF8"/>
    <w:rsid w:val="00047C57"/>
    <w:rsid w:val="000517C0"/>
    <w:rsid w:val="00056640"/>
    <w:rsid w:val="00081B9C"/>
    <w:rsid w:val="0008549C"/>
    <w:rsid w:val="000A0705"/>
    <w:rsid w:val="000A7391"/>
    <w:rsid w:val="000E1906"/>
    <w:rsid w:val="000E1B04"/>
    <w:rsid w:val="000E4678"/>
    <w:rsid w:val="000E4C78"/>
    <w:rsid w:val="000F5F25"/>
    <w:rsid w:val="001141CF"/>
    <w:rsid w:val="0013387A"/>
    <w:rsid w:val="00195208"/>
    <w:rsid w:val="001C5530"/>
    <w:rsid w:val="001C673E"/>
    <w:rsid w:val="0024720B"/>
    <w:rsid w:val="002723D5"/>
    <w:rsid w:val="00275939"/>
    <w:rsid w:val="002865EF"/>
    <w:rsid w:val="002947F0"/>
    <w:rsid w:val="002A4289"/>
    <w:rsid w:val="00305EBD"/>
    <w:rsid w:val="0031303D"/>
    <w:rsid w:val="00323168"/>
    <w:rsid w:val="003323DE"/>
    <w:rsid w:val="00392241"/>
    <w:rsid w:val="003952E0"/>
    <w:rsid w:val="003C3EF2"/>
    <w:rsid w:val="00422C01"/>
    <w:rsid w:val="00423CEC"/>
    <w:rsid w:val="00425124"/>
    <w:rsid w:val="004340D5"/>
    <w:rsid w:val="00436761"/>
    <w:rsid w:val="00436AE3"/>
    <w:rsid w:val="0045747F"/>
    <w:rsid w:val="00476796"/>
    <w:rsid w:val="004A63C4"/>
    <w:rsid w:val="004B6E1A"/>
    <w:rsid w:val="004D15C7"/>
    <w:rsid w:val="004D5181"/>
    <w:rsid w:val="004E1236"/>
    <w:rsid w:val="004E34D8"/>
    <w:rsid w:val="005423DE"/>
    <w:rsid w:val="0054391B"/>
    <w:rsid w:val="005473B6"/>
    <w:rsid w:val="00552D64"/>
    <w:rsid w:val="00564EA4"/>
    <w:rsid w:val="00585E4E"/>
    <w:rsid w:val="005C77F0"/>
    <w:rsid w:val="005D3700"/>
    <w:rsid w:val="005E313B"/>
    <w:rsid w:val="00602F3B"/>
    <w:rsid w:val="00603419"/>
    <w:rsid w:val="0061657E"/>
    <w:rsid w:val="00656859"/>
    <w:rsid w:val="0066583C"/>
    <w:rsid w:val="00684B34"/>
    <w:rsid w:val="006908BE"/>
    <w:rsid w:val="006C32E4"/>
    <w:rsid w:val="006D58E4"/>
    <w:rsid w:val="006F42DA"/>
    <w:rsid w:val="007031C6"/>
    <w:rsid w:val="00725850"/>
    <w:rsid w:val="0074495A"/>
    <w:rsid w:val="007530D7"/>
    <w:rsid w:val="007611F8"/>
    <w:rsid w:val="007648BE"/>
    <w:rsid w:val="007859F2"/>
    <w:rsid w:val="007936B1"/>
    <w:rsid w:val="007A6C31"/>
    <w:rsid w:val="007B015B"/>
    <w:rsid w:val="007B1DDD"/>
    <w:rsid w:val="007F3E99"/>
    <w:rsid w:val="007F71E8"/>
    <w:rsid w:val="00805236"/>
    <w:rsid w:val="00852CE1"/>
    <w:rsid w:val="008611EE"/>
    <w:rsid w:val="00865C05"/>
    <w:rsid w:val="00867ABD"/>
    <w:rsid w:val="00874BAA"/>
    <w:rsid w:val="008A43C7"/>
    <w:rsid w:val="008A5B75"/>
    <w:rsid w:val="008D096B"/>
    <w:rsid w:val="008E0B49"/>
    <w:rsid w:val="00901628"/>
    <w:rsid w:val="009278EE"/>
    <w:rsid w:val="009418FE"/>
    <w:rsid w:val="009628A6"/>
    <w:rsid w:val="009828D3"/>
    <w:rsid w:val="009E1113"/>
    <w:rsid w:val="00A03977"/>
    <w:rsid w:val="00A12264"/>
    <w:rsid w:val="00A55013"/>
    <w:rsid w:val="00A61358"/>
    <w:rsid w:val="00A722F8"/>
    <w:rsid w:val="00A8191D"/>
    <w:rsid w:val="00A83EEC"/>
    <w:rsid w:val="00AA0CD0"/>
    <w:rsid w:val="00AA31CE"/>
    <w:rsid w:val="00AA6D06"/>
    <w:rsid w:val="00B43B7C"/>
    <w:rsid w:val="00B57EA5"/>
    <w:rsid w:val="00B84886"/>
    <w:rsid w:val="00B91728"/>
    <w:rsid w:val="00BF57E2"/>
    <w:rsid w:val="00BF585C"/>
    <w:rsid w:val="00C17198"/>
    <w:rsid w:val="00C41E70"/>
    <w:rsid w:val="00C61F42"/>
    <w:rsid w:val="00C75741"/>
    <w:rsid w:val="00C9660B"/>
    <w:rsid w:val="00CA7A24"/>
    <w:rsid w:val="00CD0FFA"/>
    <w:rsid w:val="00CD4242"/>
    <w:rsid w:val="00CF1A0E"/>
    <w:rsid w:val="00CF3F60"/>
    <w:rsid w:val="00D54BE4"/>
    <w:rsid w:val="00D669B1"/>
    <w:rsid w:val="00D863B8"/>
    <w:rsid w:val="00D94C54"/>
    <w:rsid w:val="00DA68C0"/>
    <w:rsid w:val="00E13DA7"/>
    <w:rsid w:val="00E90B2F"/>
    <w:rsid w:val="00E92CD4"/>
    <w:rsid w:val="00EA011B"/>
    <w:rsid w:val="00EB7B4A"/>
    <w:rsid w:val="00EE0CD8"/>
    <w:rsid w:val="00F268A1"/>
    <w:rsid w:val="00F40071"/>
    <w:rsid w:val="00F42023"/>
    <w:rsid w:val="00F66103"/>
    <w:rsid w:val="00F73D52"/>
    <w:rsid w:val="00FE6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2A5FB"/>
  <w15:docId w15:val="{3F9AECEC-678C-46E6-9140-062852CD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unhideWhenUsed/>
    <w:rsid w:val="00A722F8"/>
    <w:pPr>
      <w:spacing w:line="240" w:lineRule="auto"/>
    </w:pPr>
    <w:rPr>
      <w:sz w:val="20"/>
      <w:szCs w:val="20"/>
    </w:rPr>
  </w:style>
  <w:style w:type="character" w:customStyle="1" w:styleId="FootnoteTextChar">
    <w:name w:val="Footnote Text Char"/>
    <w:basedOn w:val="DefaultParagraphFont"/>
    <w:link w:val="FootnoteText"/>
    <w:uiPriority w:val="99"/>
    <w:rsid w:val="00A722F8"/>
    <w:rPr>
      <w:rFonts w:ascii="Verdana" w:hAnsi="Verdana"/>
      <w:color w:val="000000"/>
    </w:rPr>
  </w:style>
  <w:style w:type="character" w:styleId="FootnoteReference">
    <w:name w:val="footnote reference"/>
    <w:basedOn w:val="DefaultParagraphFont"/>
    <w:uiPriority w:val="99"/>
    <w:semiHidden/>
    <w:unhideWhenUsed/>
    <w:rsid w:val="00A722F8"/>
    <w:rPr>
      <w:vertAlign w:val="superscript"/>
    </w:rPr>
  </w:style>
  <w:style w:type="character" w:styleId="CommentReference">
    <w:name w:val="annotation reference"/>
    <w:basedOn w:val="DefaultParagraphFont"/>
    <w:uiPriority w:val="99"/>
    <w:semiHidden/>
    <w:unhideWhenUsed/>
    <w:rsid w:val="00A722F8"/>
    <w:rPr>
      <w:sz w:val="16"/>
      <w:szCs w:val="16"/>
    </w:rPr>
  </w:style>
  <w:style w:type="paragraph" w:styleId="CommentText">
    <w:name w:val="annotation text"/>
    <w:basedOn w:val="Normal"/>
    <w:link w:val="CommentTextChar"/>
    <w:uiPriority w:val="99"/>
    <w:unhideWhenUsed/>
    <w:rsid w:val="00A722F8"/>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A722F8"/>
    <w:rPr>
      <w:rFonts w:asciiTheme="minorHAnsi" w:eastAsiaTheme="minorHAnsi" w:hAnsiTheme="minorHAnsi" w:cstheme="minorBidi"/>
      <w:lang w:eastAsia="en-US"/>
    </w:rPr>
  </w:style>
  <w:style w:type="paragraph" w:styleId="Revision">
    <w:name w:val="Revision"/>
    <w:hidden/>
    <w:uiPriority w:val="99"/>
    <w:semiHidden/>
    <w:rsid w:val="00A722F8"/>
    <w:pPr>
      <w:autoSpaceDN/>
      <w:textAlignment w:val="auto"/>
    </w:pPr>
    <w:rPr>
      <w:rFonts w:ascii="Verdana" w:hAnsi="Verdana"/>
      <w:color w:val="000000"/>
      <w:sz w:val="18"/>
      <w:szCs w:val="18"/>
    </w:rPr>
  </w:style>
  <w:style w:type="paragraph" w:styleId="ListParagraph">
    <w:name w:val="List Paragraph"/>
    <w:basedOn w:val="Normal"/>
    <w:uiPriority w:val="34"/>
    <w:qFormat/>
    <w:rsid w:val="00A722F8"/>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874BAA"/>
    <w:pPr>
      <w:tabs>
        <w:tab w:val="center" w:pos="4513"/>
        <w:tab w:val="right" w:pos="9026"/>
      </w:tabs>
      <w:spacing w:line="240" w:lineRule="auto"/>
    </w:pPr>
  </w:style>
  <w:style w:type="character" w:customStyle="1" w:styleId="HeaderChar">
    <w:name w:val="Header Char"/>
    <w:basedOn w:val="DefaultParagraphFont"/>
    <w:link w:val="Header"/>
    <w:uiPriority w:val="99"/>
    <w:rsid w:val="00874BAA"/>
    <w:rPr>
      <w:rFonts w:ascii="Verdana" w:hAnsi="Verdana"/>
      <w:color w:val="000000"/>
      <w:sz w:val="18"/>
      <w:szCs w:val="18"/>
    </w:rPr>
  </w:style>
  <w:style w:type="paragraph" w:styleId="Footer">
    <w:name w:val="footer"/>
    <w:basedOn w:val="Normal"/>
    <w:link w:val="FooterChar"/>
    <w:uiPriority w:val="99"/>
    <w:unhideWhenUsed/>
    <w:rsid w:val="00874BAA"/>
    <w:pPr>
      <w:tabs>
        <w:tab w:val="center" w:pos="4513"/>
        <w:tab w:val="right" w:pos="9026"/>
      </w:tabs>
      <w:spacing w:line="240" w:lineRule="auto"/>
    </w:pPr>
  </w:style>
  <w:style w:type="character" w:customStyle="1" w:styleId="FooterChar">
    <w:name w:val="Footer Char"/>
    <w:basedOn w:val="DefaultParagraphFont"/>
    <w:link w:val="Footer"/>
    <w:uiPriority w:val="99"/>
    <w:rsid w:val="00874BAA"/>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56859"/>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656859"/>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3225</ap:Words>
  <ap:Characters>17743</ap:Characters>
  <ap:DocSecurity>0</ap:DocSecurity>
  <ap:Lines>147</ap:Lines>
  <ap:Paragraphs>41</ap:Paragraphs>
  <ap:ScaleCrop>false</ap:ScaleCrop>
  <ap:HeadingPairs>
    <vt:vector baseType="variant" size="2">
      <vt:variant>
        <vt:lpstr>Title</vt:lpstr>
      </vt:variant>
      <vt:variant>
        <vt:i4>1</vt:i4>
      </vt:variant>
    </vt:vector>
  </ap:HeadingPairs>
  <ap:TitlesOfParts>
    <vt:vector baseType="lpstr" size="1">
      <vt:lpstr>Vragen aan M en R  over geweld tegen hulpverleners</vt:lpstr>
    </vt:vector>
  </ap:TitlesOfParts>
  <ap:LinksUpToDate>false</ap:LinksUpToDate>
  <ap:CharactersWithSpaces>20927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2025-05-21T09:43:00.0000000Z</lastPrinted>
  <dcterms:created xsi:type="dcterms:W3CDTF">2025-05-30T08:07:00.0000000Z</dcterms:created>
  <dcterms:modified xsi:type="dcterms:W3CDTF">2025-05-30T08:08:00.0000000Z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2d36be5b-1b00-403e-8225-0d674209f4a9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