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5DF9" w:rsidP="00E95DF9" w:rsidRDefault="00E95DF9" w14:paraId="448A01B0" w14:textId="18BC0DEA">
      <w:pPr>
        <w:pStyle w:val="Geenafstand"/>
      </w:pPr>
      <w:r>
        <w:t>AH 2342</w:t>
      </w:r>
    </w:p>
    <w:p w:rsidR="00E95DF9" w:rsidP="00E95DF9" w:rsidRDefault="00E95DF9" w14:paraId="67F44A0B" w14:textId="4F2E76A2">
      <w:pPr>
        <w:pStyle w:val="Geenafstand"/>
      </w:pPr>
      <w:r>
        <w:t>2025Z06254</w:t>
      </w:r>
    </w:p>
    <w:p w:rsidR="00E95DF9" w:rsidP="00E95DF9" w:rsidRDefault="00E95DF9" w14:paraId="73AAA543" w14:textId="77777777">
      <w:pPr>
        <w:pStyle w:val="Geenafstand"/>
      </w:pPr>
    </w:p>
    <w:p w:rsidRPr="00E95DF9" w:rsidR="00E95DF9" w:rsidP="00E95DF9" w:rsidRDefault="00E95DF9" w14:paraId="45CBB50A" w14:textId="7F2FA950">
      <w:pPr>
        <w:rPr>
          <w:rFonts w:ascii="Times New Roman" w:hAnsi="Times New Roman"/>
          <w:sz w:val="24"/>
          <w:szCs w:val="24"/>
        </w:rPr>
      </w:pPr>
      <w:r w:rsidRPr="009B5FE1">
        <w:rPr>
          <w:sz w:val="24"/>
          <w:szCs w:val="24"/>
        </w:rPr>
        <w:t>Antwoord van minister Hermans (Klimaat en Groene Groei)</w:t>
      </w:r>
      <w:r>
        <w:rPr>
          <w:sz w:val="24"/>
          <w:szCs w:val="24"/>
        </w:rPr>
        <w:t xml:space="preserve">, mede namens de </w:t>
      </w:r>
      <w:r w:rsidRPr="00D31852">
        <w:rPr>
          <w:rFonts w:ascii="Times New Roman" w:hAnsi="Times New Roman"/>
          <w:sz w:val="24"/>
          <w:szCs w:val="24"/>
        </w:rPr>
        <w:t>staatssecretaris van Financiën</w:t>
      </w:r>
      <w:r w:rsidRPr="00ED42F6">
        <w:rPr>
          <w:sz w:val="24"/>
          <w:szCs w:val="24"/>
        </w:rPr>
        <w:t xml:space="preserve"> </w:t>
      </w:r>
      <w:r w:rsidRPr="009B5FE1">
        <w:rPr>
          <w:sz w:val="24"/>
          <w:szCs w:val="24"/>
        </w:rPr>
        <w:t>(ontvangen</w:t>
      </w:r>
      <w:r>
        <w:rPr>
          <w:sz w:val="24"/>
          <w:szCs w:val="24"/>
        </w:rPr>
        <w:t xml:space="preserve"> 2 juni 2025)</w:t>
      </w:r>
    </w:p>
    <w:p w:rsidR="00E95DF9" w:rsidP="00E95DF9" w:rsidRDefault="00E95DF9" w14:paraId="21C97BC3" w14:textId="59E2BD0D">
      <w:pPr>
        <w:rPr>
          <w:szCs w:val="18"/>
        </w:rPr>
      </w:pPr>
      <w:r w:rsidRPr="00E95DF9">
        <w:rPr>
          <w:sz w:val="24"/>
          <w:szCs w:val="18"/>
        </w:rPr>
        <w:t>Zie ook Aanhangsel Handelingen, vergaderjaar 2024-2025, nr.</w:t>
      </w:r>
      <w:r w:rsidRPr="00E95DF9">
        <w:rPr>
          <w:szCs w:val="18"/>
        </w:rPr>
        <w:t xml:space="preserve"> 2066</w:t>
      </w:r>
    </w:p>
    <w:p w:rsidRPr="00E95DF9" w:rsidR="00E95DF9" w:rsidP="00E95DF9" w:rsidRDefault="00E95DF9" w14:paraId="20C3BFAC" w14:textId="77777777">
      <w:pPr>
        <w:rPr>
          <w:szCs w:val="18"/>
        </w:rPr>
      </w:pPr>
    </w:p>
    <w:p w:rsidR="00E95DF9" w:rsidP="00E95DF9" w:rsidRDefault="00E95DF9" w14:paraId="499DB3AB" w14:textId="77777777">
      <w:pPr>
        <w:rPr>
          <w:szCs w:val="18"/>
        </w:rPr>
      </w:pPr>
      <w:r>
        <w:rPr>
          <w:szCs w:val="18"/>
        </w:rPr>
        <w:t>1</w:t>
      </w:r>
    </w:p>
    <w:p w:rsidR="00E95DF9" w:rsidP="00E95DF9" w:rsidRDefault="00E95DF9" w14:paraId="42027A11" w14:textId="77777777">
      <w:pPr>
        <w:rPr>
          <w:rFonts w:eastAsia="Verdana" w:cs="Verdana"/>
          <w:szCs w:val="18"/>
        </w:rPr>
      </w:pPr>
      <w:r w:rsidRPr="5AF0831B">
        <w:rPr>
          <w:rFonts w:eastAsia="Verdana" w:cs="Verdana"/>
          <w:szCs w:val="18"/>
        </w:rPr>
        <w:t xml:space="preserve">Kunt u een actueel beeld schetsen van de snelheid waarmee de Nederlandse industrie verduurzaamt en de rol die de realisatie van benodigde infrastructuur en andere randvoorwaarden zoals voldoende snelle vergunningverlening, betaalbare energieprijzen en nettarieven, beschikbare subsidies en de hoogte van de </w:t>
      </w:r>
      <w:r w:rsidRPr="00EA4DEC">
        <w:rPr>
          <w:rFonts w:eastAsia="Verdana" w:cs="Verdana"/>
          <w:szCs w:val="18"/>
        </w:rPr>
        <w:t>CO</w:t>
      </w:r>
      <w:r w:rsidRPr="0060331F">
        <w:rPr>
          <w:rFonts w:eastAsia="Verdana" w:cs="Verdana"/>
          <w:szCs w:val="18"/>
          <w:vertAlign w:val="subscript"/>
        </w:rPr>
        <w:t>2</w:t>
      </w:r>
      <w:r w:rsidRPr="5AF0831B">
        <w:rPr>
          <w:rFonts w:eastAsia="Verdana" w:cs="Verdana"/>
          <w:szCs w:val="18"/>
        </w:rPr>
        <w:t>-heffing daarbij spelen?</w:t>
      </w:r>
    </w:p>
    <w:p w:rsidR="00E95DF9" w:rsidP="00E95DF9" w:rsidRDefault="00E95DF9" w14:paraId="7411BAEF" w14:textId="77777777">
      <w:pPr>
        <w:rPr>
          <w:rFonts w:eastAsia="Verdana" w:cs="Verdana"/>
          <w:szCs w:val="18"/>
        </w:rPr>
      </w:pPr>
    </w:p>
    <w:p w:rsidR="00E95DF9" w:rsidP="00E95DF9" w:rsidRDefault="00E95DF9" w14:paraId="673D5E14" w14:textId="77777777">
      <w:pPr>
        <w:rPr>
          <w:rFonts w:eastAsia="Verdana" w:cs="Verdana"/>
          <w:szCs w:val="18"/>
        </w:rPr>
      </w:pPr>
      <w:r>
        <w:rPr>
          <w:rFonts w:eastAsia="Verdana" w:cs="Verdana"/>
          <w:szCs w:val="18"/>
        </w:rPr>
        <w:t>Antwoord</w:t>
      </w:r>
    </w:p>
    <w:p w:rsidR="00E95DF9" w:rsidP="00E95DF9" w:rsidRDefault="00E95DF9" w14:paraId="384F1DD3" w14:textId="77777777">
      <w:pPr>
        <w:rPr>
          <w:rFonts w:eastAsia="Verdana" w:cs="Verdana"/>
        </w:rPr>
      </w:pPr>
      <w:r w:rsidRPr="5DBCBDB9">
        <w:rPr>
          <w:rFonts w:eastAsia="Verdana" w:cs="Verdana"/>
        </w:rPr>
        <w:t xml:space="preserve">De Nederlandse bedrijven en industrieclusters zijn hard op weg om zich te transformeren tot een duurzame en sterke industrie door werk te maken van concrete en serieuze plannen om te verduurzamen. In de </w:t>
      </w:r>
      <w:r>
        <w:rPr>
          <w:rFonts w:eastAsia="Verdana" w:cs="Verdana"/>
        </w:rPr>
        <w:t>K</w:t>
      </w:r>
      <w:r w:rsidRPr="5DBCBDB9">
        <w:rPr>
          <w:rFonts w:eastAsia="Verdana" w:cs="Verdana"/>
        </w:rPr>
        <w:t xml:space="preserve">amerbrief van 17 maart </w:t>
      </w:r>
      <w:r w:rsidRPr="702FFBDD">
        <w:rPr>
          <w:rFonts w:eastAsia="Verdana" w:cs="Verdana"/>
        </w:rPr>
        <w:t xml:space="preserve">jl. over verduurzaming van de industrie </w:t>
      </w:r>
      <w:r w:rsidRPr="5DBCBDB9">
        <w:rPr>
          <w:rFonts w:eastAsia="Verdana" w:cs="Verdana"/>
        </w:rPr>
        <w:t>zijn hiervan ook verschillende voorbeelden gegeven</w:t>
      </w:r>
      <w:r w:rsidRPr="702FFBDD">
        <w:rPr>
          <w:rStyle w:val="Voetnootmarkering"/>
          <w:rFonts w:eastAsia="Verdana" w:cs="Verdana"/>
        </w:rPr>
        <w:footnoteReference w:id="1"/>
      </w:r>
      <w:r w:rsidRPr="5DBCBDB9">
        <w:rPr>
          <w:rFonts w:eastAsia="Verdana" w:cs="Verdana"/>
        </w:rPr>
        <w:t xml:space="preserve">. </w:t>
      </w:r>
    </w:p>
    <w:p w:rsidR="00E95DF9" w:rsidP="00E95DF9" w:rsidRDefault="00E95DF9" w14:paraId="4E380B75" w14:textId="77777777">
      <w:pPr>
        <w:rPr>
          <w:rFonts w:eastAsia="Verdana" w:cs="Verdana"/>
        </w:rPr>
      </w:pPr>
    </w:p>
    <w:p w:rsidR="00E95DF9" w:rsidP="00E95DF9" w:rsidRDefault="00E95DF9" w14:paraId="571C5F3E" w14:textId="77777777">
      <w:pPr>
        <w:rPr>
          <w:rFonts w:eastAsia="Verdana" w:cs="Verdana"/>
        </w:rPr>
      </w:pPr>
      <w:r w:rsidRPr="101B1C2E">
        <w:rPr>
          <w:rFonts w:eastAsia="Verdana" w:cs="Verdana"/>
          <w:szCs w:val="18"/>
        </w:rPr>
        <w:t xml:space="preserve">Sinds 1990 is de uitstoot van de industriesector met bijna 46% teruggebracht. Dat is in zowel relatieve als absolute termen de grootste reductie van alle klimaatsectoren. </w:t>
      </w:r>
      <w:r w:rsidRPr="5DBCBDB9">
        <w:rPr>
          <w:rFonts w:eastAsia="Verdana" w:cs="Verdana"/>
        </w:rPr>
        <w:t>In de meest recente Klimaat- en Energieverkenning</w:t>
      </w:r>
      <w:r w:rsidRPr="1099B5C5">
        <w:rPr>
          <w:rFonts w:eastAsia="Verdana" w:cs="Verdana"/>
        </w:rPr>
        <w:t xml:space="preserve"> van oktober 2024</w:t>
      </w:r>
      <w:r w:rsidRPr="0B5486B1">
        <w:rPr>
          <w:rStyle w:val="Voetnootmarkering"/>
          <w:rFonts w:eastAsia="Verdana" w:cs="Verdana"/>
        </w:rPr>
        <w:footnoteReference w:id="2"/>
      </w:r>
      <w:r w:rsidRPr="5DBCBDB9">
        <w:rPr>
          <w:rFonts w:eastAsia="Verdana" w:cs="Verdana"/>
        </w:rPr>
        <w:t xml:space="preserve"> raamt het PBL dat de industrie naar verwachting uitkomt op 56% emissiereductie in 2030 ten opzichte van 1990. Uit de RVO interviews die begin vorig jaar zijn gehouden werd de inschatting gemaakt dat op basis van zekere verduurzamingsplannen en –projecten mogelijk 57,5% emissiereductie in 2030 kon worden gerealiseerd ten opzichte van 1990. Inclusief projecten met een hogere mate van onzekerheid, die aanlopen tegen grotere knelpunten ten aanzien van onder andere financiering en infrastructuur, lag het potentieel op maximaal 65,5%. Hierbij werd wel uitgegaan van sluitingen zoals op dat moment bekend, maar werden</w:t>
      </w:r>
      <w:r>
        <w:rPr>
          <w:rFonts w:eastAsia="Verdana" w:cs="Verdana"/>
        </w:rPr>
        <w:t xml:space="preserve"> veranderingen in</w:t>
      </w:r>
      <w:r w:rsidRPr="5DBCBDB9">
        <w:rPr>
          <w:rFonts w:eastAsia="Verdana" w:cs="Verdana"/>
        </w:rPr>
        <w:t xml:space="preserve"> productievolume niet meegenomen in de prognoses.</w:t>
      </w:r>
      <w:r>
        <w:rPr>
          <w:rFonts w:eastAsia="Verdana" w:cs="Verdana"/>
        </w:rPr>
        <w:t xml:space="preserve"> De uitkomsten van de RVO-interviews van dit jaar kunnen naar verwachting voor de zomer met de Kamer worden gedeeld.</w:t>
      </w:r>
    </w:p>
    <w:p w:rsidR="00E95DF9" w:rsidP="00E95DF9" w:rsidRDefault="00E95DF9" w14:paraId="767EC242" w14:textId="77777777">
      <w:pPr>
        <w:rPr>
          <w:rFonts w:eastAsia="Verdana" w:cs="Verdana"/>
        </w:rPr>
      </w:pPr>
    </w:p>
    <w:p w:rsidR="00E95DF9" w:rsidP="00E95DF9" w:rsidRDefault="00E95DF9" w14:paraId="77EF5E07" w14:textId="77777777">
      <w:pPr>
        <w:rPr>
          <w:rFonts w:eastAsia="Verdana" w:cs="Verdana"/>
        </w:rPr>
      </w:pPr>
      <w:r w:rsidRPr="5DBCBDB9">
        <w:rPr>
          <w:rFonts w:eastAsia="Verdana" w:cs="Verdana"/>
        </w:rPr>
        <w:lastRenderedPageBreak/>
        <w:t xml:space="preserve">Een combinatie van belemmerende factoren </w:t>
      </w:r>
      <w:r w:rsidRPr="4617748A">
        <w:rPr>
          <w:rFonts w:eastAsia="Verdana" w:cs="Verdana"/>
        </w:rPr>
        <w:t>zorgt</w:t>
      </w:r>
      <w:r w:rsidRPr="5DBCBDB9">
        <w:rPr>
          <w:rFonts w:eastAsia="Verdana" w:cs="Verdana"/>
        </w:rPr>
        <w:t xml:space="preserve"> ervoor dat de verduurzamingsambities van verschillende bedrijven verder onder druk zijn komen te staan het afgelopen jaar. Dit speelt onder andere bij de chemische industrie. Hierbij spelen de betaalbaarheid van energie- en grondstofprijzen evenals de huidige onzekerheid ten aanzien van marktontwikkelingen een belangrijke rol. Bedrijven die hiermee geconfronteerd worden hebben moeite om op dit moment grootschalige investeringen in verduurzaming </w:t>
      </w:r>
      <w:r w:rsidRPr="4A7CCD9C">
        <w:rPr>
          <w:rFonts w:eastAsia="Verdana" w:cs="Verdana"/>
        </w:rPr>
        <w:t xml:space="preserve">in Nederland </w:t>
      </w:r>
      <w:r w:rsidRPr="5DBCBDB9">
        <w:rPr>
          <w:rFonts w:eastAsia="Verdana" w:cs="Verdana"/>
        </w:rPr>
        <w:t>te maken, wat leidt tot uitstel en in sommige gevallen afstel van verduurzamingsprojecten en -plannen. Het is derhalve de verwachting dat een groter deel van de plannen, die in de RVO interviews als onzekerder werden aangemerkt, geen doorgang vinden.</w:t>
      </w:r>
    </w:p>
    <w:p w:rsidR="00E95DF9" w:rsidP="00E95DF9" w:rsidRDefault="00E95DF9" w14:paraId="34F71CB8" w14:textId="77777777">
      <w:pPr>
        <w:rPr>
          <w:rFonts w:eastAsia="Verdana" w:cs="Verdana"/>
        </w:rPr>
      </w:pPr>
      <w:r w:rsidRPr="5DBCBDB9">
        <w:rPr>
          <w:rFonts w:eastAsia="Verdana" w:cs="Verdana"/>
        </w:rPr>
        <w:t xml:space="preserve"> </w:t>
      </w:r>
    </w:p>
    <w:p w:rsidR="00E95DF9" w:rsidP="00E95DF9" w:rsidRDefault="00E95DF9" w14:paraId="07158129" w14:textId="77777777">
      <w:pPr>
        <w:rPr>
          <w:rFonts w:eastAsia="Verdana" w:cs="Verdana"/>
          <w:szCs w:val="18"/>
        </w:rPr>
      </w:pPr>
      <w:r w:rsidRPr="5DBCBDB9">
        <w:rPr>
          <w:rFonts w:eastAsia="Verdana" w:cs="Verdana"/>
        </w:rPr>
        <w:t>Begin dit jaar zijn deze interviews opnieuw afgenomen onder industriële bedrijven met relatief hoge broeikasgasemissies. Deze resultaten worden momenteel verwerkt en zullen in een rapportage met de Kamer worden gedeeld. Met de rapportage kan verder worden geconcretiseerd wat het effect is geweest van de reeds genoemde factoren op de verduurzamingsplannen en investeringen.</w:t>
      </w:r>
    </w:p>
    <w:p w:rsidR="00E95DF9" w:rsidP="00E95DF9" w:rsidRDefault="00E95DF9" w14:paraId="5F08ABDA" w14:textId="77777777">
      <w:pPr>
        <w:rPr>
          <w:rFonts w:eastAsia="Verdana" w:cs="Verdana"/>
          <w:szCs w:val="18"/>
        </w:rPr>
      </w:pPr>
    </w:p>
    <w:p w:rsidR="00E95DF9" w:rsidP="00E95DF9" w:rsidRDefault="00E95DF9" w14:paraId="6AB5BF9B" w14:textId="77777777">
      <w:pPr>
        <w:rPr>
          <w:rFonts w:eastAsia="Verdana" w:cs="Verdana"/>
          <w:szCs w:val="18"/>
        </w:rPr>
      </w:pPr>
      <w:r>
        <w:rPr>
          <w:rFonts w:eastAsia="Verdana" w:cs="Verdana"/>
          <w:szCs w:val="18"/>
        </w:rPr>
        <w:t>2</w:t>
      </w:r>
    </w:p>
    <w:p w:rsidR="00E95DF9" w:rsidP="00E95DF9" w:rsidRDefault="00E95DF9" w14:paraId="59848F59" w14:textId="77777777">
      <w:pPr>
        <w:rPr>
          <w:rFonts w:eastAsia="Verdana" w:cs="Verdana"/>
          <w:szCs w:val="18"/>
        </w:rPr>
      </w:pPr>
      <w:r w:rsidRPr="476567A0">
        <w:rPr>
          <w:rFonts w:eastAsia="Verdana" w:cs="Verdana"/>
          <w:szCs w:val="18"/>
        </w:rPr>
        <w:t xml:space="preserve">Kunt u tevens in beeld brengen wat de gevolgen voor de Nederlandse </w:t>
      </w:r>
      <w:r w:rsidRPr="00EA4DEC">
        <w:rPr>
          <w:rFonts w:eastAsia="Verdana" w:cs="Verdana"/>
          <w:szCs w:val="18"/>
        </w:rPr>
        <w:t>CO</w:t>
      </w:r>
      <w:r w:rsidRPr="0060331F">
        <w:rPr>
          <w:rFonts w:eastAsia="Verdana" w:cs="Verdana"/>
          <w:szCs w:val="18"/>
          <w:vertAlign w:val="subscript"/>
        </w:rPr>
        <w:t>2</w:t>
      </w:r>
      <w:r w:rsidRPr="476567A0">
        <w:rPr>
          <w:rFonts w:eastAsia="Verdana" w:cs="Verdana"/>
          <w:szCs w:val="18"/>
        </w:rPr>
        <w:t xml:space="preserve">-emissies zijn van de recente besluiten van industriële bedrijven om hun productie in Nederland af te schalen of te stoppen? Hoeveel </w:t>
      </w:r>
      <w:r w:rsidRPr="00EA4DEC">
        <w:rPr>
          <w:rFonts w:eastAsia="Verdana" w:cs="Verdana"/>
          <w:szCs w:val="18"/>
        </w:rPr>
        <w:t>CO</w:t>
      </w:r>
      <w:r w:rsidRPr="0060331F">
        <w:rPr>
          <w:rFonts w:eastAsia="Verdana" w:cs="Verdana"/>
          <w:szCs w:val="18"/>
          <w:vertAlign w:val="subscript"/>
        </w:rPr>
        <w:t>2</w:t>
      </w:r>
      <w:r w:rsidRPr="476567A0">
        <w:rPr>
          <w:rFonts w:eastAsia="Verdana" w:cs="Verdana"/>
          <w:szCs w:val="18"/>
        </w:rPr>
        <w:t xml:space="preserve">-reductie zal het stoppen van deze productielocaties opleveren? </w:t>
      </w:r>
    </w:p>
    <w:p w:rsidR="00E95DF9" w:rsidP="00E95DF9" w:rsidRDefault="00E95DF9" w14:paraId="4D7C34B4" w14:textId="77777777">
      <w:pPr>
        <w:rPr>
          <w:rFonts w:eastAsia="Verdana" w:cs="Verdana"/>
          <w:szCs w:val="18"/>
        </w:rPr>
      </w:pPr>
    </w:p>
    <w:p w:rsidR="00E95DF9" w:rsidP="00E95DF9" w:rsidRDefault="00E95DF9" w14:paraId="30FEC265" w14:textId="77777777">
      <w:pPr>
        <w:rPr>
          <w:rFonts w:eastAsia="Verdana" w:cs="Verdana"/>
          <w:szCs w:val="18"/>
        </w:rPr>
      </w:pPr>
      <w:r>
        <w:rPr>
          <w:rFonts w:eastAsia="Verdana" w:cs="Verdana"/>
          <w:szCs w:val="18"/>
        </w:rPr>
        <w:t>Antwoord</w:t>
      </w:r>
    </w:p>
    <w:p w:rsidR="00E95DF9" w:rsidP="00E95DF9" w:rsidRDefault="00E95DF9" w14:paraId="387470D6" w14:textId="77777777">
      <w:pPr>
        <w:rPr>
          <w:rFonts w:eastAsia="Verdana" w:cs="Verdana"/>
        </w:rPr>
      </w:pPr>
      <w:r w:rsidRPr="5DBCBDB9">
        <w:rPr>
          <w:rFonts w:eastAsia="Verdana" w:cs="Verdana"/>
        </w:rPr>
        <w:t xml:space="preserve">De recente besluiten van bedrijven om hun productie te stoppen resulteert in een </w:t>
      </w:r>
      <w:r w:rsidRPr="00EA4DEC">
        <w:rPr>
          <w:rFonts w:eastAsia="Verdana" w:cs="Verdana"/>
          <w:szCs w:val="18"/>
        </w:rPr>
        <w:t>CO</w:t>
      </w:r>
      <w:r w:rsidRPr="0060331F">
        <w:rPr>
          <w:rFonts w:eastAsia="Verdana" w:cs="Verdana"/>
          <w:szCs w:val="18"/>
          <w:vertAlign w:val="subscript"/>
        </w:rPr>
        <w:t>2</w:t>
      </w:r>
      <w:r w:rsidRPr="5DBCBDB9">
        <w:rPr>
          <w:rFonts w:eastAsia="Verdana" w:cs="Verdana"/>
        </w:rPr>
        <w:t xml:space="preserve">-emissiereductie van ongeveer 1,5 </w:t>
      </w:r>
      <w:proofErr w:type="spellStart"/>
      <w:r w:rsidRPr="5DBCBDB9">
        <w:rPr>
          <w:rFonts w:eastAsia="Verdana" w:cs="Verdana"/>
        </w:rPr>
        <w:t>Mton</w:t>
      </w:r>
      <w:proofErr w:type="spellEnd"/>
      <w:r w:rsidRPr="5DBCBDB9">
        <w:rPr>
          <w:rFonts w:eastAsia="Verdana" w:cs="Verdana"/>
        </w:rPr>
        <w:t xml:space="preserve"> </w:t>
      </w:r>
      <w:r w:rsidRPr="00EA4DEC">
        <w:rPr>
          <w:rFonts w:eastAsia="Verdana" w:cs="Verdana"/>
          <w:szCs w:val="18"/>
        </w:rPr>
        <w:t>CO</w:t>
      </w:r>
      <w:r w:rsidRPr="0060331F">
        <w:rPr>
          <w:rFonts w:eastAsia="Verdana" w:cs="Verdana"/>
          <w:szCs w:val="18"/>
          <w:vertAlign w:val="subscript"/>
        </w:rPr>
        <w:t>2</w:t>
      </w:r>
      <w:r w:rsidRPr="5DBCBDB9">
        <w:rPr>
          <w:rFonts w:eastAsia="Verdana" w:cs="Verdana"/>
        </w:rPr>
        <w:t xml:space="preserve">-eq. Hierbij gaat het onder andere om </w:t>
      </w:r>
      <w:r w:rsidRPr="3E598E86">
        <w:rPr>
          <w:rFonts w:eastAsia="Verdana" w:cs="Verdana"/>
        </w:rPr>
        <w:t xml:space="preserve">de </w:t>
      </w:r>
      <w:r w:rsidRPr="5DBCBDB9">
        <w:rPr>
          <w:rFonts w:eastAsia="Verdana" w:cs="Verdana"/>
        </w:rPr>
        <w:t xml:space="preserve">sluiting van de naftakraker bij SABIC, het stilleggen van productie bij </w:t>
      </w:r>
      <w:proofErr w:type="spellStart"/>
      <w:r w:rsidRPr="5DBCBDB9">
        <w:rPr>
          <w:rFonts w:eastAsia="Verdana" w:cs="Verdana"/>
        </w:rPr>
        <w:t>BioMCN</w:t>
      </w:r>
      <w:proofErr w:type="spellEnd"/>
      <w:r w:rsidRPr="5DBCBDB9">
        <w:rPr>
          <w:rFonts w:eastAsia="Verdana" w:cs="Verdana"/>
        </w:rPr>
        <w:t xml:space="preserve"> </w:t>
      </w:r>
      <w:r w:rsidRPr="3E598E86">
        <w:rPr>
          <w:rFonts w:eastAsia="Verdana" w:cs="Verdana"/>
        </w:rPr>
        <w:t xml:space="preserve">(onderdeel van OCI) </w:t>
      </w:r>
      <w:r w:rsidRPr="5DBCBDB9">
        <w:rPr>
          <w:rFonts w:eastAsia="Verdana" w:cs="Verdana"/>
        </w:rPr>
        <w:t xml:space="preserve">en de sluiting van de </w:t>
      </w:r>
      <w:proofErr w:type="spellStart"/>
      <w:r w:rsidRPr="5DBCBDB9">
        <w:rPr>
          <w:rFonts w:eastAsia="Verdana" w:cs="Verdana"/>
        </w:rPr>
        <w:t>Gunvor</w:t>
      </w:r>
      <w:proofErr w:type="spellEnd"/>
      <w:r w:rsidRPr="5DBCBDB9">
        <w:rPr>
          <w:rFonts w:eastAsia="Verdana" w:cs="Verdana"/>
        </w:rPr>
        <w:t xml:space="preserve"> raffinaderij. Ook is hierbij de recente aankondiging van </w:t>
      </w:r>
      <w:proofErr w:type="spellStart"/>
      <w:r w:rsidRPr="5DBCBDB9">
        <w:rPr>
          <w:rFonts w:eastAsia="Verdana" w:cs="Verdana"/>
        </w:rPr>
        <w:t>LyondellBasell</w:t>
      </w:r>
      <w:proofErr w:type="spellEnd"/>
      <w:r w:rsidRPr="5DBCBDB9">
        <w:rPr>
          <w:rFonts w:eastAsia="Verdana" w:cs="Verdana"/>
        </w:rPr>
        <w:t xml:space="preserve"> (LYB) om haar fabriek (LYB/Covestro) op de Maasvlakte te sluiten meegenomen. </w:t>
      </w:r>
    </w:p>
    <w:p w:rsidR="00E95DF9" w:rsidP="00E95DF9" w:rsidRDefault="00E95DF9" w14:paraId="66199AE8" w14:textId="77777777">
      <w:pPr>
        <w:rPr>
          <w:rFonts w:eastAsia="Verdana" w:cs="Verdana"/>
        </w:rPr>
      </w:pPr>
    </w:p>
    <w:p w:rsidR="00E95DF9" w:rsidP="00E95DF9" w:rsidRDefault="00E95DF9" w14:paraId="7F5895F6" w14:textId="77777777">
      <w:pPr>
        <w:rPr>
          <w:rFonts w:eastAsia="Verdana" w:cs="Verdana"/>
        </w:rPr>
      </w:pPr>
      <w:r w:rsidRPr="5DBCBDB9">
        <w:rPr>
          <w:rFonts w:eastAsia="Verdana" w:cs="Verdana"/>
        </w:rPr>
        <w:t xml:space="preserve">Daarnaast is ook het productievolume bij de energie-intensieve industrie afgenomen over de periode 2021 tot en met 2024. De totale uitstoot van de industrie in 2021 was 53,4 </w:t>
      </w:r>
      <w:proofErr w:type="spellStart"/>
      <w:r w:rsidRPr="5DBCBDB9">
        <w:rPr>
          <w:rFonts w:eastAsia="Verdana" w:cs="Verdana"/>
        </w:rPr>
        <w:t>Mton</w:t>
      </w:r>
      <w:proofErr w:type="spellEnd"/>
      <w:r w:rsidRPr="5DBCBDB9">
        <w:rPr>
          <w:rFonts w:eastAsia="Verdana" w:cs="Verdana"/>
        </w:rPr>
        <w:t xml:space="preserve"> </w:t>
      </w:r>
      <w:r w:rsidRPr="00EA4DEC">
        <w:rPr>
          <w:rFonts w:eastAsia="Verdana" w:cs="Verdana"/>
          <w:szCs w:val="18"/>
        </w:rPr>
        <w:t>CO</w:t>
      </w:r>
      <w:r w:rsidRPr="0060331F">
        <w:rPr>
          <w:rFonts w:eastAsia="Verdana" w:cs="Verdana"/>
          <w:szCs w:val="18"/>
          <w:vertAlign w:val="subscript"/>
        </w:rPr>
        <w:t>2</w:t>
      </w:r>
      <w:r w:rsidRPr="5DBCBDB9">
        <w:rPr>
          <w:rFonts w:eastAsia="Verdana" w:cs="Verdana"/>
        </w:rPr>
        <w:t xml:space="preserve">-eq. en in 2024 is dit gedaald tot 46,8 </w:t>
      </w:r>
      <w:proofErr w:type="spellStart"/>
      <w:r w:rsidRPr="5DBCBDB9">
        <w:rPr>
          <w:rFonts w:eastAsia="Verdana" w:cs="Verdana"/>
        </w:rPr>
        <w:t>Mton</w:t>
      </w:r>
      <w:proofErr w:type="spellEnd"/>
      <w:r w:rsidRPr="5DBCBDB9">
        <w:rPr>
          <w:rFonts w:eastAsia="Verdana" w:cs="Verdana"/>
        </w:rPr>
        <w:t xml:space="preserve"> </w:t>
      </w:r>
      <w:r w:rsidRPr="00EA4DEC">
        <w:rPr>
          <w:rFonts w:eastAsia="Verdana" w:cs="Verdana"/>
          <w:szCs w:val="18"/>
        </w:rPr>
        <w:t>CO</w:t>
      </w:r>
      <w:r w:rsidRPr="0060331F">
        <w:rPr>
          <w:rFonts w:eastAsia="Verdana" w:cs="Verdana"/>
          <w:szCs w:val="18"/>
          <w:vertAlign w:val="subscript"/>
        </w:rPr>
        <w:t>2</w:t>
      </w:r>
      <w:r w:rsidRPr="5DBCBDB9">
        <w:rPr>
          <w:rFonts w:eastAsia="Verdana" w:cs="Verdana"/>
        </w:rPr>
        <w:t xml:space="preserve">-eq. Een deel komt door de voorgenoemde sluitingen en stilgelegde productie. Een beperkt deel van deze verlaging van uitstoot komt door de realisatie van verduurzamingsprojecten (zoals de lachgas emissiereductie die is </w:t>
      </w:r>
      <w:r w:rsidRPr="5DBCBDB9">
        <w:rPr>
          <w:rFonts w:eastAsia="Verdana" w:cs="Verdana"/>
        </w:rPr>
        <w:lastRenderedPageBreak/>
        <w:t xml:space="preserve">gerealiseerd bij </w:t>
      </w:r>
      <w:proofErr w:type="spellStart"/>
      <w:r w:rsidRPr="5DBCBDB9">
        <w:rPr>
          <w:rFonts w:eastAsia="Verdana" w:cs="Verdana"/>
        </w:rPr>
        <w:t>Fibrant</w:t>
      </w:r>
      <w:proofErr w:type="spellEnd"/>
      <w:r w:rsidRPr="5DBCBDB9">
        <w:rPr>
          <w:rFonts w:eastAsia="Verdana" w:cs="Verdana"/>
        </w:rPr>
        <w:t>).</w:t>
      </w:r>
      <w:r w:rsidRPr="3E598E86">
        <w:rPr>
          <w:rFonts w:eastAsia="Verdana" w:cs="Verdana"/>
        </w:rPr>
        <w:t xml:space="preserve"> Het grootste deel van deze afname van 6,6 </w:t>
      </w:r>
      <w:proofErr w:type="spellStart"/>
      <w:r w:rsidRPr="3E598E86">
        <w:rPr>
          <w:rFonts w:eastAsia="Verdana" w:cs="Verdana"/>
        </w:rPr>
        <w:t>Mton</w:t>
      </w:r>
      <w:proofErr w:type="spellEnd"/>
      <w:r w:rsidRPr="3E598E86">
        <w:rPr>
          <w:rFonts w:eastAsia="Verdana" w:cs="Verdana"/>
        </w:rPr>
        <w:t xml:space="preserve"> </w:t>
      </w:r>
      <w:r w:rsidRPr="00EA4DEC">
        <w:rPr>
          <w:rFonts w:eastAsia="Verdana" w:cs="Verdana"/>
          <w:szCs w:val="18"/>
        </w:rPr>
        <w:t>CO</w:t>
      </w:r>
      <w:r w:rsidRPr="0060331F">
        <w:rPr>
          <w:rFonts w:eastAsia="Verdana" w:cs="Verdana"/>
          <w:szCs w:val="18"/>
          <w:vertAlign w:val="subscript"/>
        </w:rPr>
        <w:t>2</w:t>
      </w:r>
      <w:r w:rsidRPr="3E598E86">
        <w:rPr>
          <w:rFonts w:eastAsia="Verdana" w:cs="Verdana"/>
        </w:rPr>
        <w:t xml:space="preserve">-eq. is echter te wijten aan een daling van het productievolume. </w:t>
      </w:r>
    </w:p>
    <w:p w:rsidR="00E95DF9" w:rsidP="00E95DF9" w:rsidRDefault="00E95DF9" w14:paraId="047DFCDA" w14:textId="77777777">
      <w:pPr>
        <w:rPr>
          <w:rFonts w:eastAsia="Verdana" w:cs="Verdana"/>
          <w:szCs w:val="18"/>
        </w:rPr>
      </w:pPr>
    </w:p>
    <w:p w:rsidR="00E95DF9" w:rsidP="00E95DF9" w:rsidRDefault="00E95DF9" w14:paraId="7059DBAF" w14:textId="77777777">
      <w:pPr>
        <w:rPr>
          <w:rFonts w:eastAsia="Verdana" w:cs="Verdana"/>
          <w:szCs w:val="18"/>
        </w:rPr>
      </w:pPr>
      <w:r>
        <w:rPr>
          <w:rFonts w:eastAsia="Verdana" w:cs="Verdana"/>
          <w:szCs w:val="18"/>
        </w:rPr>
        <w:t>3</w:t>
      </w:r>
    </w:p>
    <w:p w:rsidR="00E95DF9" w:rsidP="00E95DF9" w:rsidRDefault="00E95DF9" w14:paraId="424DB406" w14:textId="77777777">
      <w:pPr>
        <w:rPr>
          <w:rFonts w:eastAsia="Verdana" w:cs="Verdana"/>
          <w:szCs w:val="18"/>
        </w:rPr>
      </w:pPr>
      <w:r w:rsidRPr="5AF0831B">
        <w:rPr>
          <w:rFonts w:eastAsia="Verdana" w:cs="Verdana"/>
          <w:szCs w:val="18"/>
        </w:rPr>
        <w:t xml:space="preserve">Wat betekenen de ontwikkelingen met betrekking tot de snelheid waarmee de industrie verduurzaamt voor de verwachte opbrengsten van de </w:t>
      </w:r>
      <w:r w:rsidRPr="00EA4DEC">
        <w:rPr>
          <w:rFonts w:eastAsia="Verdana" w:cs="Verdana"/>
          <w:szCs w:val="18"/>
        </w:rPr>
        <w:t>CO</w:t>
      </w:r>
      <w:r w:rsidRPr="0060331F">
        <w:rPr>
          <w:rFonts w:eastAsia="Verdana" w:cs="Verdana"/>
          <w:szCs w:val="18"/>
          <w:vertAlign w:val="subscript"/>
        </w:rPr>
        <w:t>2</w:t>
      </w:r>
      <w:r w:rsidRPr="5AF0831B">
        <w:rPr>
          <w:rFonts w:eastAsia="Verdana" w:cs="Verdana"/>
          <w:szCs w:val="18"/>
        </w:rPr>
        <w:t xml:space="preserve">-heffing industrie? Klopt het dat alleen de emissies die gereduceerd moeten worden om het heffingsdoel van de </w:t>
      </w:r>
      <w:r w:rsidRPr="00EA4DEC">
        <w:rPr>
          <w:rFonts w:eastAsia="Verdana" w:cs="Verdana"/>
          <w:szCs w:val="18"/>
        </w:rPr>
        <w:t>CO</w:t>
      </w:r>
      <w:r w:rsidRPr="0060331F">
        <w:rPr>
          <w:rFonts w:eastAsia="Verdana" w:cs="Verdana"/>
          <w:szCs w:val="18"/>
          <w:vertAlign w:val="subscript"/>
        </w:rPr>
        <w:t>2</w:t>
      </w:r>
      <w:r w:rsidRPr="5AF0831B">
        <w:rPr>
          <w:rFonts w:eastAsia="Verdana" w:cs="Verdana"/>
          <w:szCs w:val="18"/>
        </w:rPr>
        <w:t xml:space="preserve">-heffing te halen, worden </w:t>
      </w:r>
      <w:proofErr w:type="spellStart"/>
      <w:r w:rsidRPr="5AF0831B">
        <w:rPr>
          <w:rFonts w:eastAsia="Verdana" w:cs="Verdana"/>
          <w:szCs w:val="18"/>
        </w:rPr>
        <w:t>beprijsd</w:t>
      </w:r>
      <w:proofErr w:type="spellEnd"/>
      <w:r w:rsidRPr="5AF0831B">
        <w:rPr>
          <w:rFonts w:eastAsia="Verdana" w:cs="Verdana"/>
          <w:szCs w:val="18"/>
        </w:rPr>
        <w:t xml:space="preserve"> en dat het feit dat er opbrengsten van de </w:t>
      </w:r>
      <w:r w:rsidRPr="00EA4DEC">
        <w:rPr>
          <w:rFonts w:eastAsia="Verdana" w:cs="Verdana"/>
          <w:szCs w:val="18"/>
        </w:rPr>
        <w:t>CO</w:t>
      </w:r>
      <w:r w:rsidRPr="0060331F">
        <w:rPr>
          <w:rFonts w:eastAsia="Verdana" w:cs="Verdana"/>
          <w:szCs w:val="18"/>
          <w:vertAlign w:val="subscript"/>
        </w:rPr>
        <w:t>2</w:t>
      </w:r>
      <w:r w:rsidRPr="5AF0831B">
        <w:rPr>
          <w:rFonts w:eastAsia="Verdana" w:cs="Verdana"/>
          <w:szCs w:val="18"/>
        </w:rPr>
        <w:t xml:space="preserve">-heffing worden verwacht dus betekent dat het heffingsdoel niet wordt gehaald? </w:t>
      </w:r>
    </w:p>
    <w:p w:rsidR="00E95DF9" w:rsidP="00E95DF9" w:rsidRDefault="00E95DF9" w14:paraId="3A000FF0" w14:textId="77777777">
      <w:pPr>
        <w:rPr>
          <w:rFonts w:eastAsia="Verdana" w:cs="Verdana"/>
          <w:szCs w:val="18"/>
        </w:rPr>
      </w:pPr>
    </w:p>
    <w:p w:rsidR="00E95DF9" w:rsidP="00E95DF9" w:rsidRDefault="00E95DF9" w14:paraId="2F704826" w14:textId="77777777">
      <w:pPr>
        <w:rPr>
          <w:rFonts w:eastAsia="Verdana" w:cs="Verdana"/>
          <w:szCs w:val="18"/>
        </w:rPr>
      </w:pPr>
      <w:r w:rsidRPr="7863F458">
        <w:rPr>
          <w:rFonts w:eastAsia="Verdana" w:cs="Verdana"/>
        </w:rPr>
        <w:t>Antwoord</w:t>
      </w:r>
    </w:p>
    <w:p w:rsidRPr="00224D4C" w:rsidR="00E95DF9" w:rsidP="00E95DF9" w:rsidRDefault="00E95DF9" w14:paraId="018CAB1B" w14:textId="77777777">
      <w:pPr>
        <w:rPr>
          <w:rFonts w:eastAsia="Verdana" w:cs="Verdana"/>
        </w:rPr>
      </w:pPr>
      <w:r>
        <w:rPr>
          <w:rFonts w:eastAsia="Verdana" w:cs="Verdana"/>
        </w:rPr>
        <w:t xml:space="preserve">Het klopt dat de heffing zo is ontworpen dat de enkel de emissies worden belast die conform het industrie klimaatdoel gereduceerd zouden moeten worden. Voor de emissies die de industrie nog mag uitstoten onder het klimaatdoel, ontvangt de industrie dispensatierechten en hoeft geen belasting te worden afgedragen. Op deze manier ontstaat een sterke prikkel om dat deel van de uitstoot te realiseren waarvan het kabinet het realistisch acht dat er reductie mogelijk is. </w:t>
      </w:r>
      <w:r w:rsidRPr="123E0853">
        <w:rPr>
          <w:rFonts w:eastAsia="Verdana" w:cs="Verdana"/>
        </w:rPr>
        <w:t>Bij de introductie van de CO</w:t>
      </w:r>
      <w:r w:rsidRPr="123E0853">
        <w:rPr>
          <w:rFonts w:eastAsia="Verdana" w:cs="Verdana"/>
          <w:vertAlign w:val="subscript"/>
        </w:rPr>
        <w:t>2</w:t>
      </w:r>
      <w:r w:rsidRPr="123E0853">
        <w:rPr>
          <w:rFonts w:eastAsia="Verdana" w:cs="Verdana"/>
        </w:rPr>
        <w:t xml:space="preserve">-heffing werd </w:t>
      </w:r>
      <w:r>
        <w:rPr>
          <w:rFonts w:eastAsia="Verdana" w:cs="Verdana"/>
        </w:rPr>
        <w:t xml:space="preserve">het tarief zo vastgesteld dat werd </w:t>
      </w:r>
      <w:r w:rsidRPr="123E0853">
        <w:rPr>
          <w:rFonts w:eastAsia="Verdana" w:cs="Verdana"/>
        </w:rPr>
        <w:t>verwacht dat de heffing de industrie voldoende prikkel zou geven om uitstoot te gaan minderen in plaats van de heffing af te dragen, daarom werd niet uitgegaan van een budgettaire opbrengst.</w:t>
      </w:r>
      <w:r>
        <w:rPr>
          <w:rFonts w:eastAsia="Verdana" w:cs="Verdana"/>
        </w:rPr>
        <w:t xml:space="preserve"> </w:t>
      </w:r>
      <w:r w:rsidRPr="123E0853">
        <w:rPr>
          <w:rFonts w:eastAsia="Verdana" w:cs="Verdana"/>
        </w:rPr>
        <w:t xml:space="preserve"> De vertraging in de verduurzaming van de industrie leidt echter tot verwachte opbrengsten van de CO</w:t>
      </w:r>
      <w:r w:rsidRPr="123E0853">
        <w:rPr>
          <w:rFonts w:eastAsia="Verdana" w:cs="Verdana"/>
          <w:vertAlign w:val="subscript"/>
        </w:rPr>
        <w:t>2</w:t>
      </w:r>
      <w:r w:rsidRPr="123E0853">
        <w:rPr>
          <w:rFonts w:eastAsia="Verdana" w:cs="Verdana"/>
        </w:rPr>
        <w:t xml:space="preserve">-heffing gedurende deze kabinetsperiode. Dit blijkt onder andere uit de tariefstudie die PBL heeft uitgevoerd in opdracht van het kabinet. Dit is de reden dat vorig jaar voor het eerst inkomsten </w:t>
      </w:r>
      <w:r>
        <w:rPr>
          <w:rFonts w:eastAsia="Verdana" w:cs="Verdana"/>
        </w:rPr>
        <w:t>waren</w:t>
      </w:r>
      <w:r w:rsidRPr="123E0853">
        <w:rPr>
          <w:rFonts w:eastAsia="Verdana" w:cs="Verdana"/>
        </w:rPr>
        <w:t xml:space="preserve"> geraamd van de CO</w:t>
      </w:r>
      <w:r w:rsidRPr="123E0853">
        <w:rPr>
          <w:rFonts w:eastAsia="Verdana" w:cs="Verdana"/>
          <w:vertAlign w:val="subscript"/>
        </w:rPr>
        <w:t>2</w:t>
      </w:r>
      <w:r w:rsidRPr="123E0853">
        <w:rPr>
          <w:rFonts w:eastAsia="Verdana" w:cs="Verdana"/>
        </w:rPr>
        <w:t>-heffing industrie.</w:t>
      </w:r>
      <w:r>
        <w:rPr>
          <w:rFonts w:eastAsia="Verdana" w:cs="Verdana"/>
        </w:rPr>
        <w:t xml:space="preserve"> Op 1 mei jl. heeft de </w:t>
      </w:r>
      <w:proofErr w:type="spellStart"/>
      <w:r>
        <w:rPr>
          <w:rFonts w:eastAsia="Verdana" w:cs="Verdana"/>
        </w:rPr>
        <w:t>NEa</w:t>
      </w:r>
      <w:proofErr w:type="spellEnd"/>
      <w:r>
        <w:rPr>
          <w:rFonts w:eastAsia="Verdana" w:cs="Verdana"/>
        </w:rPr>
        <w:t xml:space="preserve"> echter bekend gemaakt dat er voor 2024 geen inkomsten zijn als gevolg van de heffing</w:t>
      </w:r>
      <w:r>
        <w:rPr>
          <w:rStyle w:val="Voetnootmarkering"/>
          <w:rFonts w:eastAsia="Verdana" w:cs="Verdana"/>
        </w:rPr>
        <w:footnoteReference w:id="3"/>
      </w:r>
      <w:r>
        <w:rPr>
          <w:rFonts w:eastAsia="Verdana" w:cs="Verdana"/>
        </w:rPr>
        <w:t xml:space="preserve">. </w:t>
      </w:r>
      <w:r w:rsidRPr="123E0853">
        <w:rPr>
          <w:rFonts w:eastAsia="Verdana" w:cs="Verdana"/>
        </w:rPr>
        <w:t>De opbrengst afkomstig van de industriële producenten vloeit terug naar de industrie via het klimaatfonds.</w:t>
      </w:r>
    </w:p>
    <w:p w:rsidR="00E95DF9" w:rsidP="00E95DF9" w:rsidRDefault="00E95DF9" w14:paraId="0C8CE15C" w14:textId="77777777">
      <w:pPr>
        <w:rPr>
          <w:rFonts w:eastAsia="Verdana" w:cs="Verdana"/>
          <w:szCs w:val="18"/>
        </w:rPr>
      </w:pPr>
    </w:p>
    <w:p w:rsidR="00E95DF9" w:rsidP="00E95DF9" w:rsidRDefault="00E95DF9" w14:paraId="13AE42E5" w14:textId="77777777">
      <w:pPr>
        <w:rPr>
          <w:rFonts w:eastAsia="Verdana" w:cs="Verdana"/>
        </w:rPr>
      </w:pPr>
      <w:r w:rsidRPr="1CC18A52">
        <w:rPr>
          <w:rFonts w:eastAsia="Verdana" w:cs="Verdana"/>
        </w:rPr>
        <w:t>De heffing stuurt op een specifiek reductiedoel in 2030. Dit wordt geoperationaliseerd door een deel van de emissies niet te belasten middels dispensatierechten. De hoeveelheid dispensatierechten in 2030 vormt daarmee het heffingsdoel. Als de emissies in 2030 het aantal dispensatierechten overschrijden dan wordt het heffingsdoel niet gehaald. Het feit dat er in de tussenliggende jaren inkomsten worden verwacht betekent op zichzelf niet dat het heffingsdoel niet gehaald wordt</w:t>
      </w:r>
      <w:r>
        <w:rPr>
          <w:rFonts w:eastAsia="Verdana" w:cs="Verdana"/>
        </w:rPr>
        <w:t>, want het kan bijvoorbeeld ook komen doordat bedrijven natuurlijke vervangmomenten (</w:t>
      </w:r>
      <w:proofErr w:type="spellStart"/>
      <w:r>
        <w:rPr>
          <w:rFonts w:eastAsia="Verdana" w:cs="Verdana"/>
          <w:i/>
          <w:iCs/>
        </w:rPr>
        <w:t>turnarounds</w:t>
      </w:r>
      <w:proofErr w:type="spellEnd"/>
      <w:r>
        <w:rPr>
          <w:rFonts w:eastAsia="Verdana" w:cs="Verdana"/>
        </w:rPr>
        <w:t xml:space="preserve">) gebruiken voor </w:t>
      </w:r>
      <w:r>
        <w:rPr>
          <w:rFonts w:eastAsia="Verdana" w:cs="Verdana"/>
        </w:rPr>
        <w:lastRenderedPageBreak/>
        <w:t xml:space="preserve">het realiseren van hun verduurzamingsplannen, of dat een verduurzamingsproject in voorbereiding is, en daardoor een aantal jaren hun heffingsdoel niet halen. Wel is de ingeboekte opbrengst </w:t>
      </w:r>
      <w:r w:rsidRPr="1CC18A52">
        <w:rPr>
          <w:rFonts w:eastAsia="Verdana" w:cs="Verdana"/>
        </w:rPr>
        <w:t xml:space="preserve">een </w:t>
      </w:r>
      <w:r>
        <w:rPr>
          <w:rFonts w:eastAsia="Verdana" w:cs="Verdana"/>
        </w:rPr>
        <w:t xml:space="preserve">duidelijke </w:t>
      </w:r>
      <w:r w:rsidRPr="1CC18A52">
        <w:rPr>
          <w:rFonts w:eastAsia="Verdana" w:cs="Verdana"/>
        </w:rPr>
        <w:t>indicatie</w:t>
      </w:r>
      <w:r>
        <w:rPr>
          <w:rFonts w:eastAsia="Verdana" w:cs="Verdana"/>
        </w:rPr>
        <w:t xml:space="preserve"> </w:t>
      </w:r>
      <w:r w:rsidRPr="1CC18A52">
        <w:rPr>
          <w:rFonts w:eastAsia="Verdana" w:cs="Verdana"/>
        </w:rPr>
        <w:t>dat de industrie niet op koers ligt</w:t>
      </w:r>
      <w:r>
        <w:rPr>
          <w:rFonts w:eastAsia="Verdana" w:cs="Verdana"/>
        </w:rPr>
        <w:t xml:space="preserve"> om in totaliteit het reductiedoel te halen. Ook in de eerder genoemde RVO-interviews en op basis van individuele contacten met bedrijven (onder meer via de maatwerkaanpak) is bekend dat niet alle bedrijven hun heffingsdoel in 2030 zullen halen, door verschillende omstandigheden</w:t>
      </w:r>
      <w:r w:rsidRPr="1CC18A52">
        <w:rPr>
          <w:rFonts w:eastAsia="Verdana" w:cs="Verdana"/>
        </w:rPr>
        <w:t xml:space="preserve">. In de tariefstudie heeft PBL becijferd dat op basis van de verwachte productieniveaus het heffingsdoel in 2030 26,9 </w:t>
      </w:r>
      <w:proofErr w:type="spellStart"/>
      <w:r w:rsidRPr="1CC18A52">
        <w:rPr>
          <w:rFonts w:eastAsia="Verdana" w:cs="Verdana"/>
        </w:rPr>
        <w:t>Mton</w:t>
      </w:r>
      <w:proofErr w:type="spellEnd"/>
      <w:r w:rsidRPr="1CC18A52">
        <w:rPr>
          <w:rFonts w:eastAsia="Verdana" w:cs="Verdana"/>
        </w:rPr>
        <w:t xml:space="preserve"> bedraagt. De studie laat tevens zien dat bij het huidige beleid (en gemiddelde EU ETS-prijs) de emissies 32,9 </w:t>
      </w:r>
      <w:proofErr w:type="spellStart"/>
      <w:r w:rsidRPr="1CC18A52">
        <w:rPr>
          <w:rFonts w:eastAsia="Verdana" w:cs="Verdana"/>
        </w:rPr>
        <w:t>Mton</w:t>
      </w:r>
      <w:proofErr w:type="spellEnd"/>
      <w:r w:rsidRPr="1CC18A52">
        <w:rPr>
          <w:rFonts w:eastAsia="Verdana" w:cs="Verdana"/>
        </w:rPr>
        <w:t xml:space="preserve"> bedragen in 2030 en dat het heffingsdoel dus niet wordt gehaald. </w:t>
      </w:r>
    </w:p>
    <w:p w:rsidR="00E95DF9" w:rsidP="00E95DF9" w:rsidRDefault="00E95DF9" w14:paraId="1F48FA36" w14:textId="77777777">
      <w:pPr>
        <w:rPr>
          <w:szCs w:val="18"/>
        </w:rPr>
      </w:pPr>
    </w:p>
    <w:p w:rsidR="00E95DF9" w:rsidP="00E95DF9" w:rsidRDefault="00E95DF9" w14:paraId="4DB3AF7D" w14:textId="77777777">
      <w:pPr>
        <w:rPr>
          <w:szCs w:val="18"/>
        </w:rPr>
      </w:pPr>
      <w:r>
        <w:rPr>
          <w:szCs w:val="18"/>
        </w:rPr>
        <w:t>4</w:t>
      </w:r>
    </w:p>
    <w:p w:rsidR="00E95DF9" w:rsidP="00E95DF9" w:rsidRDefault="00E95DF9" w14:paraId="016023A5" w14:textId="77777777">
      <w:pPr>
        <w:rPr>
          <w:rFonts w:eastAsia="Verdana" w:cs="Verdana"/>
          <w:szCs w:val="18"/>
        </w:rPr>
      </w:pPr>
      <w:r w:rsidRPr="5AF0831B">
        <w:rPr>
          <w:rFonts w:eastAsia="Verdana" w:cs="Verdana"/>
          <w:szCs w:val="18"/>
        </w:rPr>
        <w:t xml:space="preserve">Welke berekening ligt ten grondslag onder de raming van de opbrengsten van de </w:t>
      </w:r>
      <w:r w:rsidRPr="00EA4DEC">
        <w:rPr>
          <w:rFonts w:eastAsia="Verdana" w:cs="Verdana"/>
          <w:szCs w:val="18"/>
        </w:rPr>
        <w:t>CO</w:t>
      </w:r>
      <w:r w:rsidRPr="0060331F">
        <w:rPr>
          <w:rFonts w:eastAsia="Verdana" w:cs="Verdana"/>
          <w:szCs w:val="18"/>
          <w:vertAlign w:val="subscript"/>
        </w:rPr>
        <w:t>2</w:t>
      </w:r>
      <w:r w:rsidRPr="5AF0831B">
        <w:rPr>
          <w:rFonts w:eastAsia="Verdana" w:cs="Verdana"/>
          <w:szCs w:val="18"/>
        </w:rPr>
        <w:t xml:space="preserve">-heffing en met hoeveel megatonnen </w:t>
      </w:r>
      <w:r w:rsidRPr="00EA4DEC">
        <w:rPr>
          <w:rFonts w:eastAsia="Verdana" w:cs="Verdana"/>
          <w:szCs w:val="18"/>
        </w:rPr>
        <w:t>CO</w:t>
      </w:r>
      <w:r w:rsidRPr="0060331F">
        <w:rPr>
          <w:rFonts w:eastAsia="Verdana" w:cs="Verdana"/>
          <w:szCs w:val="18"/>
          <w:vertAlign w:val="subscript"/>
        </w:rPr>
        <w:t>2</w:t>
      </w:r>
      <w:r w:rsidRPr="5AF0831B">
        <w:rPr>
          <w:rFonts w:eastAsia="Verdana" w:cs="Verdana"/>
          <w:szCs w:val="18"/>
        </w:rPr>
        <w:t xml:space="preserve"> wordt het heffingsdoel overschreden? Kunt u de berekening van de verwachte inkomsten van de </w:t>
      </w:r>
      <w:r w:rsidRPr="00EA4DEC">
        <w:rPr>
          <w:rFonts w:eastAsia="Verdana" w:cs="Verdana"/>
          <w:szCs w:val="18"/>
        </w:rPr>
        <w:t>CO</w:t>
      </w:r>
      <w:r w:rsidRPr="0060331F">
        <w:rPr>
          <w:rFonts w:eastAsia="Verdana" w:cs="Verdana"/>
          <w:szCs w:val="18"/>
          <w:vertAlign w:val="subscript"/>
        </w:rPr>
        <w:t>2</w:t>
      </w:r>
      <w:r w:rsidRPr="5AF0831B">
        <w:rPr>
          <w:rFonts w:eastAsia="Verdana" w:cs="Verdana"/>
          <w:szCs w:val="18"/>
        </w:rPr>
        <w:t>-heffing delen met de Kamer?</w:t>
      </w:r>
    </w:p>
    <w:p w:rsidR="00E95DF9" w:rsidP="00E95DF9" w:rsidRDefault="00E95DF9" w14:paraId="604428D6" w14:textId="77777777">
      <w:pPr>
        <w:rPr>
          <w:rFonts w:eastAsia="Verdana" w:cs="Verdana"/>
          <w:szCs w:val="18"/>
        </w:rPr>
      </w:pPr>
    </w:p>
    <w:p w:rsidR="00E95DF9" w:rsidP="00E95DF9" w:rsidRDefault="00E95DF9" w14:paraId="31DF86EA" w14:textId="77777777">
      <w:pPr>
        <w:rPr>
          <w:rFonts w:eastAsia="Verdana" w:cs="Verdana"/>
          <w:szCs w:val="18"/>
        </w:rPr>
      </w:pPr>
      <w:r>
        <w:rPr>
          <w:rFonts w:eastAsia="Verdana" w:cs="Verdana"/>
          <w:szCs w:val="18"/>
        </w:rPr>
        <w:t>Antwoord</w:t>
      </w:r>
    </w:p>
    <w:p w:rsidR="00E95DF9" w:rsidP="00E95DF9" w:rsidRDefault="00E95DF9" w14:paraId="674796E6" w14:textId="77777777">
      <w:pPr>
        <w:rPr>
          <w:rFonts w:eastAsia="Verdana" w:cs="Verdana"/>
          <w:szCs w:val="18"/>
        </w:rPr>
      </w:pPr>
      <w:r>
        <w:rPr>
          <w:rFonts w:eastAsia="Verdana" w:cs="Verdana"/>
          <w:szCs w:val="18"/>
        </w:rPr>
        <w:t xml:space="preserve">Opbrengsten van de </w:t>
      </w:r>
      <w:r w:rsidRPr="00EA4DEC">
        <w:rPr>
          <w:rFonts w:eastAsia="Verdana" w:cs="Verdana"/>
          <w:szCs w:val="18"/>
        </w:rPr>
        <w:t>CO</w:t>
      </w:r>
      <w:r w:rsidRPr="0060331F">
        <w:rPr>
          <w:rFonts w:eastAsia="Verdana" w:cs="Verdana"/>
          <w:szCs w:val="18"/>
          <w:vertAlign w:val="subscript"/>
        </w:rPr>
        <w:t>2</w:t>
      </w:r>
      <w:r>
        <w:rPr>
          <w:rFonts w:eastAsia="Verdana" w:cs="Verdana"/>
          <w:szCs w:val="18"/>
        </w:rPr>
        <w:t xml:space="preserve">-heffing industrie worden gebaseerd op een berekening van grondslag vermenigvuldigd met het tarief. De gehanteerde grondslag is de verwachte uitstoot met inachtneming van emissiereductie, minus de vrijgestelde uitstoot (dispensatierechten). De gehanteerde prijs is het wettelijke </w:t>
      </w:r>
      <w:proofErr w:type="spellStart"/>
      <w:r>
        <w:rPr>
          <w:rFonts w:eastAsia="Verdana" w:cs="Verdana"/>
          <w:szCs w:val="18"/>
        </w:rPr>
        <w:t>tariefpad</w:t>
      </w:r>
      <w:proofErr w:type="spellEnd"/>
      <w:r>
        <w:rPr>
          <w:rFonts w:eastAsia="Verdana" w:cs="Verdana"/>
          <w:szCs w:val="18"/>
        </w:rPr>
        <w:t xml:space="preserve"> minus de verwachte ETS-prijs. Bedrijven leveren per installatie die onder de heffing valt een rapportage in waarmee de heffingsgrondslag voor die installatie wordt bepaald.</w:t>
      </w:r>
    </w:p>
    <w:p w:rsidR="00E95DF9" w:rsidP="00E95DF9" w:rsidRDefault="00E95DF9" w14:paraId="4074D1DE" w14:textId="77777777">
      <w:pPr>
        <w:rPr>
          <w:rFonts w:eastAsia="Verdana" w:cs="Verdana"/>
          <w:szCs w:val="18"/>
        </w:rPr>
      </w:pPr>
    </w:p>
    <w:p w:rsidR="00E95DF9" w:rsidP="00E95DF9" w:rsidRDefault="00E95DF9" w14:paraId="5CA40318" w14:textId="77777777">
      <w:pPr>
        <w:rPr>
          <w:rFonts w:eastAsia="Verdana" w:cs="Verdana"/>
          <w:szCs w:val="18"/>
        </w:rPr>
      </w:pPr>
      <w:r w:rsidRPr="00EA4DEC">
        <w:rPr>
          <w:rFonts w:eastAsia="Verdana" w:cs="Verdana"/>
          <w:szCs w:val="18"/>
        </w:rPr>
        <w:t>De raming van de opbrengsten van de CO</w:t>
      </w:r>
      <w:r w:rsidRPr="0060331F">
        <w:rPr>
          <w:rFonts w:eastAsia="Verdana" w:cs="Verdana"/>
          <w:szCs w:val="18"/>
          <w:vertAlign w:val="subscript"/>
        </w:rPr>
        <w:t>2</w:t>
      </w:r>
      <w:r>
        <w:rPr>
          <w:rFonts w:eastAsia="Verdana" w:cs="Verdana"/>
          <w:szCs w:val="18"/>
        </w:rPr>
        <w:t>-</w:t>
      </w:r>
      <w:r w:rsidRPr="00EA4DEC">
        <w:rPr>
          <w:rFonts w:eastAsia="Verdana" w:cs="Verdana"/>
          <w:szCs w:val="18"/>
        </w:rPr>
        <w:t xml:space="preserve">heffing is opgesteld ten tijde van de Miljoenennota 2025 op basis van de op dat moment bekende inzichten en is weergegeven in prijzen 2024. Het laatst bekende realisatiejaar voor de uitstoot en dispensatierechten was op </w:t>
      </w:r>
      <w:r>
        <w:rPr>
          <w:rFonts w:eastAsia="Verdana" w:cs="Verdana"/>
          <w:szCs w:val="18"/>
        </w:rPr>
        <w:t>dat</w:t>
      </w:r>
      <w:r w:rsidRPr="00EA4DEC">
        <w:rPr>
          <w:rFonts w:eastAsia="Verdana" w:cs="Verdana"/>
          <w:szCs w:val="18"/>
        </w:rPr>
        <w:t xml:space="preserve"> moment het jaar 2023. Zoals aangegeven is voor de raming uitgegaan van de PBL </w:t>
      </w:r>
      <w:r>
        <w:rPr>
          <w:rFonts w:eastAsia="Verdana" w:cs="Verdana"/>
          <w:szCs w:val="18"/>
        </w:rPr>
        <w:t>tarief</w:t>
      </w:r>
      <w:r w:rsidRPr="00EA4DEC">
        <w:rPr>
          <w:rFonts w:eastAsia="Verdana" w:cs="Verdana"/>
          <w:szCs w:val="18"/>
        </w:rPr>
        <w:t xml:space="preserve">studie voor het jaar 2030. Hierbij zijn de PBL uitkomsten gecorrigeerd voor de uitstoot van </w:t>
      </w:r>
      <w:r>
        <w:rPr>
          <w:rFonts w:eastAsia="Verdana" w:cs="Verdana"/>
          <w:szCs w:val="18"/>
        </w:rPr>
        <w:t>a</w:t>
      </w:r>
      <w:r w:rsidRPr="00EA4DEC">
        <w:rPr>
          <w:rFonts w:eastAsia="Verdana" w:cs="Verdana"/>
          <w:szCs w:val="18"/>
        </w:rPr>
        <w:t>fvalverbrandingsinstallaties (</w:t>
      </w:r>
      <w:proofErr w:type="spellStart"/>
      <w:r w:rsidRPr="00EA4DEC">
        <w:rPr>
          <w:rFonts w:eastAsia="Verdana" w:cs="Verdana"/>
          <w:szCs w:val="18"/>
        </w:rPr>
        <w:t>AVI’s</w:t>
      </w:r>
      <w:proofErr w:type="spellEnd"/>
      <w:r w:rsidRPr="00EA4DEC">
        <w:rPr>
          <w:rFonts w:eastAsia="Verdana" w:cs="Verdana"/>
          <w:szCs w:val="18"/>
        </w:rPr>
        <w:t>). Voor de tussenliggende jaren is op basis van bekende projecten in de pijplijn, de reductie richting de 2030-raming van het PBL bepaald. Ook is een correctie gedaan voor een toename van de uitstoot in 2024 vanwege bekende verminderde productie in 2023.</w:t>
      </w:r>
    </w:p>
    <w:p w:rsidRPr="00EA4DEC" w:rsidR="00E95DF9" w:rsidP="00E95DF9" w:rsidRDefault="00E95DF9" w14:paraId="1B179A92" w14:textId="77777777">
      <w:pPr>
        <w:rPr>
          <w:rFonts w:eastAsia="Verdana" w:cs="Verdana"/>
          <w:szCs w:val="18"/>
        </w:rPr>
      </w:pPr>
    </w:p>
    <w:p w:rsidRPr="00EA4DEC" w:rsidR="00E95DF9" w:rsidP="00E95DF9" w:rsidRDefault="00E95DF9" w14:paraId="73918743" w14:textId="77777777">
      <w:pPr>
        <w:rPr>
          <w:rFonts w:eastAsia="Verdana" w:cs="Verdana"/>
          <w:szCs w:val="18"/>
        </w:rPr>
      </w:pPr>
      <w:r w:rsidRPr="00EA4DEC">
        <w:rPr>
          <w:rFonts w:eastAsia="Verdana" w:cs="Verdana"/>
          <w:szCs w:val="18"/>
        </w:rPr>
        <w:lastRenderedPageBreak/>
        <w:t>Voor de ontwikkeling van de dispensatierechten is uitgegaan van de lineaire afbouw van dispensatierechten die volgt uit de nationale reductiefactor. Hierdoor resteert een afstand tot het heffingsdoel en daarmee verwachte grondslag voor de CO</w:t>
      </w:r>
      <w:r w:rsidRPr="0060331F">
        <w:rPr>
          <w:rFonts w:eastAsia="Verdana" w:cs="Verdana"/>
          <w:szCs w:val="18"/>
          <w:vertAlign w:val="subscript"/>
        </w:rPr>
        <w:t>2</w:t>
      </w:r>
      <w:r w:rsidRPr="00EA4DEC">
        <w:rPr>
          <w:rFonts w:eastAsia="Verdana" w:cs="Verdana"/>
          <w:szCs w:val="18"/>
        </w:rPr>
        <w:t xml:space="preserve"> heffing van 2 </w:t>
      </w:r>
      <w:proofErr w:type="spellStart"/>
      <w:r w:rsidRPr="00EA4DEC">
        <w:rPr>
          <w:rFonts w:eastAsia="Verdana" w:cs="Verdana"/>
          <w:szCs w:val="18"/>
        </w:rPr>
        <w:t>Mton</w:t>
      </w:r>
      <w:proofErr w:type="spellEnd"/>
      <w:r w:rsidRPr="00EA4DEC">
        <w:rPr>
          <w:rFonts w:eastAsia="Verdana" w:cs="Verdana"/>
          <w:szCs w:val="18"/>
        </w:rPr>
        <w:t xml:space="preserve"> in 2025, oplopend tot 4,6 </w:t>
      </w:r>
      <w:proofErr w:type="spellStart"/>
      <w:r w:rsidRPr="00EA4DEC">
        <w:rPr>
          <w:rFonts w:eastAsia="Verdana" w:cs="Verdana"/>
          <w:szCs w:val="18"/>
        </w:rPr>
        <w:t>Mton</w:t>
      </w:r>
      <w:proofErr w:type="spellEnd"/>
      <w:r w:rsidRPr="00EA4DEC">
        <w:rPr>
          <w:rFonts w:eastAsia="Verdana" w:cs="Verdana"/>
          <w:szCs w:val="18"/>
        </w:rPr>
        <w:t xml:space="preserve"> in 2028. Door</w:t>
      </w:r>
      <w:r>
        <w:rPr>
          <w:rFonts w:eastAsia="Verdana" w:cs="Verdana"/>
          <w:szCs w:val="18"/>
        </w:rPr>
        <w:t xml:space="preserve"> dit </w:t>
      </w:r>
      <w:r w:rsidRPr="00EA4DEC">
        <w:rPr>
          <w:rFonts w:eastAsia="Verdana" w:cs="Verdana"/>
          <w:szCs w:val="18"/>
        </w:rPr>
        <w:t>tekort te gebruiken als basis voor de berekening is impliciet aangenomen dat alle bedrijven met een overschot aan dispensatierechten deze volledig verkopen aan bedrijven met een tekort aan dispensatierechten</w:t>
      </w:r>
      <w:r w:rsidRPr="00265932">
        <w:rPr>
          <w:rFonts w:eastAsia="Verdana" w:cs="Verdana"/>
          <w:szCs w:val="18"/>
        </w:rPr>
        <w:t xml:space="preserve"> </w:t>
      </w:r>
      <w:r>
        <w:rPr>
          <w:rFonts w:eastAsia="Verdana" w:cs="Verdana"/>
          <w:szCs w:val="18"/>
        </w:rPr>
        <w:t xml:space="preserve">en dat bedrijven daarnaast gebruik maken van de </w:t>
      </w:r>
      <w:proofErr w:type="spellStart"/>
      <w:r>
        <w:rPr>
          <w:rFonts w:eastAsia="Verdana" w:cs="Verdana"/>
          <w:szCs w:val="18"/>
        </w:rPr>
        <w:t>carry</w:t>
      </w:r>
      <w:proofErr w:type="spellEnd"/>
      <w:r>
        <w:rPr>
          <w:rFonts w:eastAsia="Verdana" w:cs="Verdana"/>
          <w:szCs w:val="18"/>
        </w:rPr>
        <w:t xml:space="preserve"> back; alleen het ‘netto’ tekort wordt in deze berekeningen belast</w:t>
      </w:r>
      <w:r w:rsidRPr="00EA4DEC">
        <w:rPr>
          <w:rFonts w:eastAsia="Verdana" w:cs="Verdana"/>
          <w:szCs w:val="18"/>
        </w:rPr>
        <w:t>.</w:t>
      </w:r>
      <w:r>
        <w:rPr>
          <w:rFonts w:eastAsia="Verdana" w:cs="Verdana"/>
          <w:szCs w:val="18"/>
        </w:rPr>
        <w:t xml:space="preserve"> </w:t>
      </w:r>
    </w:p>
    <w:p w:rsidR="00E95DF9" w:rsidP="00E95DF9" w:rsidRDefault="00E95DF9" w14:paraId="30FF0655" w14:textId="77777777">
      <w:pPr>
        <w:rPr>
          <w:rFonts w:eastAsia="Verdana" w:cs="Verdana"/>
          <w:szCs w:val="18"/>
        </w:rPr>
      </w:pPr>
    </w:p>
    <w:p w:rsidR="00E95DF9" w:rsidP="00E95DF9" w:rsidRDefault="00E95DF9" w14:paraId="42A2C16C" w14:textId="77777777">
      <w:pPr>
        <w:rPr>
          <w:rFonts w:eastAsia="Verdana" w:cs="Verdana"/>
          <w:szCs w:val="18"/>
        </w:rPr>
      </w:pPr>
      <w:r w:rsidRPr="00EA4DEC">
        <w:rPr>
          <w:rFonts w:eastAsia="Verdana" w:cs="Verdana"/>
          <w:szCs w:val="18"/>
        </w:rPr>
        <w:t>Onder de CO</w:t>
      </w:r>
      <w:r w:rsidRPr="0060331F">
        <w:rPr>
          <w:rFonts w:eastAsia="Verdana" w:cs="Verdana"/>
          <w:szCs w:val="18"/>
          <w:vertAlign w:val="subscript"/>
        </w:rPr>
        <w:t>2</w:t>
      </w:r>
      <w:r>
        <w:rPr>
          <w:rFonts w:eastAsia="Verdana" w:cs="Verdana"/>
          <w:szCs w:val="18"/>
        </w:rPr>
        <w:t>-</w:t>
      </w:r>
      <w:r w:rsidRPr="00EA4DEC">
        <w:rPr>
          <w:rFonts w:eastAsia="Verdana" w:cs="Verdana"/>
          <w:szCs w:val="18"/>
        </w:rPr>
        <w:t xml:space="preserve">heffing </w:t>
      </w:r>
      <w:r>
        <w:rPr>
          <w:rFonts w:eastAsia="Verdana" w:cs="Verdana"/>
          <w:szCs w:val="18"/>
        </w:rPr>
        <w:t xml:space="preserve">industrie </w:t>
      </w:r>
      <w:r w:rsidRPr="00EA4DEC">
        <w:rPr>
          <w:rFonts w:eastAsia="Verdana" w:cs="Verdana"/>
          <w:szCs w:val="18"/>
        </w:rPr>
        <w:t>wordt uitstoot belast tegen het verschil tussen de CO</w:t>
      </w:r>
      <w:r w:rsidRPr="0060331F">
        <w:rPr>
          <w:rFonts w:eastAsia="Verdana" w:cs="Verdana"/>
          <w:szCs w:val="18"/>
          <w:vertAlign w:val="subscript"/>
        </w:rPr>
        <w:t>2</w:t>
      </w:r>
      <w:r>
        <w:rPr>
          <w:rFonts w:eastAsia="Verdana" w:cs="Verdana"/>
          <w:szCs w:val="18"/>
        </w:rPr>
        <w:t>-</w:t>
      </w:r>
      <w:r w:rsidRPr="00EA4DEC">
        <w:rPr>
          <w:rFonts w:eastAsia="Verdana" w:cs="Verdana"/>
          <w:szCs w:val="18"/>
        </w:rPr>
        <w:t>heffing en de ETS-prijs. Hierbij werd uitgegaan van een oplopende ETS</w:t>
      </w:r>
      <w:r>
        <w:rPr>
          <w:rFonts w:eastAsia="Verdana" w:cs="Verdana"/>
          <w:szCs w:val="18"/>
        </w:rPr>
        <w:t>-</w:t>
      </w:r>
      <w:r w:rsidRPr="00EA4DEC">
        <w:rPr>
          <w:rFonts w:eastAsia="Verdana" w:cs="Verdana"/>
          <w:szCs w:val="18"/>
        </w:rPr>
        <w:t>prijs van 72 euro in 2024 tot 111 euro in 2030 conform de Klimaat en Energieverkenning 2023 en ontwikkeling van de marktprijzen op het moment van ramen. Dit leidt tot een heffing onder de CO</w:t>
      </w:r>
      <w:r w:rsidRPr="0060331F">
        <w:rPr>
          <w:rFonts w:eastAsia="Verdana" w:cs="Verdana"/>
          <w:szCs w:val="18"/>
          <w:vertAlign w:val="subscript"/>
        </w:rPr>
        <w:t>2</w:t>
      </w:r>
      <w:r>
        <w:rPr>
          <w:rFonts w:eastAsia="Verdana" w:cs="Verdana"/>
          <w:szCs w:val="18"/>
        </w:rPr>
        <w:t>-</w:t>
      </w:r>
      <w:r w:rsidRPr="00EA4DEC">
        <w:rPr>
          <w:rFonts w:eastAsia="Verdana" w:cs="Verdana"/>
          <w:szCs w:val="18"/>
        </w:rPr>
        <w:t xml:space="preserve">heffing van € 9 euro in 2025 tot € 27 </w:t>
      </w:r>
      <w:r>
        <w:rPr>
          <w:rFonts w:eastAsia="Verdana" w:cs="Verdana"/>
          <w:szCs w:val="18"/>
        </w:rPr>
        <w:t xml:space="preserve">per ton </w:t>
      </w:r>
      <w:r w:rsidRPr="00EA4DEC">
        <w:rPr>
          <w:rFonts w:eastAsia="Verdana" w:cs="Verdana"/>
          <w:szCs w:val="18"/>
        </w:rPr>
        <w:t>CO</w:t>
      </w:r>
      <w:r w:rsidRPr="0060331F">
        <w:rPr>
          <w:rFonts w:eastAsia="Verdana" w:cs="Verdana"/>
          <w:szCs w:val="18"/>
          <w:vertAlign w:val="subscript"/>
        </w:rPr>
        <w:t>2</w:t>
      </w:r>
      <w:r>
        <w:rPr>
          <w:rFonts w:eastAsia="Verdana" w:cs="Verdana"/>
          <w:szCs w:val="18"/>
        </w:rPr>
        <w:t xml:space="preserve"> </w:t>
      </w:r>
      <w:r w:rsidRPr="00EA4DEC">
        <w:rPr>
          <w:rFonts w:eastAsia="Verdana" w:cs="Verdana"/>
          <w:szCs w:val="18"/>
        </w:rPr>
        <w:t>in 2028. De jaarlijkse budgettaire opbrengst volgt door vermenigvuldiging van het tarief met de belastbare grondslag en telt cumulatief tijdens de kabinetsperiode op tot € 291 miljoen.</w:t>
      </w:r>
    </w:p>
    <w:p w:rsidR="00E95DF9" w:rsidP="00E95DF9" w:rsidRDefault="00E95DF9" w14:paraId="78E31E34" w14:textId="77777777">
      <w:pPr>
        <w:rPr>
          <w:rFonts w:eastAsia="Verdana" w:cs="Verdana"/>
          <w:szCs w:val="18"/>
        </w:rPr>
      </w:pPr>
    </w:p>
    <w:p w:rsidRPr="00663416" w:rsidR="00E95DF9" w:rsidP="00E95DF9" w:rsidRDefault="00E95DF9" w14:paraId="3C0AA627" w14:textId="77777777">
      <w:pPr>
        <w:rPr>
          <w:rFonts w:eastAsia="Verdana" w:cs="Verdana"/>
          <w:szCs w:val="18"/>
        </w:rPr>
      </w:pPr>
    </w:p>
    <w:tbl>
      <w:tblPr>
        <w:tblStyle w:val="Lijsttabel3-Accent1"/>
        <w:tblW w:w="7933" w:type="dxa"/>
        <w:tblInd w:w="-10" w:type="dxa"/>
        <w:tblLayout w:type="fixed"/>
        <w:tblLook w:val="04A0" w:firstRow="1" w:lastRow="0" w:firstColumn="1" w:lastColumn="0" w:noHBand="0" w:noVBand="1"/>
      </w:tblPr>
      <w:tblGrid>
        <w:gridCol w:w="3701"/>
        <w:gridCol w:w="1058"/>
        <w:gridCol w:w="1058"/>
        <w:gridCol w:w="1058"/>
        <w:gridCol w:w="1058"/>
      </w:tblGrid>
      <w:tr w:rsidR="00E95DF9" w:rsidTr="002A7820" w14:paraId="70CA8E54" w14:textId="77777777">
        <w:trPr>
          <w:cnfStyle w:val="100000000000" w:firstRow="1" w:lastRow="0" w:firstColumn="0" w:lastColumn="0" w:oddVBand="0" w:evenVBand="0" w:oddHBand="0" w:evenHBand="0" w:firstRowFirstColumn="0" w:firstRowLastColumn="0" w:lastRowFirstColumn="0" w:lastRowLastColumn="0"/>
          <w:trHeight w:val="255"/>
        </w:trPr>
        <w:tc>
          <w:tcPr>
            <w:cnfStyle w:val="001000000100" w:firstRow="0" w:lastRow="0" w:firstColumn="1" w:lastColumn="0" w:oddVBand="0" w:evenVBand="0" w:oddHBand="0" w:evenHBand="0" w:firstRowFirstColumn="1" w:firstRowLastColumn="0" w:lastRowFirstColumn="0" w:lastRowLastColumn="0"/>
            <w:tcW w:w="3701" w:type="dxa"/>
            <w:tcBorders>
              <w:top w:val="single" w:color="156082" w:themeColor="accent1" w:sz="8" w:space="0"/>
              <w:left w:val="single" w:color="156082" w:themeColor="accent1" w:sz="8" w:space="0"/>
            </w:tcBorders>
            <w:tcMar>
              <w:left w:w="108" w:type="dxa"/>
              <w:right w:w="108" w:type="dxa"/>
            </w:tcMar>
          </w:tcPr>
          <w:p w:rsidR="00E95DF9" w:rsidP="002A7820" w:rsidRDefault="00E95DF9" w14:paraId="7F950A58" w14:textId="77777777"/>
        </w:tc>
        <w:tc>
          <w:tcPr>
            <w:tcW w:w="1058" w:type="dxa"/>
            <w:tcBorders>
              <w:top w:val="single" w:color="156082" w:themeColor="accent1" w:sz="8" w:space="0"/>
              <w:left w:val="nil"/>
              <w:bottom w:val="nil"/>
              <w:right w:val="nil"/>
            </w:tcBorders>
            <w:tcMar>
              <w:left w:w="108" w:type="dxa"/>
              <w:right w:w="108" w:type="dxa"/>
            </w:tcMar>
          </w:tcPr>
          <w:p w:rsidR="00E95DF9" w:rsidP="002A7820" w:rsidRDefault="00E95DF9" w14:paraId="13BACC8E" w14:textId="77777777">
            <w:pPr>
              <w:jc w:val="right"/>
              <w:cnfStyle w:val="100000000000" w:firstRow="1" w:lastRow="0" w:firstColumn="0" w:lastColumn="0" w:oddVBand="0" w:evenVBand="0" w:oddHBand="0" w:evenHBand="0" w:firstRowFirstColumn="0" w:firstRowLastColumn="0" w:lastRowFirstColumn="0" w:lastRowLastColumn="0"/>
            </w:pPr>
            <w:r w:rsidRPr="5AF0831B">
              <w:rPr>
                <w:rFonts w:ascii="Calibri" w:hAnsi="Calibri" w:eastAsia="Calibri" w:cs="Calibri"/>
                <w:sz w:val="22"/>
                <w:szCs w:val="22"/>
              </w:rPr>
              <w:t>2025</w:t>
            </w:r>
          </w:p>
        </w:tc>
        <w:tc>
          <w:tcPr>
            <w:tcW w:w="1058" w:type="dxa"/>
            <w:tcBorders>
              <w:top w:val="single" w:color="156082" w:themeColor="accent1" w:sz="8" w:space="0"/>
              <w:left w:val="nil"/>
              <w:bottom w:val="nil"/>
              <w:right w:val="nil"/>
            </w:tcBorders>
            <w:tcMar>
              <w:left w:w="108" w:type="dxa"/>
              <w:right w:w="108" w:type="dxa"/>
            </w:tcMar>
          </w:tcPr>
          <w:p w:rsidR="00E95DF9" w:rsidP="002A7820" w:rsidRDefault="00E95DF9" w14:paraId="00461D5C" w14:textId="77777777">
            <w:pPr>
              <w:jc w:val="right"/>
              <w:cnfStyle w:val="100000000000" w:firstRow="1" w:lastRow="0" w:firstColumn="0" w:lastColumn="0" w:oddVBand="0" w:evenVBand="0" w:oddHBand="0" w:evenHBand="0" w:firstRowFirstColumn="0" w:firstRowLastColumn="0" w:lastRowFirstColumn="0" w:lastRowLastColumn="0"/>
            </w:pPr>
            <w:r w:rsidRPr="5AF0831B">
              <w:rPr>
                <w:rFonts w:ascii="Calibri" w:hAnsi="Calibri" w:eastAsia="Calibri" w:cs="Calibri"/>
                <w:sz w:val="22"/>
                <w:szCs w:val="22"/>
              </w:rPr>
              <w:t>2026</w:t>
            </w:r>
          </w:p>
        </w:tc>
        <w:tc>
          <w:tcPr>
            <w:tcW w:w="1058" w:type="dxa"/>
            <w:tcBorders>
              <w:top w:val="single" w:color="156082" w:themeColor="accent1" w:sz="8" w:space="0"/>
              <w:left w:val="nil"/>
              <w:bottom w:val="nil"/>
              <w:right w:val="nil"/>
            </w:tcBorders>
            <w:tcMar>
              <w:left w:w="108" w:type="dxa"/>
              <w:right w:w="108" w:type="dxa"/>
            </w:tcMar>
          </w:tcPr>
          <w:p w:rsidR="00E95DF9" w:rsidP="002A7820" w:rsidRDefault="00E95DF9" w14:paraId="1CE107A0" w14:textId="77777777">
            <w:pPr>
              <w:jc w:val="right"/>
              <w:cnfStyle w:val="100000000000" w:firstRow="1" w:lastRow="0" w:firstColumn="0" w:lastColumn="0" w:oddVBand="0" w:evenVBand="0" w:oddHBand="0" w:evenHBand="0" w:firstRowFirstColumn="0" w:firstRowLastColumn="0" w:lastRowFirstColumn="0" w:lastRowLastColumn="0"/>
            </w:pPr>
            <w:r w:rsidRPr="5AF0831B">
              <w:rPr>
                <w:rFonts w:ascii="Calibri" w:hAnsi="Calibri" w:eastAsia="Calibri" w:cs="Calibri"/>
                <w:sz w:val="22"/>
                <w:szCs w:val="22"/>
              </w:rPr>
              <w:t>2027</w:t>
            </w:r>
          </w:p>
        </w:tc>
        <w:tc>
          <w:tcPr>
            <w:tcW w:w="1058" w:type="dxa"/>
            <w:tcBorders>
              <w:top w:val="single" w:color="156082" w:themeColor="accent1" w:sz="8" w:space="0"/>
              <w:left w:val="nil"/>
              <w:bottom w:val="nil"/>
              <w:right w:val="single" w:color="156082" w:themeColor="accent1" w:sz="8" w:space="0"/>
            </w:tcBorders>
            <w:tcMar>
              <w:left w:w="108" w:type="dxa"/>
              <w:right w:w="108" w:type="dxa"/>
            </w:tcMar>
          </w:tcPr>
          <w:p w:rsidR="00E95DF9" w:rsidP="002A7820" w:rsidRDefault="00E95DF9" w14:paraId="7FEE3740" w14:textId="77777777">
            <w:pPr>
              <w:jc w:val="right"/>
              <w:cnfStyle w:val="100000000000" w:firstRow="1" w:lastRow="0" w:firstColumn="0" w:lastColumn="0" w:oddVBand="0" w:evenVBand="0" w:oddHBand="0" w:evenHBand="0" w:firstRowFirstColumn="0" w:firstRowLastColumn="0" w:lastRowFirstColumn="0" w:lastRowLastColumn="0"/>
            </w:pPr>
            <w:r w:rsidRPr="5AF0831B">
              <w:rPr>
                <w:rFonts w:ascii="Calibri" w:hAnsi="Calibri" w:eastAsia="Calibri" w:cs="Calibri"/>
                <w:sz w:val="22"/>
                <w:szCs w:val="22"/>
              </w:rPr>
              <w:t>2028</w:t>
            </w:r>
          </w:p>
        </w:tc>
      </w:tr>
      <w:tr w:rsidR="00E95DF9" w:rsidTr="002A7820" w14:paraId="62092472" w14:textId="7777777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701" w:type="dxa"/>
            <w:tcBorders>
              <w:top w:val="single" w:color="156082" w:themeColor="accent1" w:sz="8" w:space="0"/>
              <w:left w:val="single" w:color="156082" w:themeColor="accent1" w:sz="8" w:space="0"/>
              <w:bottom w:val="single" w:color="156082" w:themeColor="accent1" w:sz="8" w:space="0"/>
            </w:tcBorders>
            <w:tcMar>
              <w:left w:w="108" w:type="dxa"/>
              <w:right w:w="108" w:type="dxa"/>
            </w:tcMar>
          </w:tcPr>
          <w:p w:rsidRPr="00426668" w:rsidR="00E95DF9" w:rsidP="002A7820" w:rsidRDefault="00E95DF9" w14:paraId="25C324ED" w14:textId="77777777">
            <w:pPr>
              <w:rPr>
                <w:b w:val="0"/>
                <w:bCs w:val="0"/>
                <w:szCs w:val="18"/>
              </w:rPr>
            </w:pPr>
            <w:r w:rsidRPr="00426668">
              <w:rPr>
                <w:rFonts w:eastAsia="Calibri" w:cs="Calibri"/>
                <w:b w:val="0"/>
                <w:bCs w:val="0"/>
                <w:color w:val="000000" w:themeColor="text1"/>
                <w:szCs w:val="18"/>
              </w:rPr>
              <w:t xml:space="preserve">Dispensatierechten in </w:t>
            </w:r>
            <w:proofErr w:type="spellStart"/>
            <w:r w:rsidRPr="00426668">
              <w:rPr>
                <w:rFonts w:eastAsia="Calibri" w:cs="Calibri"/>
                <w:b w:val="0"/>
                <w:bCs w:val="0"/>
                <w:color w:val="000000" w:themeColor="text1"/>
                <w:szCs w:val="18"/>
              </w:rPr>
              <w:t>Mton</w:t>
            </w:r>
            <w:proofErr w:type="spellEnd"/>
          </w:p>
        </w:tc>
        <w:tc>
          <w:tcPr>
            <w:tcW w:w="1058" w:type="dxa"/>
            <w:tcBorders>
              <w:top w:val="single" w:color="156082" w:themeColor="accent1" w:sz="8" w:space="0"/>
              <w:left w:val="nil"/>
              <w:bottom w:val="single" w:color="156082" w:themeColor="accent1" w:sz="8" w:space="0"/>
              <w:right w:val="nil"/>
            </w:tcBorders>
            <w:tcMar>
              <w:left w:w="108" w:type="dxa"/>
              <w:right w:w="108" w:type="dxa"/>
            </w:tcMar>
          </w:tcPr>
          <w:p w:rsidRPr="00426668" w:rsidR="00E95DF9" w:rsidP="002A7820" w:rsidRDefault="00E95DF9" w14:paraId="4A6C6E0A" w14:textId="77777777">
            <w:pPr>
              <w:jc w:val="right"/>
              <w:cnfStyle w:val="000000100000" w:firstRow="0" w:lastRow="0" w:firstColumn="0" w:lastColumn="0" w:oddVBand="0" w:evenVBand="0" w:oddHBand="1" w:evenHBand="0" w:firstRowFirstColumn="0" w:firstRowLastColumn="0" w:lastRowFirstColumn="0" w:lastRowLastColumn="0"/>
              <w:rPr>
                <w:szCs w:val="18"/>
              </w:rPr>
            </w:pPr>
            <w:r w:rsidRPr="00426668">
              <w:rPr>
                <w:rFonts w:eastAsia="Aptos" w:cs="Aptos"/>
                <w:szCs w:val="18"/>
              </w:rPr>
              <w:t>38,0</w:t>
            </w:r>
          </w:p>
        </w:tc>
        <w:tc>
          <w:tcPr>
            <w:tcW w:w="1058" w:type="dxa"/>
            <w:tcBorders>
              <w:top w:val="single" w:color="156082" w:themeColor="accent1" w:sz="8" w:space="0"/>
              <w:left w:val="nil"/>
              <w:bottom w:val="single" w:color="156082" w:themeColor="accent1" w:sz="8" w:space="0"/>
              <w:right w:val="nil"/>
            </w:tcBorders>
            <w:tcMar>
              <w:left w:w="108" w:type="dxa"/>
              <w:right w:w="108" w:type="dxa"/>
            </w:tcMar>
          </w:tcPr>
          <w:p w:rsidRPr="00426668" w:rsidR="00E95DF9" w:rsidP="002A7820" w:rsidRDefault="00E95DF9" w14:paraId="3CC65C96" w14:textId="77777777">
            <w:pPr>
              <w:jc w:val="right"/>
              <w:cnfStyle w:val="000000100000" w:firstRow="0" w:lastRow="0" w:firstColumn="0" w:lastColumn="0" w:oddVBand="0" w:evenVBand="0" w:oddHBand="1" w:evenHBand="0" w:firstRowFirstColumn="0" w:firstRowLastColumn="0" w:lastRowFirstColumn="0" w:lastRowLastColumn="0"/>
              <w:rPr>
                <w:szCs w:val="18"/>
              </w:rPr>
            </w:pPr>
            <w:r w:rsidRPr="00426668">
              <w:rPr>
                <w:rFonts w:eastAsia="Aptos" w:cs="Aptos"/>
                <w:szCs w:val="18"/>
              </w:rPr>
              <w:t>35,4</w:t>
            </w:r>
          </w:p>
        </w:tc>
        <w:tc>
          <w:tcPr>
            <w:tcW w:w="1058" w:type="dxa"/>
            <w:tcBorders>
              <w:top w:val="single" w:color="156082" w:themeColor="accent1" w:sz="8" w:space="0"/>
              <w:left w:val="nil"/>
              <w:bottom w:val="single" w:color="156082" w:themeColor="accent1" w:sz="8" w:space="0"/>
              <w:right w:val="nil"/>
            </w:tcBorders>
            <w:tcMar>
              <w:left w:w="108" w:type="dxa"/>
              <w:right w:w="108" w:type="dxa"/>
            </w:tcMar>
          </w:tcPr>
          <w:p w:rsidRPr="00426668" w:rsidR="00E95DF9" w:rsidP="002A7820" w:rsidRDefault="00E95DF9" w14:paraId="20DAB000" w14:textId="77777777">
            <w:pPr>
              <w:jc w:val="right"/>
              <w:cnfStyle w:val="000000100000" w:firstRow="0" w:lastRow="0" w:firstColumn="0" w:lastColumn="0" w:oddVBand="0" w:evenVBand="0" w:oddHBand="1" w:evenHBand="0" w:firstRowFirstColumn="0" w:firstRowLastColumn="0" w:lastRowFirstColumn="0" w:lastRowLastColumn="0"/>
              <w:rPr>
                <w:szCs w:val="18"/>
              </w:rPr>
            </w:pPr>
            <w:r w:rsidRPr="00426668">
              <w:rPr>
                <w:rFonts w:eastAsia="Aptos" w:cs="Aptos"/>
                <w:szCs w:val="18"/>
              </w:rPr>
              <w:t>32,8</w:t>
            </w:r>
          </w:p>
        </w:tc>
        <w:tc>
          <w:tcPr>
            <w:tcW w:w="1058" w:type="dxa"/>
            <w:tcBorders>
              <w:top w:val="single" w:color="156082" w:themeColor="accent1" w:sz="8" w:space="0"/>
              <w:left w:val="nil"/>
              <w:bottom w:val="single" w:color="156082" w:themeColor="accent1" w:sz="8" w:space="0"/>
              <w:right w:val="single" w:color="156082" w:themeColor="accent1" w:sz="8" w:space="0"/>
            </w:tcBorders>
            <w:tcMar>
              <w:left w:w="108" w:type="dxa"/>
              <w:right w:w="108" w:type="dxa"/>
            </w:tcMar>
          </w:tcPr>
          <w:p w:rsidRPr="00426668" w:rsidR="00E95DF9" w:rsidP="002A7820" w:rsidRDefault="00E95DF9" w14:paraId="009EAABF" w14:textId="77777777">
            <w:pPr>
              <w:jc w:val="right"/>
              <w:cnfStyle w:val="000000100000" w:firstRow="0" w:lastRow="0" w:firstColumn="0" w:lastColumn="0" w:oddVBand="0" w:evenVBand="0" w:oddHBand="1" w:evenHBand="0" w:firstRowFirstColumn="0" w:firstRowLastColumn="0" w:lastRowFirstColumn="0" w:lastRowLastColumn="0"/>
              <w:rPr>
                <w:szCs w:val="18"/>
              </w:rPr>
            </w:pPr>
            <w:r w:rsidRPr="00426668">
              <w:rPr>
                <w:rFonts w:eastAsia="Aptos" w:cs="Aptos"/>
                <w:szCs w:val="18"/>
              </w:rPr>
              <w:t>30,2</w:t>
            </w:r>
          </w:p>
        </w:tc>
      </w:tr>
      <w:tr w:rsidR="00E95DF9" w:rsidTr="002A7820" w14:paraId="77BDE34C" w14:textId="77777777">
        <w:trPr>
          <w:trHeight w:val="255"/>
        </w:trPr>
        <w:tc>
          <w:tcPr>
            <w:cnfStyle w:val="001000000000" w:firstRow="0" w:lastRow="0" w:firstColumn="1" w:lastColumn="0" w:oddVBand="0" w:evenVBand="0" w:oddHBand="0" w:evenHBand="0" w:firstRowFirstColumn="0" w:firstRowLastColumn="0" w:lastRowFirstColumn="0" w:lastRowLastColumn="0"/>
            <w:tcW w:w="3701" w:type="dxa"/>
            <w:tcBorders>
              <w:top w:val="single" w:color="156082" w:themeColor="accent1" w:sz="8" w:space="0"/>
              <w:left w:val="single" w:color="156082" w:themeColor="accent1" w:sz="8" w:space="0"/>
              <w:bottom w:val="nil"/>
            </w:tcBorders>
            <w:tcMar>
              <w:left w:w="108" w:type="dxa"/>
              <w:right w:w="108" w:type="dxa"/>
            </w:tcMar>
          </w:tcPr>
          <w:p w:rsidRPr="00426668" w:rsidR="00E95DF9" w:rsidP="002A7820" w:rsidRDefault="00E95DF9" w14:paraId="13C81910" w14:textId="77777777">
            <w:pPr>
              <w:rPr>
                <w:b w:val="0"/>
                <w:bCs w:val="0"/>
                <w:szCs w:val="18"/>
              </w:rPr>
            </w:pPr>
            <w:r w:rsidRPr="00426668">
              <w:rPr>
                <w:rFonts w:eastAsia="Calibri" w:cs="Calibri"/>
                <w:b w:val="0"/>
                <w:bCs w:val="0"/>
                <w:color w:val="000000" w:themeColor="text1"/>
                <w:szCs w:val="18"/>
              </w:rPr>
              <w:t xml:space="preserve">Uitstoot in </w:t>
            </w:r>
            <w:proofErr w:type="spellStart"/>
            <w:r w:rsidRPr="00426668">
              <w:rPr>
                <w:rFonts w:eastAsia="Calibri" w:cs="Calibri"/>
                <w:b w:val="0"/>
                <w:bCs w:val="0"/>
                <w:color w:val="000000" w:themeColor="text1"/>
                <w:szCs w:val="18"/>
              </w:rPr>
              <w:t>Mton</w:t>
            </w:r>
            <w:proofErr w:type="spellEnd"/>
          </w:p>
        </w:tc>
        <w:tc>
          <w:tcPr>
            <w:tcW w:w="1058" w:type="dxa"/>
            <w:tcBorders>
              <w:top w:val="single" w:color="156082" w:themeColor="accent1" w:sz="8" w:space="0"/>
              <w:left w:val="nil"/>
              <w:bottom w:val="nil"/>
              <w:right w:val="nil"/>
            </w:tcBorders>
            <w:tcMar>
              <w:left w:w="108" w:type="dxa"/>
              <w:right w:w="108" w:type="dxa"/>
            </w:tcMar>
          </w:tcPr>
          <w:p w:rsidRPr="00426668" w:rsidR="00E95DF9" w:rsidP="002A7820" w:rsidRDefault="00E95DF9" w14:paraId="7E762C1D" w14:textId="77777777">
            <w:pPr>
              <w:jc w:val="right"/>
              <w:cnfStyle w:val="000000000000" w:firstRow="0" w:lastRow="0" w:firstColumn="0" w:lastColumn="0" w:oddVBand="0" w:evenVBand="0" w:oddHBand="0" w:evenHBand="0" w:firstRowFirstColumn="0" w:firstRowLastColumn="0" w:lastRowFirstColumn="0" w:lastRowLastColumn="0"/>
              <w:rPr>
                <w:szCs w:val="18"/>
              </w:rPr>
            </w:pPr>
            <w:r w:rsidRPr="00426668">
              <w:rPr>
                <w:rFonts w:eastAsia="Aptos" w:cs="Aptos"/>
                <w:szCs w:val="18"/>
              </w:rPr>
              <w:t xml:space="preserve"> 40,0 </w:t>
            </w:r>
          </w:p>
        </w:tc>
        <w:tc>
          <w:tcPr>
            <w:tcW w:w="1058" w:type="dxa"/>
            <w:tcBorders>
              <w:top w:val="single" w:color="156082" w:themeColor="accent1" w:sz="8" w:space="0"/>
              <w:left w:val="nil"/>
              <w:bottom w:val="nil"/>
              <w:right w:val="nil"/>
            </w:tcBorders>
            <w:tcMar>
              <w:left w:w="108" w:type="dxa"/>
              <w:right w:w="108" w:type="dxa"/>
            </w:tcMar>
          </w:tcPr>
          <w:p w:rsidRPr="00426668" w:rsidR="00E95DF9" w:rsidP="002A7820" w:rsidRDefault="00E95DF9" w14:paraId="1687424F" w14:textId="77777777">
            <w:pPr>
              <w:jc w:val="right"/>
              <w:cnfStyle w:val="000000000000" w:firstRow="0" w:lastRow="0" w:firstColumn="0" w:lastColumn="0" w:oddVBand="0" w:evenVBand="0" w:oddHBand="0" w:evenHBand="0" w:firstRowFirstColumn="0" w:firstRowLastColumn="0" w:lastRowFirstColumn="0" w:lastRowLastColumn="0"/>
              <w:rPr>
                <w:szCs w:val="18"/>
              </w:rPr>
            </w:pPr>
            <w:r w:rsidRPr="00426668">
              <w:rPr>
                <w:rFonts w:eastAsia="Aptos" w:cs="Aptos"/>
                <w:szCs w:val="18"/>
              </w:rPr>
              <w:t xml:space="preserve"> 39,6 </w:t>
            </w:r>
          </w:p>
        </w:tc>
        <w:tc>
          <w:tcPr>
            <w:tcW w:w="1058" w:type="dxa"/>
            <w:tcBorders>
              <w:top w:val="single" w:color="156082" w:themeColor="accent1" w:sz="8" w:space="0"/>
              <w:left w:val="nil"/>
              <w:bottom w:val="nil"/>
              <w:right w:val="nil"/>
            </w:tcBorders>
            <w:tcMar>
              <w:left w:w="108" w:type="dxa"/>
              <w:right w:w="108" w:type="dxa"/>
            </w:tcMar>
          </w:tcPr>
          <w:p w:rsidRPr="00426668" w:rsidR="00E95DF9" w:rsidP="002A7820" w:rsidRDefault="00E95DF9" w14:paraId="5E078838" w14:textId="77777777">
            <w:pPr>
              <w:jc w:val="right"/>
              <w:cnfStyle w:val="000000000000" w:firstRow="0" w:lastRow="0" w:firstColumn="0" w:lastColumn="0" w:oddVBand="0" w:evenVBand="0" w:oddHBand="0" w:evenHBand="0" w:firstRowFirstColumn="0" w:firstRowLastColumn="0" w:lastRowFirstColumn="0" w:lastRowLastColumn="0"/>
              <w:rPr>
                <w:szCs w:val="18"/>
              </w:rPr>
            </w:pPr>
            <w:r w:rsidRPr="00426668">
              <w:rPr>
                <w:rFonts w:eastAsia="Aptos" w:cs="Aptos"/>
                <w:szCs w:val="18"/>
              </w:rPr>
              <w:t xml:space="preserve"> 37,1 </w:t>
            </w:r>
          </w:p>
        </w:tc>
        <w:tc>
          <w:tcPr>
            <w:tcW w:w="1058" w:type="dxa"/>
            <w:tcBorders>
              <w:top w:val="single" w:color="156082" w:themeColor="accent1" w:sz="8" w:space="0"/>
              <w:left w:val="nil"/>
              <w:bottom w:val="nil"/>
              <w:right w:val="single" w:color="156082" w:themeColor="accent1" w:sz="8" w:space="0"/>
            </w:tcBorders>
            <w:tcMar>
              <w:left w:w="108" w:type="dxa"/>
              <w:right w:w="108" w:type="dxa"/>
            </w:tcMar>
          </w:tcPr>
          <w:p w:rsidRPr="00426668" w:rsidR="00E95DF9" w:rsidP="002A7820" w:rsidRDefault="00E95DF9" w14:paraId="6201BD09" w14:textId="77777777">
            <w:pPr>
              <w:jc w:val="right"/>
              <w:cnfStyle w:val="000000000000" w:firstRow="0" w:lastRow="0" w:firstColumn="0" w:lastColumn="0" w:oddVBand="0" w:evenVBand="0" w:oddHBand="0" w:evenHBand="0" w:firstRowFirstColumn="0" w:firstRowLastColumn="0" w:lastRowFirstColumn="0" w:lastRowLastColumn="0"/>
              <w:rPr>
                <w:szCs w:val="18"/>
              </w:rPr>
            </w:pPr>
            <w:r w:rsidRPr="00426668">
              <w:rPr>
                <w:rFonts w:eastAsia="Aptos" w:cs="Aptos"/>
                <w:szCs w:val="18"/>
              </w:rPr>
              <w:t xml:space="preserve"> 34,9 </w:t>
            </w:r>
          </w:p>
        </w:tc>
      </w:tr>
      <w:tr w:rsidR="00E95DF9" w:rsidTr="002A7820" w14:paraId="7FCCE46A" w14:textId="7777777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701" w:type="dxa"/>
            <w:tcBorders>
              <w:top w:val="single" w:color="156082" w:themeColor="accent1" w:sz="8" w:space="0"/>
              <w:left w:val="single" w:color="156082" w:themeColor="accent1" w:sz="8" w:space="0"/>
              <w:bottom w:val="single" w:color="156082" w:themeColor="accent1" w:sz="8" w:space="0"/>
            </w:tcBorders>
            <w:tcMar>
              <w:left w:w="108" w:type="dxa"/>
              <w:right w:w="108" w:type="dxa"/>
            </w:tcMar>
          </w:tcPr>
          <w:p w:rsidRPr="00426668" w:rsidR="00E95DF9" w:rsidP="002A7820" w:rsidRDefault="00E95DF9" w14:paraId="4AC5E36E" w14:textId="77777777">
            <w:pPr>
              <w:rPr>
                <w:szCs w:val="18"/>
              </w:rPr>
            </w:pPr>
            <w:r w:rsidRPr="00426668">
              <w:rPr>
                <w:rFonts w:eastAsia="Calibri" w:cs="Calibri"/>
                <w:color w:val="000000" w:themeColor="text1"/>
                <w:szCs w:val="18"/>
              </w:rPr>
              <w:t xml:space="preserve">Verwachte belastbare grondslag in </w:t>
            </w:r>
            <w:proofErr w:type="spellStart"/>
            <w:r w:rsidRPr="00426668">
              <w:rPr>
                <w:rFonts w:eastAsia="Calibri" w:cs="Calibri"/>
                <w:color w:val="000000" w:themeColor="text1"/>
                <w:szCs w:val="18"/>
              </w:rPr>
              <w:t>Mton</w:t>
            </w:r>
            <w:proofErr w:type="spellEnd"/>
          </w:p>
        </w:tc>
        <w:tc>
          <w:tcPr>
            <w:tcW w:w="1058" w:type="dxa"/>
            <w:tcBorders>
              <w:top w:val="single" w:color="156082" w:themeColor="accent1" w:sz="8" w:space="0"/>
              <w:left w:val="nil"/>
              <w:bottom w:val="single" w:color="156082" w:themeColor="accent1" w:sz="8" w:space="0"/>
              <w:right w:val="nil"/>
            </w:tcBorders>
            <w:tcMar>
              <w:left w:w="108" w:type="dxa"/>
              <w:right w:w="108" w:type="dxa"/>
            </w:tcMar>
          </w:tcPr>
          <w:p w:rsidRPr="00426668" w:rsidR="00E95DF9" w:rsidP="002A7820" w:rsidRDefault="00E95DF9" w14:paraId="24B2C084" w14:textId="77777777">
            <w:pPr>
              <w:jc w:val="right"/>
              <w:cnfStyle w:val="000000100000" w:firstRow="0" w:lastRow="0" w:firstColumn="0" w:lastColumn="0" w:oddVBand="0" w:evenVBand="0" w:oddHBand="1" w:evenHBand="0" w:firstRowFirstColumn="0" w:firstRowLastColumn="0" w:lastRowFirstColumn="0" w:lastRowLastColumn="0"/>
              <w:rPr>
                <w:szCs w:val="18"/>
              </w:rPr>
            </w:pPr>
            <w:r w:rsidRPr="00426668">
              <w:rPr>
                <w:rFonts w:eastAsia="Calibri" w:cs="Calibri"/>
                <w:b/>
                <w:bCs/>
                <w:color w:val="000000" w:themeColor="text1"/>
                <w:szCs w:val="18"/>
              </w:rPr>
              <w:t>2</w:t>
            </w:r>
          </w:p>
        </w:tc>
        <w:tc>
          <w:tcPr>
            <w:tcW w:w="1058" w:type="dxa"/>
            <w:tcBorders>
              <w:top w:val="single" w:color="156082" w:themeColor="accent1" w:sz="8" w:space="0"/>
              <w:left w:val="nil"/>
              <w:bottom w:val="single" w:color="156082" w:themeColor="accent1" w:sz="8" w:space="0"/>
              <w:right w:val="nil"/>
            </w:tcBorders>
            <w:tcMar>
              <w:left w:w="108" w:type="dxa"/>
              <w:right w:w="108" w:type="dxa"/>
            </w:tcMar>
          </w:tcPr>
          <w:p w:rsidRPr="00426668" w:rsidR="00E95DF9" w:rsidP="002A7820" w:rsidRDefault="00E95DF9" w14:paraId="78903B5A" w14:textId="77777777">
            <w:pPr>
              <w:jc w:val="right"/>
              <w:cnfStyle w:val="000000100000" w:firstRow="0" w:lastRow="0" w:firstColumn="0" w:lastColumn="0" w:oddVBand="0" w:evenVBand="0" w:oddHBand="1" w:evenHBand="0" w:firstRowFirstColumn="0" w:firstRowLastColumn="0" w:lastRowFirstColumn="0" w:lastRowLastColumn="0"/>
              <w:rPr>
                <w:szCs w:val="18"/>
              </w:rPr>
            </w:pPr>
            <w:r w:rsidRPr="00426668">
              <w:rPr>
                <w:rFonts w:eastAsia="Calibri" w:cs="Calibri"/>
                <w:b/>
                <w:bCs/>
                <w:color w:val="000000" w:themeColor="text1"/>
                <w:szCs w:val="18"/>
              </w:rPr>
              <w:t>4,1</w:t>
            </w:r>
          </w:p>
        </w:tc>
        <w:tc>
          <w:tcPr>
            <w:tcW w:w="1058" w:type="dxa"/>
            <w:tcBorders>
              <w:top w:val="single" w:color="156082" w:themeColor="accent1" w:sz="8" w:space="0"/>
              <w:left w:val="nil"/>
              <w:bottom w:val="single" w:color="156082" w:themeColor="accent1" w:sz="8" w:space="0"/>
              <w:right w:val="nil"/>
            </w:tcBorders>
            <w:tcMar>
              <w:left w:w="108" w:type="dxa"/>
              <w:right w:w="108" w:type="dxa"/>
            </w:tcMar>
          </w:tcPr>
          <w:p w:rsidRPr="00426668" w:rsidR="00E95DF9" w:rsidP="002A7820" w:rsidRDefault="00E95DF9" w14:paraId="5041DCC3" w14:textId="77777777">
            <w:pPr>
              <w:jc w:val="right"/>
              <w:cnfStyle w:val="000000100000" w:firstRow="0" w:lastRow="0" w:firstColumn="0" w:lastColumn="0" w:oddVBand="0" w:evenVBand="0" w:oddHBand="1" w:evenHBand="0" w:firstRowFirstColumn="0" w:firstRowLastColumn="0" w:lastRowFirstColumn="0" w:lastRowLastColumn="0"/>
              <w:rPr>
                <w:szCs w:val="18"/>
              </w:rPr>
            </w:pPr>
            <w:r w:rsidRPr="00426668">
              <w:rPr>
                <w:rFonts w:eastAsia="Calibri" w:cs="Calibri"/>
                <w:b/>
                <w:bCs/>
                <w:color w:val="000000" w:themeColor="text1"/>
                <w:szCs w:val="18"/>
              </w:rPr>
              <w:t>4,2</w:t>
            </w:r>
          </w:p>
        </w:tc>
        <w:tc>
          <w:tcPr>
            <w:tcW w:w="1058" w:type="dxa"/>
            <w:tcBorders>
              <w:top w:val="single" w:color="156082" w:themeColor="accent1" w:sz="8" w:space="0"/>
              <w:left w:val="nil"/>
              <w:bottom w:val="single" w:color="156082" w:themeColor="accent1" w:sz="8" w:space="0"/>
              <w:right w:val="single" w:color="156082" w:themeColor="accent1" w:sz="8" w:space="0"/>
            </w:tcBorders>
            <w:tcMar>
              <w:left w:w="108" w:type="dxa"/>
              <w:right w:w="108" w:type="dxa"/>
            </w:tcMar>
          </w:tcPr>
          <w:p w:rsidRPr="00426668" w:rsidR="00E95DF9" w:rsidP="002A7820" w:rsidRDefault="00E95DF9" w14:paraId="09BF026E" w14:textId="77777777">
            <w:pPr>
              <w:jc w:val="right"/>
              <w:cnfStyle w:val="000000100000" w:firstRow="0" w:lastRow="0" w:firstColumn="0" w:lastColumn="0" w:oddVBand="0" w:evenVBand="0" w:oddHBand="1" w:evenHBand="0" w:firstRowFirstColumn="0" w:firstRowLastColumn="0" w:lastRowFirstColumn="0" w:lastRowLastColumn="0"/>
              <w:rPr>
                <w:szCs w:val="18"/>
              </w:rPr>
            </w:pPr>
            <w:r w:rsidRPr="00426668">
              <w:rPr>
                <w:rFonts w:eastAsia="Calibri" w:cs="Calibri"/>
                <w:b/>
                <w:bCs/>
                <w:color w:val="000000" w:themeColor="text1"/>
                <w:szCs w:val="18"/>
              </w:rPr>
              <w:t>4,6</w:t>
            </w:r>
          </w:p>
        </w:tc>
      </w:tr>
      <w:tr w:rsidR="00E95DF9" w:rsidTr="002A7820" w14:paraId="6D761B4C" w14:textId="77777777">
        <w:trPr>
          <w:trHeight w:val="255"/>
        </w:trPr>
        <w:tc>
          <w:tcPr>
            <w:cnfStyle w:val="001000000000" w:firstRow="0" w:lastRow="0" w:firstColumn="1" w:lastColumn="0" w:oddVBand="0" w:evenVBand="0" w:oddHBand="0" w:evenHBand="0" w:firstRowFirstColumn="0" w:firstRowLastColumn="0" w:lastRowFirstColumn="0" w:lastRowLastColumn="0"/>
            <w:tcW w:w="3701" w:type="dxa"/>
            <w:tcBorders>
              <w:top w:val="single" w:color="156082" w:themeColor="accent1" w:sz="8" w:space="0"/>
              <w:left w:val="single" w:color="156082" w:themeColor="accent1" w:sz="8" w:space="0"/>
              <w:bottom w:val="nil"/>
            </w:tcBorders>
            <w:tcMar>
              <w:left w:w="108" w:type="dxa"/>
              <w:right w:w="108" w:type="dxa"/>
            </w:tcMar>
          </w:tcPr>
          <w:p w:rsidRPr="00426668" w:rsidR="00E95DF9" w:rsidP="002A7820" w:rsidRDefault="00E95DF9" w14:paraId="7263A805" w14:textId="77777777">
            <w:pPr>
              <w:rPr>
                <w:szCs w:val="18"/>
              </w:rPr>
            </w:pPr>
            <w:r w:rsidRPr="00426668">
              <w:rPr>
                <w:rFonts w:eastAsia="Calibri" w:cs="Calibri"/>
                <w:color w:val="000000" w:themeColor="text1"/>
                <w:szCs w:val="18"/>
              </w:rPr>
              <w:t xml:space="preserve"> </w:t>
            </w:r>
          </w:p>
        </w:tc>
        <w:tc>
          <w:tcPr>
            <w:tcW w:w="1058" w:type="dxa"/>
            <w:tcBorders>
              <w:top w:val="single" w:color="156082" w:themeColor="accent1" w:sz="8" w:space="0"/>
              <w:left w:val="nil"/>
              <w:bottom w:val="nil"/>
              <w:right w:val="nil"/>
            </w:tcBorders>
            <w:tcMar>
              <w:left w:w="108" w:type="dxa"/>
              <w:right w:w="108" w:type="dxa"/>
            </w:tcMar>
          </w:tcPr>
          <w:p w:rsidRPr="00426668" w:rsidR="00E95DF9" w:rsidP="002A7820" w:rsidRDefault="00E95DF9" w14:paraId="7431CF35" w14:textId="77777777">
            <w:pPr>
              <w:jc w:val="right"/>
              <w:cnfStyle w:val="000000000000" w:firstRow="0" w:lastRow="0" w:firstColumn="0" w:lastColumn="0" w:oddVBand="0" w:evenVBand="0" w:oddHBand="0" w:evenHBand="0" w:firstRowFirstColumn="0" w:firstRowLastColumn="0" w:lastRowFirstColumn="0" w:lastRowLastColumn="0"/>
              <w:rPr>
                <w:szCs w:val="18"/>
              </w:rPr>
            </w:pPr>
            <w:r w:rsidRPr="00426668">
              <w:rPr>
                <w:rFonts w:eastAsia="Calibri" w:cs="Calibri"/>
                <w:color w:val="000000" w:themeColor="text1"/>
                <w:szCs w:val="18"/>
              </w:rPr>
              <w:t xml:space="preserve"> </w:t>
            </w:r>
          </w:p>
        </w:tc>
        <w:tc>
          <w:tcPr>
            <w:tcW w:w="1058" w:type="dxa"/>
            <w:tcBorders>
              <w:top w:val="single" w:color="156082" w:themeColor="accent1" w:sz="8" w:space="0"/>
              <w:left w:val="nil"/>
              <w:bottom w:val="nil"/>
              <w:right w:val="nil"/>
            </w:tcBorders>
            <w:tcMar>
              <w:left w:w="108" w:type="dxa"/>
              <w:right w:w="108" w:type="dxa"/>
            </w:tcMar>
          </w:tcPr>
          <w:p w:rsidRPr="00426668" w:rsidR="00E95DF9" w:rsidP="002A7820" w:rsidRDefault="00E95DF9" w14:paraId="35E72D26" w14:textId="77777777">
            <w:pPr>
              <w:jc w:val="right"/>
              <w:cnfStyle w:val="000000000000" w:firstRow="0" w:lastRow="0" w:firstColumn="0" w:lastColumn="0" w:oddVBand="0" w:evenVBand="0" w:oddHBand="0" w:evenHBand="0" w:firstRowFirstColumn="0" w:firstRowLastColumn="0" w:lastRowFirstColumn="0" w:lastRowLastColumn="0"/>
              <w:rPr>
                <w:szCs w:val="18"/>
              </w:rPr>
            </w:pPr>
            <w:r w:rsidRPr="00426668">
              <w:rPr>
                <w:rFonts w:eastAsia="Calibri" w:cs="Calibri"/>
                <w:color w:val="000000" w:themeColor="text1"/>
                <w:szCs w:val="18"/>
              </w:rPr>
              <w:t xml:space="preserve"> </w:t>
            </w:r>
          </w:p>
        </w:tc>
        <w:tc>
          <w:tcPr>
            <w:tcW w:w="1058" w:type="dxa"/>
            <w:tcBorders>
              <w:top w:val="single" w:color="156082" w:themeColor="accent1" w:sz="8" w:space="0"/>
              <w:left w:val="nil"/>
              <w:bottom w:val="nil"/>
              <w:right w:val="nil"/>
            </w:tcBorders>
            <w:tcMar>
              <w:left w:w="108" w:type="dxa"/>
              <w:right w:w="108" w:type="dxa"/>
            </w:tcMar>
          </w:tcPr>
          <w:p w:rsidRPr="00426668" w:rsidR="00E95DF9" w:rsidP="002A7820" w:rsidRDefault="00E95DF9" w14:paraId="00BBDF41" w14:textId="77777777">
            <w:pPr>
              <w:jc w:val="right"/>
              <w:cnfStyle w:val="000000000000" w:firstRow="0" w:lastRow="0" w:firstColumn="0" w:lastColumn="0" w:oddVBand="0" w:evenVBand="0" w:oddHBand="0" w:evenHBand="0" w:firstRowFirstColumn="0" w:firstRowLastColumn="0" w:lastRowFirstColumn="0" w:lastRowLastColumn="0"/>
              <w:rPr>
                <w:szCs w:val="18"/>
              </w:rPr>
            </w:pPr>
            <w:r w:rsidRPr="00426668">
              <w:rPr>
                <w:rFonts w:eastAsia="Calibri" w:cs="Calibri"/>
                <w:color w:val="000000" w:themeColor="text1"/>
                <w:szCs w:val="18"/>
              </w:rPr>
              <w:t xml:space="preserve"> </w:t>
            </w:r>
          </w:p>
        </w:tc>
        <w:tc>
          <w:tcPr>
            <w:tcW w:w="1058" w:type="dxa"/>
            <w:tcBorders>
              <w:top w:val="single" w:color="156082" w:themeColor="accent1" w:sz="8" w:space="0"/>
              <w:left w:val="nil"/>
              <w:bottom w:val="nil"/>
              <w:right w:val="single" w:color="156082" w:themeColor="accent1" w:sz="8" w:space="0"/>
            </w:tcBorders>
            <w:tcMar>
              <w:left w:w="108" w:type="dxa"/>
              <w:right w:w="108" w:type="dxa"/>
            </w:tcMar>
          </w:tcPr>
          <w:p w:rsidRPr="00426668" w:rsidR="00E95DF9" w:rsidP="002A7820" w:rsidRDefault="00E95DF9" w14:paraId="427068ED" w14:textId="77777777">
            <w:pPr>
              <w:jc w:val="right"/>
              <w:cnfStyle w:val="000000000000" w:firstRow="0" w:lastRow="0" w:firstColumn="0" w:lastColumn="0" w:oddVBand="0" w:evenVBand="0" w:oddHBand="0" w:evenHBand="0" w:firstRowFirstColumn="0" w:firstRowLastColumn="0" w:lastRowFirstColumn="0" w:lastRowLastColumn="0"/>
              <w:rPr>
                <w:szCs w:val="18"/>
              </w:rPr>
            </w:pPr>
            <w:r w:rsidRPr="00426668">
              <w:rPr>
                <w:rFonts w:eastAsia="Calibri" w:cs="Calibri"/>
                <w:color w:val="000000" w:themeColor="text1"/>
                <w:szCs w:val="18"/>
              </w:rPr>
              <w:t xml:space="preserve"> </w:t>
            </w:r>
          </w:p>
        </w:tc>
      </w:tr>
      <w:tr w:rsidR="00E95DF9" w:rsidTr="002A7820" w14:paraId="571BFAF4" w14:textId="7777777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701" w:type="dxa"/>
            <w:tcBorders>
              <w:top w:val="single" w:color="156082" w:themeColor="accent1" w:sz="8" w:space="0"/>
              <w:left w:val="single" w:color="156082" w:themeColor="accent1" w:sz="8" w:space="0"/>
              <w:bottom w:val="single" w:color="156082" w:themeColor="accent1" w:sz="8" w:space="0"/>
            </w:tcBorders>
            <w:tcMar>
              <w:left w:w="108" w:type="dxa"/>
              <w:right w:w="108" w:type="dxa"/>
            </w:tcMar>
          </w:tcPr>
          <w:p w:rsidRPr="00426668" w:rsidR="00E95DF9" w:rsidP="002A7820" w:rsidRDefault="00E95DF9" w14:paraId="670217B0" w14:textId="77777777">
            <w:pPr>
              <w:rPr>
                <w:szCs w:val="18"/>
              </w:rPr>
            </w:pPr>
            <w:r w:rsidRPr="00426668">
              <w:rPr>
                <w:rFonts w:eastAsia="Calibri" w:cs="Calibri"/>
                <w:color w:val="000000" w:themeColor="text1"/>
                <w:szCs w:val="18"/>
              </w:rPr>
              <w:t>ETS prijs</w:t>
            </w:r>
          </w:p>
        </w:tc>
        <w:tc>
          <w:tcPr>
            <w:tcW w:w="1058" w:type="dxa"/>
            <w:tcBorders>
              <w:top w:val="single" w:color="156082" w:themeColor="accent1" w:sz="8" w:space="0"/>
              <w:left w:val="nil"/>
              <w:bottom w:val="single" w:color="156082" w:themeColor="accent1" w:sz="8" w:space="0"/>
              <w:right w:val="nil"/>
            </w:tcBorders>
            <w:tcMar>
              <w:left w:w="108" w:type="dxa"/>
              <w:right w:w="108" w:type="dxa"/>
            </w:tcMar>
          </w:tcPr>
          <w:p w:rsidRPr="00426668" w:rsidR="00E95DF9" w:rsidP="002A7820" w:rsidRDefault="00E95DF9" w14:paraId="56539620" w14:textId="77777777">
            <w:pPr>
              <w:jc w:val="right"/>
              <w:cnfStyle w:val="000000100000" w:firstRow="0" w:lastRow="0" w:firstColumn="0" w:lastColumn="0" w:oddVBand="0" w:evenVBand="0" w:oddHBand="1" w:evenHBand="0" w:firstRowFirstColumn="0" w:firstRowLastColumn="0" w:lastRowFirstColumn="0" w:lastRowLastColumn="0"/>
              <w:rPr>
                <w:szCs w:val="18"/>
              </w:rPr>
            </w:pPr>
            <w:r w:rsidRPr="00426668">
              <w:rPr>
                <w:rFonts w:eastAsia="Calibri" w:cs="Calibri"/>
                <w:color w:val="000000" w:themeColor="text1"/>
                <w:szCs w:val="18"/>
              </w:rPr>
              <w:t>78</w:t>
            </w:r>
          </w:p>
        </w:tc>
        <w:tc>
          <w:tcPr>
            <w:tcW w:w="1058" w:type="dxa"/>
            <w:tcBorders>
              <w:top w:val="single" w:color="156082" w:themeColor="accent1" w:sz="8" w:space="0"/>
              <w:left w:val="nil"/>
              <w:bottom w:val="single" w:color="156082" w:themeColor="accent1" w:sz="8" w:space="0"/>
              <w:right w:val="nil"/>
            </w:tcBorders>
            <w:tcMar>
              <w:left w:w="108" w:type="dxa"/>
              <w:right w:w="108" w:type="dxa"/>
            </w:tcMar>
          </w:tcPr>
          <w:p w:rsidRPr="00426668" w:rsidR="00E95DF9" w:rsidP="002A7820" w:rsidRDefault="00E95DF9" w14:paraId="5FB325A3" w14:textId="77777777">
            <w:pPr>
              <w:jc w:val="right"/>
              <w:cnfStyle w:val="000000100000" w:firstRow="0" w:lastRow="0" w:firstColumn="0" w:lastColumn="0" w:oddVBand="0" w:evenVBand="0" w:oddHBand="1" w:evenHBand="0" w:firstRowFirstColumn="0" w:firstRowLastColumn="0" w:lastRowFirstColumn="0" w:lastRowLastColumn="0"/>
              <w:rPr>
                <w:szCs w:val="18"/>
              </w:rPr>
            </w:pPr>
            <w:r w:rsidRPr="00426668">
              <w:rPr>
                <w:rFonts w:eastAsia="Calibri" w:cs="Calibri"/>
                <w:color w:val="000000" w:themeColor="text1"/>
                <w:szCs w:val="18"/>
              </w:rPr>
              <w:t>85</w:t>
            </w:r>
          </w:p>
        </w:tc>
        <w:tc>
          <w:tcPr>
            <w:tcW w:w="1058" w:type="dxa"/>
            <w:tcBorders>
              <w:top w:val="single" w:color="156082" w:themeColor="accent1" w:sz="8" w:space="0"/>
              <w:left w:val="nil"/>
              <w:bottom w:val="single" w:color="156082" w:themeColor="accent1" w:sz="8" w:space="0"/>
              <w:right w:val="nil"/>
            </w:tcBorders>
            <w:tcMar>
              <w:left w:w="108" w:type="dxa"/>
              <w:right w:w="108" w:type="dxa"/>
            </w:tcMar>
          </w:tcPr>
          <w:p w:rsidRPr="00426668" w:rsidR="00E95DF9" w:rsidP="002A7820" w:rsidRDefault="00E95DF9" w14:paraId="76B7BA26" w14:textId="77777777">
            <w:pPr>
              <w:jc w:val="right"/>
              <w:cnfStyle w:val="000000100000" w:firstRow="0" w:lastRow="0" w:firstColumn="0" w:lastColumn="0" w:oddVBand="0" w:evenVBand="0" w:oddHBand="1" w:evenHBand="0" w:firstRowFirstColumn="0" w:firstRowLastColumn="0" w:lastRowFirstColumn="0" w:lastRowLastColumn="0"/>
              <w:rPr>
                <w:szCs w:val="18"/>
              </w:rPr>
            </w:pPr>
            <w:r w:rsidRPr="00426668">
              <w:rPr>
                <w:rFonts w:eastAsia="Calibri" w:cs="Calibri"/>
                <w:color w:val="000000" w:themeColor="text1"/>
                <w:szCs w:val="18"/>
              </w:rPr>
              <w:t>91</w:t>
            </w:r>
          </w:p>
        </w:tc>
        <w:tc>
          <w:tcPr>
            <w:tcW w:w="1058" w:type="dxa"/>
            <w:tcBorders>
              <w:top w:val="single" w:color="156082" w:themeColor="accent1" w:sz="8" w:space="0"/>
              <w:left w:val="nil"/>
              <w:bottom w:val="single" w:color="156082" w:themeColor="accent1" w:sz="8" w:space="0"/>
              <w:right w:val="single" w:color="156082" w:themeColor="accent1" w:sz="8" w:space="0"/>
            </w:tcBorders>
            <w:tcMar>
              <w:left w:w="108" w:type="dxa"/>
              <w:right w:w="108" w:type="dxa"/>
            </w:tcMar>
          </w:tcPr>
          <w:p w:rsidRPr="00426668" w:rsidR="00E95DF9" w:rsidP="002A7820" w:rsidRDefault="00E95DF9" w14:paraId="016D3F24" w14:textId="77777777">
            <w:pPr>
              <w:jc w:val="right"/>
              <w:cnfStyle w:val="000000100000" w:firstRow="0" w:lastRow="0" w:firstColumn="0" w:lastColumn="0" w:oddVBand="0" w:evenVBand="0" w:oddHBand="1" w:evenHBand="0" w:firstRowFirstColumn="0" w:firstRowLastColumn="0" w:lastRowFirstColumn="0" w:lastRowLastColumn="0"/>
              <w:rPr>
                <w:szCs w:val="18"/>
              </w:rPr>
            </w:pPr>
            <w:r w:rsidRPr="00426668">
              <w:rPr>
                <w:rFonts w:eastAsia="Calibri" w:cs="Calibri"/>
                <w:color w:val="000000" w:themeColor="text1"/>
                <w:szCs w:val="18"/>
              </w:rPr>
              <w:t>98</w:t>
            </w:r>
          </w:p>
        </w:tc>
      </w:tr>
      <w:tr w:rsidR="00E95DF9" w:rsidTr="002A7820" w14:paraId="6032AF55" w14:textId="77777777">
        <w:trPr>
          <w:trHeight w:val="255"/>
        </w:trPr>
        <w:tc>
          <w:tcPr>
            <w:cnfStyle w:val="001000000000" w:firstRow="0" w:lastRow="0" w:firstColumn="1" w:lastColumn="0" w:oddVBand="0" w:evenVBand="0" w:oddHBand="0" w:evenHBand="0" w:firstRowFirstColumn="0" w:firstRowLastColumn="0" w:lastRowFirstColumn="0" w:lastRowLastColumn="0"/>
            <w:tcW w:w="3701" w:type="dxa"/>
            <w:tcBorders>
              <w:top w:val="single" w:color="156082" w:themeColor="accent1" w:sz="8" w:space="0"/>
              <w:left w:val="single" w:color="156082" w:themeColor="accent1" w:sz="8" w:space="0"/>
              <w:bottom w:val="nil"/>
            </w:tcBorders>
            <w:tcMar>
              <w:left w:w="108" w:type="dxa"/>
              <w:right w:w="108" w:type="dxa"/>
            </w:tcMar>
          </w:tcPr>
          <w:p w:rsidRPr="00426668" w:rsidR="00E95DF9" w:rsidP="002A7820" w:rsidRDefault="00E95DF9" w14:paraId="6777494B" w14:textId="77777777">
            <w:pPr>
              <w:rPr>
                <w:szCs w:val="18"/>
              </w:rPr>
            </w:pPr>
            <w:r w:rsidRPr="00426668">
              <w:rPr>
                <w:rFonts w:eastAsia="Calibri" w:cs="Calibri"/>
                <w:color w:val="000000" w:themeColor="text1"/>
                <w:szCs w:val="18"/>
              </w:rPr>
              <w:t xml:space="preserve">Tarief </w:t>
            </w:r>
            <w:r w:rsidRPr="00EA4DEC">
              <w:rPr>
                <w:rFonts w:eastAsia="Verdana" w:cs="Verdana"/>
                <w:szCs w:val="18"/>
              </w:rPr>
              <w:t>CO</w:t>
            </w:r>
            <w:r w:rsidRPr="0060331F">
              <w:rPr>
                <w:rFonts w:eastAsia="Verdana" w:cs="Verdana"/>
                <w:szCs w:val="18"/>
                <w:vertAlign w:val="subscript"/>
              </w:rPr>
              <w:t>2</w:t>
            </w:r>
            <w:r>
              <w:rPr>
                <w:rFonts w:eastAsia="Calibri" w:cs="Calibri"/>
                <w:color w:val="000000" w:themeColor="text1"/>
                <w:szCs w:val="18"/>
              </w:rPr>
              <w:t>-</w:t>
            </w:r>
            <w:r w:rsidRPr="00426668">
              <w:rPr>
                <w:rFonts w:eastAsia="Calibri" w:cs="Calibri"/>
                <w:color w:val="000000" w:themeColor="text1"/>
                <w:szCs w:val="18"/>
              </w:rPr>
              <w:t>heffing</w:t>
            </w:r>
          </w:p>
        </w:tc>
        <w:tc>
          <w:tcPr>
            <w:tcW w:w="1058" w:type="dxa"/>
            <w:tcBorders>
              <w:top w:val="single" w:color="156082" w:themeColor="accent1" w:sz="8" w:space="0"/>
              <w:left w:val="nil"/>
              <w:bottom w:val="nil"/>
              <w:right w:val="nil"/>
            </w:tcBorders>
            <w:tcMar>
              <w:left w:w="108" w:type="dxa"/>
              <w:right w:w="108" w:type="dxa"/>
            </w:tcMar>
          </w:tcPr>
          <w:p w:rsidRPr="00426668" w:rsidR="00E95DF9" w:rsidP="002A7820" w:rsidRDefault="00E95DF9" w14:paraId="6643A1B4" w14:textId="77777777">
            <w:pPr>
              <w:jc w:val="right"/>
              <w:cnfStyle w:val="000000000000" w:firstRow="0" w:lastRow="0" w:firstColumn="0" w:lastColumn="0" w:oddVBand="0" w:evenVBand="0" w:oddHBand="0" w:evenHBand="0" w:firstRowFirstColumn="0" w:firstRowLastColumn="0" w:lastRowFirstColumn="0" w:lastRowLastColumn="0"/>
              <w:rPr>
                <w:szCs w:val="18"/>
              </w:rPr>
            </w:pPr>
            <w:r w:rsidRPr="00426668">
              <w:rPr>
                <w:rFonts w:eastAsia="Calibri" w:cs="Calibri"/>
                <w:color w:val="000000" w:themeColor="text1"/>
                <w:szCs w:val="18"/>
              </w:rPr>
              <w:t>87</w:t>
            </w:r>
          </w:p>
        </w:tc>
        <w:tc>
          <w:tcPr>
            <w:tcW w:w="1058" w:type="dxa"/>
            <w:tcBorders>
              <w:top w:val="single" w:color="156082" w:themeColor="accent1" w:sz="8" w:space="0"/>
              <w:left w:val="nil"/>
              <w:bottom w:val="nil"/>
              <w:right w:val="nil"/>
            </w:tcBorders>
            <w:tcMar>
              <w:left w:w="108" w:type="dxa"/>
              <w:right w:w="108" w:type="dxa"/>
            </w:tcMar>
          </w:tcPr>
          <w:p w:rsidRPr="00426668" w:rsidR="00E95DF9" w:rsidP="002A7820" w:rsidRDefault="00E95DF9" w14:paraId="4B9F5FF7" w14:textId="77777777">
            <w:pPr>
              <w:jc w:val="right"/>
              <w:cnfStyle w:val="000000000000" w:firstRow="0" w:lastRow="0" w:firstColumn="0" w:lastColumn="0" w:oddVBand="0" w:evenVBand="0" w:oddHBand="0" w:evenHBand="0" w:firstRowFirstColumn="0" w:firstRowLastColumn="0" w:lastRowFirstColumn="0" w:lastRowLastColumn="0"/>
              <w:rPr>
                <w:szCs w:val="18"/>
              </w:rPr>
            </w:pPr>
            <w:r w:rsidRPr="00426668">
              <w:rPr>
                <w:rFonts w:eastAsia="Calibri" w:cs="Calibri"/>
                <w:color w:val="000000" w:themeColor="text1"/>
                <w:szCs w:val="18"/>
              </w:rPr>
              <w:t>100</w:t>
            </w:r>
          </w:p>
        </w:tc>
        <w:tc>
          <w:tcPr>
            <w:tcW w:w="1058" w:type="dxa"/>
            <w:tcBorders>
              <w:top w:val="single" w:color="156082" w:themeColor="accent1" w:sz="8" w:space="0"/>
              <w:left w:val="nil"/>
              <w:bottom w:val="nil"/>
              <w:right w:val="nil"/>
            </w:tcBorders>
            <w:tcMar>
              <w:left w:w="108" w:type="dxa"/>
              <w:right w:w="108" w:type="dxa"/>
            </w:tcMar>
          </w:tcPr>
          <w:p w:rsidRPr="00426668" w:rsidR="00E95DF9" w:rsidP="002A7820" w:rsidRDefault="00E95DF9" w14:paraId="3C315DF3" w14:textId="77777777">
            <w:pPr>
              <w:jc w:val="right"/>
              <w:cnfStyle w:val="000000000000" w:firstRow="0" w:lastRow="0" w:firstColumn="0" w:lastColumn="0" w:oddVBand="0" w:evenVBand="0" w:oddHBand="0" w:evenHBand="0" w:firstRowFirstColumn="0" w:firstRowLastColumn="0" w:lastRowFirstColumn="0" w:lastRowLastColumn="0"/>
              <w:rPr>
                <w:szCs w:val="18"/>
              </w:rPr>
            </w:pPr>
            <w:r w:rsidRPr="00426668">
              <w:rPr>
                <w:rFonts w:eastAsia="Calibri" w:cs="Calibri"/>
                <w:color w:val="000000" w:themeColor="text1"/>
                <w:szCs w:val="18"/>
              </w:rPr>
              <w:t>112</w:t>
            </w:r>
          </w:p>
        </w:tc>
        <w:tc>
          <w:tcPr>
            <w:tcW w:w="1058" w:type="dxa"/>
            <w:tcBorders>
              <w:top w:val="single" w:color="156082" w:themeColor="accent1" w:sz="8" w:space="0"/>
              <w:left w:val="nil"/>
              <w:bottom w:val="nil"/>
              <w:right w:val="single" w:color="156082" w:themeColor="accent1" w:sz="8" w:space="0"/>
            </w:tcBorders>
            <w:tcMar>
              <w:left w:w="108" w:type="dxa"/>
              <w:right w:w="108" w:type="dxa"/>
            </w:tcMar>
          </w:tcPr>
          <w:p w:rsidRPr="00426668" w:rsidR="00E95DF9" w:rsidP="002A7820" w:rsidRDefault="00E95DF9" w14:paraId="4CEDF73D" w14:textId="77777777">
            <w:pPr>
              <w:jc w:val="right"/>
              <w:cnfStyle w:val="000000000000" w:firstRow="0" w:lastRow="0" w:firstColumn="0" w:lastColumn="0" w:oddVBand="0" w:evenVBand="0" w:oddHBand="0" w:evenHBand="0" w:firstRowFirstColumn="0" w:firstRowLastColumn="0" w:lastRowFirstColumn="0" w:lastRowLastColumn="0"/>
              <w:rPr>
                <w:szCs w:val="18"/>
              </w:rPr>
            </w:pPr>
            <w:r w:rsidRPr="00426668">
              <w:rPr>
                <w:rFonts w:eastAsia="Calibri" w:cs="Calibri"/>
                <w:color w:val="000000" w:themeColor="text1"/>
                <w:szCs w:val="18"/>
              </w:rPr>
              <w:t>125</w:t>
            </w:r>
          </w:p>
        </w:tc>
      </w:tr>
      <w:tr w:rsidR="00E95DF9" w:rsidTr="002A7820" w14:paraId="5EA24552" w14:textId="7777777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701" w:type="dxa"/>
            <w:tcBorders>
              <w:top w:val="single" w:color="156082" w:themeColor="accent1" w:sz="8" w:space="0"/>
              <w:left w:val="single" w:color="156082" w:themeColor="accent1" w:sz="8" w:space="0"/>
              <w:bottom w:val="single" w:color="156082" w:themeColor="accent1" w:sz="8" w:space="0"/>
            </w:tcBorders>
            <w:tcMar>
              <w:left w:w="108" w:type="dxa"/>
              <w:right w:w="108" w:type="dxa"/>
            </w:tcMar>
          </w:tcPr>
          <w:p w:rsidRPr="00426668" w:rsidR="00E95DF9" w:rsidP="002A7820" w:rsidRDefault="00E95DF9" w14:paraId="137D375C" w14:textId="77777777">
            <w:pPr>
              <w:rPr>
                <w:szCs w:val="18"/>
              </w:rPr>
            </w:pPr>
            <w:r w:rsidRPr="00426668">
              <w:rPr>
                <w:rFonts w:eastAsia="Calibri" w:cs="Calibri"/>
                <w:color w:val="000000" w:themeColor="text1"/>
                <w:szCs w:val="18"/>
              </w:rPr>
              <w:t>Verschil</w:t>
            </w:r>
          </w:p>
        </w:tc>
        <w:tc>
          <w:tcPr>
            <w:tcW w:w="1058" w:type="dxa"/>
            <w:tcBorders>
              <w:top w:val="single" w:color="156082" w:themeColor="accent1" w:sz="8" w:space="0"/>
              <w:left w:val="nil"/>
              <w:bottom w:val="single" w:color="156082" w:themeColor="accent1" w:sz="8" w:space="0"/>
              <w:right w:val="nil"/>
            </w:tcBorders>
            <w:tcMar>
              <w:left w:w="108" w:type="dxa"/>
              <w:right w:w="108" w:type="dxa"/>
            </w:tcMar>
          </w:tcPr>
          <w:p w:rsidRPr="00426668" w:rsidR="00E95DF9" w:rsidP="002A7820" w:rsidRDefault="00E95DF9" w14:paraId="45C171FA" w14:textId="77777777">
            <w:pPr>
              <w:jc w:val="right"/>
              <w:cnfStyle w:val="000000100000" w:firstRow="0" w:lastRow="0" w:firstColumn="0" w:lastColumn="0" w:oddVBand="0" w:evenVBand="0" w:oddHBand="1" w:evenHBand="0" w:firstRowFirstColumn="0" w:firstRowLastColumn="0" w:lastRowFirstColumn="0" w:lastRowLastColumn="0"/>
              <w:rPr>
                <w:szCs w:val="18"/>
              </w:rPr>
            </w:pPr>
            <w:r w:rsidRPr="00426668">
              <w:rPr>
                <w:rFonts w:eastAsia="Calibri" w:cs="Calibri"/>
                <w:b/>
                <w:bCs/>
                <w:color w:val="000000" w:themeColor="text1"/>
                <w:szCs w:val="18"/>
              </w:rPr>
              <w:t>9</w:t>
            </w:r>
          </w:p>
        </w:tc>
        <w:tc>
          <w:tcPr>
            <w:tcW w:w="1058" w:type="dxa"/>
            <w:tcBorders>
              <w:top w:val="single" w:color="156082" w:themeColor="accent1" w:sz="8" w:space="0"/>
              <w:left w:val="nil"/>
              <w:bottom w:val="single" w:color="156082" w:themeColor="accent1" w:sz="8" w:space="0"/>
              <w:right w:val="nil"/>
            </w:tcBorders>
            <w:tcMar>
              <w:left w:w="108" w:type="dxa"/>
              <w:right w:w="108" w:type="dxa"/>
            </w:tcMar>
          </w:tcPr>
          <w:p w:rsidRPr="00426668" w:rsidR="00E95DF9" w:rsidP="002A7820" w:rsidRDefault="00E95DF9" w14:paraId="293E6E72" w14:textId="77777777">
            <w:pPr>
              <w:jc w:val="right"/>
              <w:cnfStyle w:val="000000100000" w:firstRow="0" w:lastRow="0" w:firstColumn="0" w:lastColumn="0" w:oddVBand="0" w:evenVBand="0" w:oddHBand="1" w:evenHBand="0" w:firstRowFirstColumn="0" w:firstRowLastColumn="0" w:lastRowFirstColumn="0" w:lastRowLastColumn="0"/>
              <w:rPr>
                <w:szCs w:val="18"/>
              </w:rPr>
            </w:pPr>
            <w:r w:rsidRPr="00426668">
              <w:rPr>
                <w:rFonts w:eastAsia="Calibri" w:cs="Calibri"/>
                <w:b/>
                <w:bCs/>
                <w:color w:val="000000" w:themeColor="text1"/>
                <w:szCs w:val="18"/>
              </w:rPr>
              <w:t>15</w:t>
            </w:r>
          </w:p>
        </w:tc>
        <w:tc>
          <w:tcPr>
            <w:tcW w:w="1058" w:type="dxa"/>
            <w:tcBorders>
              <w:top w:val="single" w:color="156082" w:themeColor="accent1" w:sz="8" w:space="0"/>
              <w:left w:val="nil"/>
              <w:bottom w:val="single" w:color="156082" w:themeColor="accent1" w:sz="8" w:space="0"/>
              <w:right w:val="nil"/>
            </w:tcBorders>
            <w:tcMar>
              <w:left w:w="108" w:type="dxa"/>
              <w:right w:w="108" w:type="dxa"/>
            </w:tcMar>
          </w:tcPr>
          <w:p w:rsidRPr="00426668" w:rsidR="00E95DF9" w:rsidP="002A7820" w:rsidRDefault="00E95DF9" w14:paraId="5B1FD119" w14:textId="77777777">
            <w:pPr>
              <w:jc w:val="right"/>
              <w:cnfStyle w:val="000000100000" w:firstRow="0" w:lastRow="0" w:firstColumn="0" w:lastColumn="0" w:oddVBand="0" w:evenVBand="0" w:oddHBand="1" w:evenHBand="0" w:firstRowFirstColumn="0" w:firstRowLastColumn="0" w:lastRowFirstColumn="0" w:lastRowLastColumn="0"/>
              <w:rPr>
                <w:szCs w:val="18"/>
              </w:rPr>
            </w:pPr>
            <w:r w:rsidRPr="00426668">
              <w:rPr>
                <w:rFonts w:eastAsia="Calibri" w:cs="Calibri"/>
                <w:b/>
                <w:bCs/>
                <w:color w:val="000000" w:themeColor="text1"/>
                <w:szCs w:val="18"/>
              </w:rPr>
              <w:t>21</w:t>
            </w:r>
          </w:p>
        </w:tc>
        <w:tc>
          <w:tcPr>
            <w:tcW w:w="1058" w:type="dxa"/>
            <w:tcBorders>
              <w:top w:val="single" w:color="156082" w:themeColor="accent1" w:sz="8" w:space="0"/>
              <w:left w:val="nil"/>
              <w:bottom w:val="single" w:color="156082" w:themeColor="accent1" w:sz="8" w:space="0"/>
              <w:right w:val="single" w:color="156082" w:themeColor="accent1" w:sz="8" w:space="0"/>
            </w:tcBorders>
            <w:tcMar>
              <w:left w:w="108" w:type="dxa"/>
              <w:right w:w="108" w:type="dxa"/>
            </w:tcMar>
          </w:tcPr>
          <w:p w:rsidRPr="00426668" w:rsidR="00E95DF9" w:rsidP="002A7820" w:rsidRDefault="00E95DF9" w14:paraId="6EA58312" w14:textId="77777777">
            <w:pPr>
              <w:jc w:val="right"/>
              <w:cnfStyle w:val="000000100000" w:firstRow="0" w:lastRow="0" w:firstColumn="0" w:lastColumn="0" w:oddVBand="0" w:evenVBand="0" w:oddHBand="1" w:evenHBand="0" w:firstRowFirstColumn="0" w:firstRowLastColumn="0" w:lastRowFirstColumn="0" w:lastRowLastColumn="0"/>
              <w:rPr>
                <w:szCs w:val="18"/>
              </w:rPr>
            </w:pPr>
            <w:r w:rsidRPr="00426668">
              <w:rPr>
                <w:rFonts w:eastAsia="Calibri" w:cs="Calibri"/>
                <w:b/>
                <w:bCs/>
                <w:color w:val="000000" w:themeColor="text1"/>
                <w:szCs w:val="18"/>
              </w:rPr>
              <w:t>27</w:t>
            </w:r>
          </w:p>
        </w:tc>
      </w:tr>
      <w:tr w:rsidR="00E95DF9" w:rsidTr="002A7820" w14:paraId="1F8452B1" w14:textId="77777777">
        <w:trPr>
          <w:trHeight w:val="255"/>
        </w:trPr>
        <w:tc>
          <w:tcPr>
            <w:cnfStyle w:val="001000000000" w:firstRow="0" w:lastRow="0" w:firstColumn="1" w:lastColumn="0" w:oddVBand="0" w:evenVBand="0" w:oddHBand="0" w:evenHBand="0" w:firstRowFirstColumn="0" w:firstRowLastColumn="0" w:lastRowFirstColumn="0" w:lastRowLastColumn="0"/>
            <w:tcW w:w="3701" w:type="dxa"/>
            <w:tcBorders>
              <w:top w:val="single" w:color="156082" w:themeColor="accent1" w:sz="8" w:space="0"/>
              <w:left w:val="single" w:color="156082" w:themeColor="accent1" w:sz="8" w:space="0"/>
              <w:bottom w:val="nil"/>
            </w:tcBorders>
            <w:tcMar>
              <w:left w:w="108" w:type="dxa"/>
              <w:right w:w="108" w:type="dxa"/>
            </w:tcMar>
          </w:tcPr>
          <w:p w:rsidRPr="00426668" w:rsidR="00E95DF9" w:rsidP="002A7820" w:rsidRDefault="00E95DF9" w14:paraId="124A3754" w14:textId="77777777">
            <w:pPr>
              <w:rPr>
                <w:szCs w:val="18"/>
              </w:rPr>
            </w:pPr>
          </w:p>
        </w:tc>
        <w:tc>
          <w:tcPr>
            <w:tcW w:w="1058" w:type="dxa"/>
            <w:tcBorders>
              <w:top w:val="single" w:color="156082" w:themeColor="accent1" w:sz="8" w:space="0"/>
              <w:left w:val="nil"/>
              <w:bottom w:val="nil"/>
              <w:right w:val="nil"/>
            </w:tcBorders>
            <w:tcMar>
              <w:left w:w="108" w:type="dxa"/>
              <w:right w:w="108" w:type="dxa"/>
            </w:tcMar>
          </w:tcPr>
          <w:p w:rsidRPr="00426668" w:rsidR="00E95DF9" w:rsidP="002A7820" w:rsidRDefault="00E95DF9" w14:paraId="44395181" w14:textId="77777777">
            <w:pPr>
              <w:jc w:val="right"/>
              <w:cnfStyle w:val="000000000000" w:firstRow="0" w:lastRow="0" w:firstColumn="0" w:lastColumn="0" w:oddVBand="0" w:evenVBand="0" w:oddHBand="0" w:evenHBand="0" w:firstRowFirstColumn="0" w:firstRowLastColumn="0" w:lastRowFirstColumn="0" w:lastRowLastColumn="0"/>
              <w:rPr>
                <w:szCs w:val="18"/>
              </w:rPr>
            </w:pPr>
            <w:r w:rsidRPr="00426668">
              <w:rPr>
                <w:rFonts w:eastAsia="Calibri" w:cs="Calibri"/>
                <w:color w:val="000000" w:themeColor="text1"/>
                <w:szCs w:val="18"/>
              </w:rPr>
              <w:t xml:space="preserve"> </w:t>
            </w:r>
          </w:p>
        </w:tc>
        <w:tc>
          <w:tcPr>
            <w:tcW w:w="1058" w:type="dxa"/>
            <w:tcBorders>
              <w:top w:val="single" w:color="156082" w:themeColor="accent1" w:sz="8" w:space="0"/>
              <w:left w:val="nil"/>
              <w:bottom w:val="nil"/>
              <w:right w:val="nil"/>
            </w:tcBorders>
            <w:tcMar>
              <w:left w:w="108" w:type="dxa"/>
              <w:right w:w="108" w:type="dxa"/>
            </w:tcMar>
          </w:tcPr>
          <w:p w:rsidRPr="00426668" w:rsidR="00E95DF9" w:rsidP="002A7820" w:rsidRDefault="00E95DF9" w14:paraId="65F8A059" w14:textId="77777777">
            <w:pPr>
              <w:jc w:val="right"/>
              <w:cnfStyle w:val="000000000000" w:firstRow="0" w:lastRow="0" w:firstColumn="0" w:lastColumn="0" w:oddVBand="0" w:evenVBand="0" w:oddHBand="0" w:evenHBand="0" w:firstRowFirstColumn="0" w:firstRowLastColumn="0" w:lastRowFirstColumn="0" w:lastRowLastColumn="0"/>
              <w:rPr>
                <w:szCs w:val="18"/>
              </w:rPr>
            </w:pPr>
            <w:r w:rsidRPr="00426668">
              <w:rPr>
                <w:rFonts w:eastAsia="Calibri" w:cs="Calibri"/>
                <w:color w:val="000000" w:themeColor="text1"/>
                <w:szCs w:val="18"/>
              </w:rPr>
              <w:t xml:space="preserve"> </w:t>
            </w:r>
          </w:p>
        </w:tc>
        <w:tc>
          <w:tcPr>
            <w:tcW w:w="1058" w:type="dxa"/>
            <w:tcBorders>
              <w:top w:val="single" w:color="156082" w:themeColor="accent1" w:sz="8" w:space="0"/>
              <w:left w:val="nil"/>
              <w:bottom w:val="nil"/>
              <w:right w:val="nil"/>
            </w:tcBorders>
            <w:tcMar>
              <w:left w:w="108" w:type="dxa"/>
              <w:right w:w="108" w:type="dxa"/>
            </w:tcMar>
          </w:tcPr>
          <w:p w:rsidRPr="00426668" w:rsidR="00E95DF9" w:rsidP="002A7820" w:rsidRDefault="00E95DF9" w14:paraId="0E2C520C" w14:textId="77777777">
            <w:pPr>
              <w:jc w:val="right"/>
              <w:cnfStyle w:val="000000000000" w:firstRow="0" w:lastRow="0" w:firstColumn="0" w:lastColumn="0" w:oddVBand="0" w:evenVBand="0" w:oddHBand="0" w:evenHBand="0" w:firstRowFirstColumn="0" w:firstRowLastColumn="0" w:lastRowFirstColumn="0" w:lastRowLastColumn="0"/>
              <w:rPr>
                <w:szCs w:val="18"/>
              </w:rPr>
            </w:pPr>
            <w:r w:rsidRPr="00426668">
              <w:rPr>
                <w:rFonts w:eastAsia="Calibri" w:cs="Calibri"/>
                <w:color w:val="000000" w:themeColor="text1"/>
                <w:szCs w:val="18"/>
              </w:rPr>
              <w:t xml:space="preserve"> </w:t>
            </w:r>
          </w:p>
        </w:tc>
        <w:tc>
          <w:tcPr>
            <w:tcW w:w="1058" w:type="dxa"/>
            <w:tcBorders>
              <w:top w:val="single" w:color="156082" w:themeColor="accent1" w:sz="8" w:space="0"/>
              <w:left w:val="nil"/>
              <w:bottom w:val="nil"/>
              <w:right w:val="single" w:color="156082" w:themeColor="accent1" w:sz="8" w:space="0"/>
            </w:tcBorders>
            <w:tcMar>
              <w:left w:w="108" w:type="dxa"/>
              <w:right w:w="108" w:type="dxa"/>
            </w:tcMar>
          </w:tcPr>
          <w:p w:rsidRPr="00426668" w:rsidR="00E95DF9" w:rsidP="002A7820" w:rsidRDefault="00E95DF9" w14:paraId="5554566C" w14:textId="77777777">
            <w:pPr>
              <w:jc w:val="right"/>
              <w:cnfStyle w:val="000000000000" w:firstRow="0" w:lastRow="0" w:firstColumn="0" w:lastColumn="0" w:oddVBand="0" w:evenVBand="0" w:oddHBand="0" w:evenHBand="0" w:firstRowFirstColumn="0" w:firstRowLastColumn="0" w:lastRowFirstColumn="0" w:lastRowLastColumn="0"/>
              <w:rPr>
                <w:szCs w:val="18"/>
              </w:rPr>
            </w:pPr>
            <w:r w:rsidRPr="00426668">
              <w:rPr>
                <w:rFonts w:eastAsia="Calibri" w:cs="Calibri"/>
                <w:color w:val="000000" w:themeColor="text1"/>
                <w:szCs w:val="18"/>
              </w:rPr>
              <w:t xml:space="preserve"> </w:t>
            </w:r>
          </w:p>
        </w:tc>
      </w:tr>
      <w:tr w:rsidR="00E95DF9" w:rsidTr="002A7820" w14:paraId="4FECC10B" w14:textId="7777777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701" w:type="dxa"/>
            <w:tcBorders>
              <w:top w:val="single" w:color="156082" w:themeColor="accent1" w:sz="8" w:space="0"/>
              <w:left w:val="single" w:color="156082" w:themeColor="accent1" w:sz="8" w:space="0"/>
              <w:bottom w:val="single" w:color="156082" w:themeColor="accent1" w:sz="8" w:space="0"/>
            </w:tcBorders>
            <w:tcMar>
              <w:left w:w="108" w:type="dxa"/>
              <w:right w:w="108" w:type="dxa"/>
            </w:tcMar>
          </w:tcPr>
          <w:p w:rsidRPr="00426668" w:rsidR="00E95DF9" w:rsidP="002A7820" w:rsidRDefault="00E95DF9" w14:paraId="32650188" w14:textId="77777777">
            <w:pPr>
              <w:rPr>
                <w:szCs w:val="18"/>
              </w:rPr>
            </w:pPr>
            <w:r w:rsidRPr="00426668">
              <w:rPr>
                <w:rFonts w:eastAsia="Calibri" w:cs="Calibri"/>
                <w:color w:val="000000" w:themeColor="text1"/>
                <w:szCs w:val="18"/>
              </w:rPr>
              <w:t>Budgettaire opbrengst</w:t>
            </w:r>
          </w:p>
        </w:tc>
        <w:tc>
          <w:tcPr>
            <w:tcW w:w="1058" w:type="dxa"/>
            <w:tcBorders>
              <w:top w:val="single" w:color="156082" w:themeColor="accent1" w:sz="8" w:space="0"/>
              <w:left w:val="nil"/>
              <w:bottom w:val="single" w:color="156082" w:themeColor="accent1" w:sz="8" w:space="0"/>
              <w:right w:val="nil"/>
            </w:tcBorders>
            <w:tcMar>
              <w:left w:w="108" w:type="dxa"/>
              <w:right w:w="108" w:type="dxa"/>
            </w:tcMar>
          </w:tcPr>
          <w:p w:rsidRPr="00426668" w:rsidR="00E95DF9" w:rsidP="002A7820" w:rsidRDefault="00E95DF9" w14:paraId="67F87ED8" w14:textId="77777777">
            <w:pPr>
              <w:jc w:val="right"/>
              <w:cnfStyle w:val="000000100000" w:firstRow="0" w:lastRow="0" w:firstColumn="0" w:lastColumn="0" w:oddVBand="0" w:evenVBand="0" w:oddHBand="1" w:evenHBand="0" w:firstRowFirstColumn="0" w:firstRowLastColumn="0" w:lastRowFirstColumn="0" w:lastRowLastColumn="0"/>
              <w:rPr>
                <w:szCs w:val="18"/>
              </w:rPr>
            </w:pPr>
            <w:r w:rsidRPr="00426668">
              <w:rPr>
                <w:rFonts w:eastAsia="Calibri" w:cs="Calibri"/>
                <w:b/>
                <w:bCs/>
                <w:color w:val="000000" w:themeColor="text1"/>
                <w:szCs w:val="18"/>
              </w:rPr>
              <w:t>17</w:t>
            </w:r>
          </w:p>
        </w:tc>
        <w:tc>
          <w:tcPr>
            <w:tcW w:w="1058" w:type="dxa"/>
            <w:tcBorders>
              <w:top w:val="single" w:color="156082" w:themeColor="accent1" w:sz="8" w:space="0"/>
              <w:left w:val="nil"/>
              <w:bottom w:val="single" w:color="156082" w:themeColor="accent1" w:sz="8" w:space="0"/>
              <w:right w:val="nil"/>
            </w:tcBorders>
            <w:tcMar>
              <w:left w:w="108" w:type="dxa"/>
              <w:right w:w="108" w:type="dxa"/>
            </w:tcMar>
          </w:tcPr>
          <w:p w:rsidRPr="00426668" w:rsidR="00E95DF9" w:rsidP="002A7820" w:rsidRDefault="00E95DF9" w14:paraId="43270666" w14:textId="77777777">
            <w:pPr>
              <w:jc w:val="right"/>
              <w:cnfStyle w:val="000000100000" w:firstRow="0" w:lastRow="0" w:firstColumn="0" w:lastColumn="0" w:oddVBand="0" w:evenVBand="0" w:oddHBand="1" w:evenHBand="0" w:firstRowFirstColumn="0" w:firstRowLastColumn="0" w:lastRowFirstColumn="0" w:lastRowLastColumn="0"/>
              <w:rPr>
                <w:szCs w:val="18"/>
              </w:rPr>
            </w:pPr>
            <w:r w:rsidRPr="00426668">
              <w:rPr>
                <w:rFonts w:eastAsia="Calibri" w:cs="Calibri"/>
                <w:b/>
                <w:bCs/>
                <w:color w:val="000000" w:themeColor="text1"/>
                <w:szCs w:val="18"/>
              </w:rPr>
              <w:t>61</w:t>
            </w:r>
          </w:p>
        </w:tc>
        <w:tc>
          <w:tcPr>
            <w:tcW w:w="1058" w:type="dxa"/>
            <w:tcBorders>
              <w:top w:val="single" w:color="156082" w:themeColor="accent1" w:sz="8" w:space="0"/>
              <w:left w:val="nil"/>
              <w:bottom w:val="single" w:color="156082" w:themeColor="accent1" w:sz="8" w:space="0"/>
              <w:right w:val="nil"/>
            </w:tcBorders>
            <w:tcMar>
              <w:left w:w="108" w:type="dxa"/>
              <w:right w:w="108" w:type="dxa"/>
            </w:tcMar>
          </w:tcPr>
          <w:p w:rsidRPr="00426668" w:rsidR="00E95DF9" w:rsidP="002A7820" w:rsidRDefault="00E95DF9" w14:paraId="4B2D6067" w14:textId="77777777">
            <w:pPr>
              <w:jc w:val="right"/>
              <w:cnfStyle w:val="000000100000" w:firstRow="0" w:lastRow="0" w:firstColumn="0" w:lastColumn="0" w:oddVBand="0" w:evenVBand="0" w:oddHBand="1" w:evenHBand="0" w:firstRowFirstColumn="0" w:firstRowLastColumn="0" w:lastRowFirstColumn="0" w:lastRowLastColumn="0"/>
              <w:rPr>
                <w:szCs w:val="18"/>
              </w:rPr>
            </w:pPr>
            <w:r w:rsidRPr="00426668">
              <w:rPr>
                <w:rFonts w:eastAsia="Calibri" w:cs="Calibri"/>
                <w:b/>
                <w:bCs/>
                <w:color w:val="000000" w:themeColor="text1"/>
                <w:szCs w:val="18"/>
              </w:rPr>
              <w:t>88</w:t>
            </w:r>
          </w:p>
        </w:tc>
        <w:tc>
          <w:tcPr>
            <w:tcW w:w="1058" w:type="dxa"/>
            <w:tcBorders>
              <w:top w:val="single" w:color="156082" w:themeColor="accent1" w:sz="8" w:space="0"/>
              <w:left w:val="nil"/>
              <w:bottom w:val="single" w:color="156082" w:themeColor="accent1" w:sz="8" w:space="0"/>
              <w:right w:val="single" w:color="156082" w:themeColor="accent1" w:sz="8" w:space="0"/>
            </w:tcBorders>
            <w:tcMar>
              <w:left w:w="108" w:type="dxa"/>
              <w:right w:w="108" w:type="dxa"/>
            </w:tcMar>
          </w:tcPr>
          <w:p w:rsidRPr="00426668" w:rsidR="00E95DF9" w:rsidP="002A7820" w:rsidRDefault="00E95DF9" w14:paraId="26D83818" w14:textId="77777777">
            <w:pPr>
              <w:jc w:val="right"/>
              <w:cnfStyle w:val="000000100000" w:firstRow="0" w:lastRow="0" w:firstColumn="0" w:lastColumn="0" w:oddVBand="0" w:evenVBand="0" w:oddHBand="1" w:evenHBand="0" w:firstRowFirstColumn="0" w:firstRowLastColumn="0" w:lastRowFirstColumn="0" w:lastRowLastColumn="0"/>
              <w:rPr>
                <w:szCs w:val="18"/>
              </w:rPr>
            </w:pPr>
            <w:r w:rsidRPr="00426668">
              <w:rPr>
                <w:rFonts w:eastAsia="Calibri" w:cs="Calibri"/>
                <w:b/>
                <w:bCs/>
                <w:color w:val="000000" w:themeColor="text1"/>
                <w:szCs w:val="18"/>
              </w:rPr>
              <w:t>125</w:t>
            </w:r>
          </w:p>
        </w:tc>
      </w:tr>
    </w:tbl>
    <w:p w:rsidR="00E95DF9" w:rsidP="00E95DF9" w:rsidRDefault="00E95DF9" w14:paraId="48B6920C" w14:textId="77777777">
      <w:pPr>
        <w:rPr>
          <w:rFonts w:ascii="Calibri" w:hAnsi="Calibri" w:eastAsia="Calibri" w:cs="Calibri"/>
        </w:rPr>
      </w:pPr>
      <w:r w:rsidRPr="5AF0831B">
        <w:rPr>
          <w:rFonts w:ascii="Calibri" w:hAnsi="Calibri" w:eastAsia="Calibri" w:cs="Calibri"/>
        </w:rPr>
        <w:t xml:space="preserve"> </w:t>
      </w:r>
    </w:p>
    <w:p w:rsidRPr="009F3755" w:rsidR="00E95DF9" w:rsidP="00E95DF9" w:rsidRDefault="00E95DF9" w14:paraId="1F0DA20A" w14:textId="77777777">
      <w:pPr>
        <w:spacing w:line="254" w:lineRule="auto"/>
        <w:rPr>
          <w:rFonts w:ascii="Calibri" w:hAnsi="Calibri" w:eastAsia="Calibri" w:cs="Calibri"/>
        </w:rPr>
      </w:pPr>
      <w:r w:rsidRPr="00134B5C">
        <w:t xml:space="preserve">De recent aangekondigde wijzigingen in de CO2-heffing zullen een effect hebben op de raming. Deze effecten zullen worden doorgerekend met behulp van de Klimaat- en Energieverkenning (KEV) 2025 van het PBL. </w:t>
      </w:r>
    </w:p>
    <w:p w:rsidR="00E95DF9" w:rsidP="00E95DF9" w:rsidRDefault="00E95DF9" w14:paraId="690E1EA4" w14:textId="77777777">
      <w:pPr>
        <w:rPr>
          <w:rFonts w:eastAsia="Verdana" w:cs="Verdana"/>
        </w:rPr>
      </w:pPr>
    </w:p>
    <w:p w:rsidR="00E95DF9" w:rsidP="00E95DF9" w:rsidRDefault="00E95DF9" w14:paraId="5DBA5E94" w14:textId="77777777">
      <w:pPr>
        <w:rPr>
          <w:rFonts w:eastAsia="Verdana" w:cs="Verdana"/>
          <w:szCs w:val="18"/>
        </w:rPr>
      </w:pPr>
      <w:r w:rsidRPr="702FFBDD">
        <w:rPr>
          <w:rFonts w:eastAsia="Verdana" w:cs="Verdana"/>
        </w:rPr>
        <w:t xml:space="preserve">Naast de opbrengsten uit de </w:t>
      </w:r>
      <w:r w:rsidRPr="00EA4DEC">
        <w:rPr>
          <w:rFonts w:eastAsia="Verdana" w:cs="Verdana"/>
          <w:szCs w:val="18"/>
        </w:rPr>
        <w:t>CO</w:t>
      </w:r>
      <w:r w:rsidRPr="0060331F">
        <w:rPr>
          <w:rFonts w:eastAsia="Verdana" w:cs="Verdana"/>
          <w:szCs w:val="18"/>
          <w:vertAlign w:val="subscript"/>
        </w:rPr>
        <w:t>2</w:t>
      </w:r>
      <w:r w:rsidRPr="702FFBDD">
        <w:rPr>
          <w:rFonts w:eastAsia="Verdana" w:cs="Verdana"/>
        </w:rPr>
        <w:t xml:space="preserve"> heffing voor industrie zijn er inkomsten uit </w:t>
      </w:r>
      <w:r w:rsidRPr="00EA4DEC">
        <w:rPr>
          <w:rFonts w:eastAsia="Verdana" w:cs="Verdana"/>
          <w:szCs w:val="18"/>
        </w:rPr>
        <w:t>CO</w:t>
      </w:r>
      <w:r w:rsidRPr="0060331F">
        <w:rPr>
          <w:rFonts w:eastAsia="Verdana" w:cs="Verdana"/>
          <w:szCs w:val="18"/>
          <w:vertAlign w:val="subscript"/>
        </w:rPr>
        <w:t>2</w:t>
      </w:r>
      <w:r w:rsidRPr="702FFBDD">
        <w:rPr>
          <w:rFonts w:eastAsia="Verdana" w:cs="Verdana"/>
        </w:rPr>
        <w:t xml:space="preserve"> heffing specifiek voor </w:t>
      </w:r>
      <w:proofErr w:type="spellStart"/>
      <w:r w:rsidRPr="702FFBDD">
        <w:rPr>
          <w:rFonts w:eastAsia="Verdana" w:cs="Verdana"/>
        </w:rPr>
        <w:t>AVI’s</w:t>
      </w:r>
      <w:proofErr w:type="spellEnd"/>
      <w:r w:rsidRPr="702FFBDD">
        <w:rPr>
          <w:rFonts w:eastAsia="Verdana" w:cs="Verdana"/>
        </w:rPr>
        <w:t xml:space="preserve">. Deze opbrengsten zijn geraamd voor het Belastingplan 2025 en bedragen 51 miljoen in 2027 en 99 miljoen in 2028. Deze </w:t>
      </w:r>
      <w:r w:rsidRPr="702FFBDD">
        <w:rPr>
          <w:rFonts w:eastAsia="Verdana" w:cs="Verdana"/>
        </w:rPr>
        <w:lastRenderedPageBreak/>
        <w:t>ramingen zijn gecertificeerd door het CPB en toegelicht in de ramingstoelichtingen bij het Belastingplan 2025</w:t>
      </w:r>
      <w:r w:rsidRPr="702FFBDD">
        <w:rPr>
          <w:rStyle w:val="Voetnootmarkering"/>
          <w:rFonts w:eastAsia="Verdana" w:cs="Verdana"/>
        </w:rPr>
        <w:footnoteReference w:id="4"/>
      </w:r>
      <w:r w:rsidRPr="702FFBDD">
        <w:rPr>
          <w:rFonts w:eastAsia="Verdana" w:cs="Verdana"/>
        </w:rPr>
        <w:t>.</w:t>
      </w:r>
      <w:r w:rsidRPr="702FFBDD">
        <w:rPr>
          <w:rStyle w:val="Voetnootmarkering"/>
          <w:rFonts w:eastAsia="Verdana" w:cs="Verdana"/>
        </w:rPr>
        <w:t xml:space="preserve"> </w:t>
      </w:r>
    </w:p>
    <w:p w:rsidR="00E95DF9" w:rsidP="00E95DF9" w:rsidRDefault="00E95DF9" w14:paraId="51CB4E46" w14:textId="77777777">
      <w:pPr>
        <w:rPr>
          <w:rFonts w:eastAsia="Verdana" w:cs="Verdana"/>
          <w:szCs w:val="18"/>
        </w:rPr>
      </w:pPr>
    </w:p>
    <w:tbl>
      <w:tblPr>
        <w:tblStyle w:val="Lijsttabel3-Accent1"/>
        <w:tblW w:w="0" w:type="auto"/>
        <w:tblInd w:w="90" w:type="dxa"/>
        <w:tblLayout w:type="fixed"/>
        <w:tblLook w:val="04A0" w:firstRow="1" w:lastRow="0" w:firstColumn="1" w:lastColumn="0" w:noHBand="0" w:noVBand="1"/>
      </w:tblPr>
      <w:tblGrid>
        <w:gridCol w:w="3829"/>
        <w:gridCol w:w="991"/>
        <w:gridCol w:w="991"/>
        <w:gridCol w:w="991"/>
        <w:gridCol w:w="991"/>
      </w:tblGrid>
      <w:tr w:rsidR="00E95DF9" w:rsidTr="002A7820" w14:paraId="042969D3" w14:textId="77777777">
        <w:trPr>
          <w:cnfStyle w:val="100000000000" w:firstRow="1" w:lastRow="0" w:firstColumn="0" w:lastColumn="0" w:oddVBand="0" w:evenVBand="0" w:oddHBand="0" w:evenHBand="0" w:firstRowFirstColumn="0" w:firstRowLastColumn="0" w:lastRowFirstColumn="0" w:lastRowLastColumn="0"/>
          <w:trHeight w:val="360"/>
        </w:trPr>
        <w:tc>
          <w:tcPr>
            <w:cnfStyle w:val="001000000100" w:firstRow="0" w:lastRow="0" w:firstColumn="1" w:lastColumn="0" w:oddVBand="0" w:evenVBand="0" w:oddHBand="0" w:evenHBand="0" w:firstRowFirstColumn="1" w:firstRowLastColumn="0" w:lastRowFirstColumn="0" w:lastRowLastColumn="0"/>
            <w:tcW w:w="3829" w:type="dxa"/>
            <w:tcBorders>
              <w:top w:val="single" w:color="156082" w:themeColor="accent1" w:sz="8" w:space="0"/>
              <w:left w:val="single" w:color="156082" w:themeColor="accent1" w:sz="8" w:space="0"/>
            </w:tcBorders>
            <w:tcMar>
              <w:left w:w="108" w:type="dxa"/>
              <w:right w:w="108" w:type="dxa"/>
            </w:tcMar>
          </w:tcPr>
          <w:p w:rsidR="00E95DF9" w:rsidP="002A7820" w:rsidRDefault="00E95DF9" w14:paraId="7F86AC97" w14:textId="77777777"/>
        </w:tc>
        <w:tc>
          <w:tcPr>
            <w:tcW w:w="991" w:type="dxa"/>
            <w:tcBorders>
              <w:top w:val="single" w:color="156082" w:themeColor="accent1" w:sz="8" w:space="0"/>
              <w:left w:val="nil"/>
              <w:bottom w:val="nil"/>
              <w:right w:val="nil"/>
            </w:tcBorders>
            <w:tcMar>
              <w:left w:w="108" w:type="dxa"/>
              <w:right w:w="108" w:type="dxa"/>
            </w:tcMar>
          </w:tcPr>
          <w:p w:rsidR="00E95DF9" w:rsidP="002A7820" w:rsidRDefault="00E95DF9" w14:paraId="6C9822E6" w14:textId="77777777">
            <w:pPr>
              <w:jc w:val="right"/>
              <w:cnfStyle w:val="100000000000" w:firstRow="1" w:lastRow="0" w:firstColumn="0" w:lastColumn="0" w:oddVBand="0" w:evenVBand="0" w:oddHBand="0" w:evenHBand="0" w:firstRowFirstColumn="0" w:firstRowLastColumn="0" w:lastRowFirstColumn="0" w:lastRowLastColumn="0"/>
            </w:pPr>
            <w:r w:rsidRPr="5AF0831B">
              <w:rPr>
                <w:rFonts w:ascii="Calibri" w:hAnsi="Calibri" w:eastAsia="Calibri" w:cs="Calibri"/>
                <w:sz w:val="22"/>
                <w:szCs w:val="22"/>
              </w:rPr>
              <w:t>2025</w:t>
            </w:r>
          </w:p>
        </w:tc>
        <w:tc>
          <w:tcPr>
            <w:tcW w:w="991" w:type="dxa"/>
            <w:tcBorders>
              <w:top w:val="single" w:color="156082" w:themeColor="accent1" w:sz="8" w:space="0"/>
              <w:left w:val="nil"/>
              <w:bottom w:val="nil"/>
              <w:right w:val="nil"/>
            </w:tcBorders>
            <w:tcMar>
              <w:left w:w="108" w:type="dxa"/>
              <w:right w:w="108" w:type="dxa"/>
            </w:tcMar>
          </w:tcPr>
          <w:p w:rsidR="00E95DF9" w:rsidP="002A7820" w:rsidRDefault="00E95DF9" w14:paraId="237FD01C" w14:textId="77777777">
            <w:pPr>
              <w:jc w:val="right"/>
              <w:cnfStyle w:val="100000000000" w:firstRow="1" w:lastRow="0" w:firstColumn="0" w:lastColumn="0" w:oddVBand="0" w:evenVBand="0" w:oddHBand="0" w:evenHBand="0" w:firstRowFirstColumn="0" w:firstRowLastColumn="0" w:lastRowFirstColumn="0" w:lastRowLastColumn="0"/>
            </w:pPr>
            <w:r w:rsidRPr="5AF0831B">
              <w:rPr>
                <w:rFonts w:ascii="Calibri" w:hAnsi="Calibri" w:eastAsia="Calibri" w:cs="Calibri"/>
                <w:sz w:val="22"/>
                <w:szCs w:val="22"/>
              </w:rPr>
              <w:t>2026</w:t>
            </w:r>
          </w:p>
        </w:tc>
        <w:tc>
          <w:tcPr>
            <w:tcW w:w="991" w:type="dxa"/>
            <w:tcBorders>
              <w:top w:val="single" w:color="156082" w:themeColor="accent1" w:sz="8" w:space="0"/>
              <w:left w:val="nil"/>
              <w:bottom w:val="nil"/>
              <w:right w:val="nil"/>
            </w:tcBorders>
            <w:tcMar>
              <w:left w:w="108" w:type="dxa"/>
              <w:right w:w="108" w:type="dxa"/>
            </w:tcMar>
          </w:tcPr>
          <w:p w:rsidR="00E95DF9" w:rsidP="002A7820" w:rsidRDefault="00E95DF9" w14:paraId="795F9411" w14:textId="77777777">
            <w:pPr>
              <w:jc w:val="right"/>
              <w:cnfStyle w:val="100000000000" w:firstRow="1" w:lastRow="0" w:firstColumn="0" w:lastColumn="0" w:oddVBand="0" w:evenVBand="0" w:oddHBand="0" w:evenHBand="0" w:firstRowFirstColumn="0" w:firstRowLastColumn="0" w:lastRowFirstColumn="0" w:lastRowLastColumn="0"/>
            </w:pPr>
            <w:r w:rsidRPr="5AF0831B">
              <w:rPr>
                <w:rFonts w:ascii="Calibri" w:hAnsi="Calibri" w:eastAsia="Calibri" w:cs="Calibri"/>
                <w:sz w:val="22"/>
                <w:szCs w:val="22"/>
              </w:rPr>
              <w:t>2027</w:t>
            </w:r>
          </w:p>
        </w:tc>
        <w:tc>
          <w:tcPr>
            <w:tcW w:w="991" w:type="dxa"/>
            <w:tcBorders>
              <w:top w:val="single" w:color="156082" w:themeColor="accent1" w:sz="8" w:space="0"/>
              <w:left w:val="nil"/>
              <w:bottom w:val="nil"/>
              <w:right w:val="single" w:color="156082" w:themeColor="accent1" w:sz="8" w:space="0"/>
            </w:tcBorders>
            <w:tcMar>
              <w:left w:w="108" w:type="dxa"/>
              <w:right w:w="108" w:type="dxa"/>
            </w:tcMar>
          </w:tcPr>
          <w:p w:rsidR="00E95DF9" w:rsidP="002A7820" w:rsidRDefault="00E95DF9" w14:paraId="62C03E78" w14:textId="77777777">
            <w:pPr>
              <w:jc w:val="right"/>
              <w:cnfStyle w:val="100000000000" w:firstRow="1" w:lastRow="0" w:firstColumn="0" w:lastColumn="0" w:oddVBand="0" w:evenVBand="0" w:oddHBand="0" w:evenHBand="0" w:firstRowFirstColumn="0" w:firstRowLastColumn="0" w:lastRowFirstColumn="0" w:lastRowLastColumn="0"/>
            </w:pPr>
            <w:r w:rsidRPr="5AF0831B">
              <w:rPr>
                <w:rFonts w:ascii="Calibri" w:hAnsi="Calibri" w:eastAsia="Calibri" w:cs="Calibri"/>
                <w:sz w:val="22"/>
                <w:szCs w:val="22"/>
              </w:rPr>
              <w:t>2028</w:t>
            </w:r>
          </w:p>
        </w:tc>
      </w:tr>
      <w:tr w:rsidR="00E95DF9" w:rsidTr="002A7820" w14:paraId="726243BD" w14:textId="7777777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829" w:type="dxa"/>
            <w:tcBorders>
              <w:top w:val="single" w:color="156082" w:themeColor="accent1" w:sz="8" w:space="0"/>
              <w:left w:val="single" w:color="156082" w:themeColor="accent1" w:sz="8" w:space="0"/>
              <w:bottom w:val="single" w:color="156082" w:themeColor="accent1" w:sz="8" w:space="0"/>
            </w:tcBorders>
            <w:tcMar>
              <w:left w:w="108" w:type="dxa"/>
              <w:right w:w="108" w:type="dxa"/>
            </w:tcMar>
          </w:tcPr>
          <w:p w:rsidR="00E95DF9" w:rsidP="002A7820" w:rsidRDefault="00E95DF9" w14:paraId="43CD6A2A" w14:textId="77777777">
            <w:r w:rsidRPr="5AF0831B">
              <w:rPr>
                <w:rFonts w:ascii="Calibri" w:hAnsi="Calibri" w:eastAsia="Calibri" w:cs="Calibri"/>
                <w:color w:val="000000" w:themeColor="text1"/>
                <w:sz w:val="22"/>
                <w:szCs w:val="22"/>
              </w:rPr>
              <w:t xml:space="preserve">Budgettaire opbrengst </w:t>
            </w:r>
            <w:r w:rsidRPr="00EA4DEC">
              <w:rPr>
                <w:rFonts w:eastAsia="Verdana" w:cs="Verdana"/>
                <w:szCs w:val="18"/>
              </w:rPr>
              <w:t>CO</w:t>
            </w:r>
            <w:r w:rsidRPr="0060331F">
              <w:rPr>
                <w:rFonts w:eastAsia="Verdana" w:cs="Verdana"/>
                <w:szCs w:val="18"/>
                <w:vertAlign w:val="subscript"/>
              </w:rPr>
              <w:t>2</w:t>
            </w:r>
            <w:r w:rsidRPr="5AF0831B">
              <w:rPr>
                <w:rFonts w:ascii="Calibri" w:hAnsi="Calibri" w:eastAsia="Calibri" w:cs="Calibri"/>
                <w:color w:val="000000" w:themeColor="text1"/>
                <w:sz w:val="22"/>
                <w:szCs w:val="22"/>
              </w:rPr>
              <w:t xml:space="preserve"> heffing bij </w:t>
            </w:r>
            <w:proofErr w:type="spellStart"/>
            <w:r w:rsidRPr="5AF0831B">
              <w:rPr>
                <w:rFonts w:ascii="Calibri" w:hAnsi="Calibri" w:eastAsia="Calibri" w:cs="Calibri"/>
                <w:color w:val="000000" w:themeColor="text1"/>
                <w:sz w:val="22"/>
                <w:szCs w:val="22"/>
              </w:rPr>
              <w:t>AVI’s</w:t>
            </w:r>
            <w:proofErr w:type="spellEnd"/>
            <w:r w:rsidRPr="5AF0831B">
              <w:rPr>
                <w:rFonts w:ascii="Calibri" w:hAnsi="Calibri" w:eastAsia="Calibri" w:cs="Calibri"/>
                <w:color w:val="000000" w:themeColor="text1"/>
                <w:sz w:val="22"/>
                <w:szCs w:val="22"/>
              </w:rPr>
              <w:t xml:space="preserve"> </w:t>
            </w:r>
          </w:p>
        </w:tc>
        <w:tc>
          <w:tcPr>
            <w:tcW w:w="991" w:type="dxa"/>
            <w:tcBorders>
              <w:top w:val="single" w:color="156082" w:themeColor="accent1" w:sz="8" w:space="0"/>
              <w:left w:val="nil"/>
              <w:bottom w:val="single" w:color="156082" w:themeColor="accent1" w:sz="8" w:space="0"/>
              <w:right w:val="nil"/>
            </w:tcBorders>
            <w:tcMar>
              <w:left w:w="108" w:type="dxa"/>
              <w:right w:w="108" w:type="dxa"/>
            </w:tcMar>
          </w:tcPr>
          <w:p w:rsidR="00E95DF9" w:rsidP="002A7820" w:rsidRDefault="00E95DF9" w14:paraId="3A6EB509" w14:textId="77777777">
            <w:pPr>
              <w:jc w:val="right"/>
              <w:cnfStyle w:val="000000100000" w:firstRow="0" w:lastRow="0" w:firstColumn="0" w:lastColumn="0" w:oddVBand="0" w:evenVBand="0" w:oddHBand="1" w:evenHBand="0" w:firstRowFirstColumn="0" w:firstRowLastColumn="0" w:lastRowFirstColumn="0" w:lastRowLastColumn="0"/>
            </w:pPr>
            <w:r w:rsidRPr="5AF0831B">
              <w:rPr>
                <w:rFonts w:ascii="Calibri" w:hAnsi="Calibri" w:eastAsia="Calibri" w:cs="Calibri"/>
                <w:sz w:val="22"/>
                <w:szCs w:val="22"/>
              </w:rPr>
              <w:t>0</w:t>
            </w:r>
          </w:p>
        </w:tc>
        <w:tc>
          <w:tcPr>
            <w:tcW w:w="991" w:type="dxa"/>
            <w:tcBorders>
              <w:top w:val="single" w:color="156082" w:themeColor="accent1" w:sz="8" w:space="0"/>
              <w:left w:val="nil"/>
              <w:bottom w:val="single" w:color="156082" w:themeColor="accent1" w:sz="8" w:space="0"/>
              <w:right w:val="nil"/>
            </w:tcBorders>
            <w:tcMar>
              <w:left w:w="108" w:type="dxa"/>
              <w:right w:w="108" w:type="dxa"/>
            </w:tcMar>
          </w:tcPr>
          <w:p w:rsidR="00E95DF9" w:rsidP="002A7820" w:rsidRDefault="00E95DF9" w14:paraId="4423E3B3" w14:textId="77777777">
            <w:pPr>
              <w:jc w:val="right"/>
              <w:cnfStyle w:val="000000100000" w:firstRow="0" w:lastRow="0" w:firstColumn="0" w:lastColumn="0" w:oddVBand="0" w:evenVBand="0" w:oddHBand="1" w:evenHBand="0" w:firstRowFirstColumn="0" w:firstRowLastColumn="0" w:lastRowFirstColumn="0" w:lastRowLastColumn="0"/>
            </w:pPr>
            <w:r w:rsidRPr="5AF0831B">
              <w:rPr>
                <w:rFonts w:ascii="Calibri" w:hAnsi="Calibri" w:eastAsia="Calibri" w:cs="Calibri"/>
                <w:sz w:val="22"/>
                <w:szCs w:val="22"/>
              </w:rPr>
              <w:t>0</w:t>
            </w:r>
          </w:p>
        </w:tc>
        <w:tc>
          <w:tcPr>
            <w:tcW w:w="991" w:type="dxa"/>
            <w:tcBorders>
              <w:top w:val="single" w:color="156082" w:themeColor="accent1" w:sz="8" w:space="0"/>
              <w:left w:val="nil"/>
              <w:bottom w:val="single" w:color="156082" w:themeColor="accent1" w:sz="8" w:space="0"/>
              <w:right w:val="nil"/>
            </w:tcBorders>
            <w:tcMar>
              <w:left w:w="108" w:type="dxa"/>
              <w:right w:w="108" w:type="dxa"/>
            </w:tcMar>
          </w:tcPr>
          <w:p w:rsidR="00E95DF9" w:rsidP="002A7820" w:rsidRDefault="00E95DF9" w14:paraId="2FE3242B" w14:textId="77777777">
            <w:pPr>
              <w:jc w:val="right"/>
              <w:cnfStyle w:val="000000100000" w:firstRow="0" w:lastRow="0" w:firstColumn="0" w:lastColumn="0" w:oddVBand="0" w:evenVBand="0" w:oddHBand="1" w:evenHBand="0" w:firstRowFirstColumn="0" w:firstRowLastColumn="0" w:lastRowFirstColumn="0" w:lastRowLastColumn="0"/>
            </w:pPr>
            <w:r w:rsidRPr="5AF0831B">
              <w:rPr>
                <w:rFonts w:ascii="Calibri" w:hAnsi="Calibri" w:eastAsia="Calibri" w:cs="Calibri"/>
                <w:sz w:val="22"/>
                <w:szCs w:val="22"/>
              </w:rPr>
              <w:t>51</w:t>
            </w:r>
          </w:p>
        </w:tc>
        <w:tc>
          <w:tcPr>
            <w:tcW w:w="991" w:type="dxa"/>
            <w:tcBorders>
              <w:top w:val="single" w:color="156082" w:themeColor="accent1" w:sz="8" w:space="0"/>
              <w:left w:val="nil"/>
              <w:bottom w:val="single" w:color="156082" w:themeColor="accent1" w:sz="8" w:space="0"/>
              <w:right w:val="single" w:color="156082" w:themeColor="accent1" w:sz="8" w:space="0"/>
            </w:tcBorders>
            <w:tcMar>
              <w:left w:w="108" w:type="dxa"/>
              <w:right w:w="108" w:type="dxa"/>
            </w:tcMar>
          </w:tcPr>
          <w:p w:rsidR="00E95DF9" w:rsidP="002A7820" w:rsidRDefault="00E95DF9" w14:paraId="37EF4CCE" w14:textId="77777777">
            <w:pPr>
              <w:jc w:val="right"/>
              <w:cnfStyle w:val="000000100000" w:firstRow="0" w:lastRow="0" w:firstColumn="0" w:lastColumn="0" w:oddVBand="0" w:evenVBand="0" w:oddHBand="1" w:evenHBand="0" w:firstRowFirstColumn="0" w:firstRowLastColumn="0" w:lastRowFirstColumn="0" w:lastRowLastColumn="0"/>
            </w:pPr>
            <w:r w:rsidRPr="5AF0831B">
              <w:rPr>
                <w:rFonts w:ascii="Calibri" w:hAnsi="Calibri" w:eastAsia="Calibri" w:cs="Calibri"/>
                <w:sz w:val="22"/>
                <w:szCs w:val="22"/>
              </w:rPr>
              <w:t>99</w:t>
            </w:r>
          </w:p>
        </w:tc>
      </w:tr>
    </w:tbl>
    <w:p w:rsidR="00E95DF9" w:rsidP="00E95DF9" w:rsidRDefault="00E95DF9" w14:paraId="3ECD9FBF" w14:textId="77777777">
      <w:pPr>
        <w:rPr>
          <w:szCs w:val="18"/>
        </w:rPr>
      </w:pPr>
    </w:p>
    <w:p w:rsidR="00E95DF9" w:rsidP="00E95DF9" w:rsidRDefault="00E95DF9" w14:paraId="7176466A" w14:textId="77777777">
      <w:pPr>
        <w:rPr>
          <w:szCs w:val="18"/>
        </w:rPr>
      </w:pPr>
      <w:r>
        <w:rPr>
          <w:szCs w:val="18"/>
        </w:rPr>
        <w:t>5</w:t>
      </w:r>
    </w:p>
    <w:p w:rsidR="00E95DF9" w:rsidP="00E95DF9" w:rsidRDefault="00E95DF9" w14:paraId="61783D27" w14:textId="77777777">
      <w:pPr>
        <w:rPr>
          <w:rFonts w:eastAsia="Verdana" w:cs="Verdana"/>
          <w:szCs w:val="18"/>
        </w:rPr>
      </w:pPr>
      <w:r w:rsidRPr="5AF0831B">
        <w:rPr>
          <w:rFonts w:eastAsia="Verdana" w:cs="Verdana"/>
          <w:szCs w:val="18"/>
        </w:rPr>
        <w:t xml:space="preserve">Worden de inkomsten van de </w:t>
      </w:r>
      <w:r w:rsidRPr="00EA4DEC">
        <w:rPr>
          <w:rFonts w:eastAsia="Verdana" w:cs="Verdana"/>
          <w:szCs w:val="18"/>
        </w:rPr>
        <w:t>CO</w:t>
      </w:r>
      <w:r w:rsidRPr="0060331F">
        <w:rPr>
          <w:rFonts w:eastAsia="Verdana" w:cs="Verdana"/>
          <w:szCs w:val="18"/>
          <w:vertAlign w:val="subscript"/>
        </w:rPr>
        <w:t>2</w:t>
      </w:r>
      <w:r w:rsidRPr="5AF0831B">
        <w:rPr>
          <w:rFonts w:eastAsia="Verdana" w:cs="Verdana"/>
          <w:szCs w:val="18"/>
        </w:rPr>
        <w:t>-heffing nog steeds geraamd op 291 miljoen euro of is er inmiddels een nieuwe raming beschikbaar? Indien deze niet beschikbaar is, wanneer wordt er dan wel een nieuwe raming verwacht?</w:t>
      </w:r>
    </w:p>
    <w:p w:rsidR="00E95DF9" w:rsidP="00E95DF9" w:rsidRDefault="00E95DF9" w14:paraId="5CCEE9B1" w14:textId="77777777">
      <w:pPr>
        <w:rPr>
          <w:rFonts w:eastAsia="Verdana" w:cs="Verdana"/>
          <w:szCs w:val="18"/>
        </w:rPr>
      </w:pPr>
    </w:p>
    <w:p w:rsidRPr="00226A77" w:rsidR="00E95DF9" w:rsidP="00E95DF9" w:rsidRDefault="00E95DF9" w14:paraId="08E8140E" w14:textId="77777777">
      <w:pPr>
        <w:rPr>
          <w:rFonts w:eastAsia="Verdana" w:cs="Verdana"/>
          <w:szCs w:val="18"/>
        </w:rPr>
      </w:pPr>
      <w:r w:rsidRPr="00226A77">
        <w:rPr>
          <w:rFonts w:eastAsia="Verdana" w:cs="Verdana"/>
          <w:szCs w:val="18"/>
        </w:rPr>
        <w:t>Antwoord</w:t>
      </w:r>
    </w:p>
    <w:p w:rsidRPr="00134B5C" w:rsidR="00E95DF9" w:rsidP="00E95DF9" w:rsidRDefault="00E95DF9" w14:paraId="4A560E04" w14:textId="77777777">
      <w:pPr>
        <w:rPr>
          <w:rFonts w:eastAsia="Verdana" w:cs="Verdana"/>
        </w:rPr>
      </w:pPr>
      <w:r w:rsidRPr="00226A77">
        <w:rPr>
          <w:rFonts w:eastAsia="Verdana" w:cs="Verdana"/>
        </w:rPr>
        <w:t>In beginsel worden de verwachte inkomsten van de CO</w:t>
      </w:r>
      <w:r w:rsidRPr="00226A77">
        <w:rPr>
          <w:rFonts w:eastAsia="Verdana" w:cs="Verdana"/>
          <w:vertAlign w:val="subscript"/>
        </w:rPr>
        <w:t>2</w:t>
      </w:r>
      <w:r w:rsidRPr="00226A77">
        <w:rPr>
          <w:rFonts w:eastAsia="Verdana" w:cs="Verdana"/>
        </w:rPr>
        <w:t xml:space="preserve">-heffing industrie alleen aan het begin van de kabinetsperiode geraamd. Indien inkomsten worden verwacht, wordt dit bedrag gereserveerd aan de uitgavenkant van de begroting onder het Klimaatfonds. Gedurende de kabinetsperiode wordt alleen een nieuwe raming gemaakt, als er sprake is van een beleidsmatige wijziging die impact heeft op de raming. </w:t>
      </w:r>
    </w:p>
    <w:p w:rsidRPr="00134B5C" w:rsidR="00E95DF9" w:rsidP="00E95DF9" w:rsidRDefault="00E95DF9" w14:paraId="62647A61" w14:textId="77777777">
      <w:pPr>
        <w:rPr>
          <w:rFonts w:eastAsia="Verdana" w:cs="Verdana"/>
        </w:rPr>
      </w:pPr>
    </w:p>
    <w:p w:rsidRPr="009F3755" w:rsidR="00E95DF9" w:rsidP="00E95DF9" w:rsidRDefault="00E95DF9" w14:paraId="43B7CDA7" w14:textId="77777777">
      <w:pPr>
        <w:rPr>
          <w:rFonts w:eastAsia="Verdana" w:cs="Verdana"/>
        </w:rPr>
      </w:pPr>
      <w:r w:rsidRPr="009F3755">
        <w:rPr>
          <w:rFonts w:eastAsia="Verdana" w:cs="Verdana"/>
        </w:rPr>
        <w:t>Zoals uw Kamer heeft kunnen lezen in de meest recente klimaat- en energiebrief van 25 april jl.</w:t>
      </w:r>
      <w:r>
        <w:rPr>
          <w:rStyle w:val="Voetnootmarkering"/>
          <w:rFonts w:eastAsia="Verdana" w:cs="Verdana"/>
        </w:rPr>
        <w:footnoteReference w:id="5"/>
      </w:r>
      <w:r w:rsidRPr="009F3755">
        <w:rPr>
          <w:rFonts w:eastAsia="Verdana" w:cs="Verdana"/>
        </w:rPr>
        <w:t xml:space="preserve"> heeft het kabinet besloten wijzigingen door te voeren voor de CO2-heffing. Een nieuwe raming zal onderdeel uitmaken van het wetsvoorstel voor de CO2-heffing industrie dat wordt gepresenteerd met Prinsjesdag. </w:t>
      </w:r>
    </w:p>
    <w:p w:rsidRPr="009F3755" w:rsidR="00E95DF9" w:rsidP="00E95DF9" w:rsidRDefault="00E95DF9" w14:paraId="7D596784" w14:textId="77777777">
      <w:pPr>
        <w:rPr>
          <w:rFonts w:eastAsia="Verdana" w:cs="Verdana"/>
        </w:rPr>
      </w:pPr>
    </w:p>
    <w:p w:rsidRPr="00226A77" w:rsidR="00E95DF9" w:rsidP="00E95DF9" w:rsidRDefault="00E95DF9" w14:paraId="69E529B6" w14:textId="77777777">
      <w:pPr>
        <w:rPr>
          <w:rFonts w:eastAsia="Verdana" w:cs="Verdana"/>
        </w:rPr>
      </w:pPr>
      <w:r w:rsidRPr="009F3755">
        <w:rPr>
          <w:rFonts w:eastAsia="Verdana" w:cs="Verdana"/>
        </w:rPr>
        <w:t xml:space="preserve">Ook </w:t>
      </w:r>
      <w:r w:rsidRPr="00226A77">
        <w:rPr>
          <w:rFonts w:eastAsia="Verdana" w:cs="Verdana"/>
        </w:rPr>
        <w:t xml:space="preserve">in 2026 </w:t>
      </w:r>
      <w:r w:rsidRPr="009F3755">
        <w:rPr>
          <w:rFonts w:eastAsia="Verdana" w:cs="Verdana"/>
        </w:rPr>
        <w:t xml:space="preserve">zal </w:t>
      </w:r>
      <w:r w:rsidRPr="00226A77">
        <w:rPr>
          <w:rFonts w:eastAsia="Verdana" w:cs="Verdana"/>
        </w:rPr>
        <w:t>de raming worden herzien vanwege de invoering van de nieuwe EU ETS benchmarks. Deze benchmarks worden ook binnen de Nederlandse CO</w:t>
      </w:r>
      <w:r w:rsidRPr="00226A77">
        <w:rPr>
          <w:rFonts w:eastAsia="Verdana" w:cs="Verdana"/>
          <w:vertAlign w:val="subscript"/>
        </w:rPr>
        <w:t>2</w:t>
      </w:r>
      <w:r w:rsidRPr="00226A77">
        <w:rPr>
          <w:rFonts w:eastAsia="Verdana" w:cs="Verdana"/>
        </w:rPr>
        <w:t xml:space="preserve">-heffing gehanteerd en de aanpassing hiervan zal leiden tot een nieuwe waarde van de nationale reductiefactor. </w:t>
      </w:r>
    </w:p>
    <w:p w:rsidR="00E95DF9" w:rsidP="00E95DF9" w:rsidRDefault="00E95DF9" w14:paraId="177E2793" w14:textId="77777777">
      <w:pPr>
        <w:rPr>
          <w:szCs w:val="18"/>
        </w:rPr>
      </w:pPr>
    </w:p>
    <w:p w:rsidR="00E95DF9" w:rsidP="00E95DF9" w:rsidRDefault="00E95DF9" w14:paraId="5DC100ED" w14:textId="77777777">
      <w:pPr>
        <w:rPr>
          <w:szCs w:val="18"/>
        </w:rPr>
      </w:pPr>
      <w:r>
        <w:rPr>
          <w:szCs w:val="18"/>
        </w:rPr>
        <w:t>6</w:t>
      </w:r>
    </w:p>
    <w:p w:rsidR="00E95DF9" w:rsidP="00E95DF9" w:rsidRDefault="00E95DF9" w14:paraId="504D6BB9" w14:textId="77777777">
      <w:pPr>
        <w:rPr>
          <w:rFonts w:eastAsia="Verdana" w:cs="Verdana"/>
          <w:szCs w:val="18"/>
        </w:rPr>
      </w:pPr>
      <w:r w:rsidRPr="702FFBDD">
        <w:rPr>
          <w:rFonts w:eastAsia="Verdana" w:cs="Verdana"/>
        </w:rPr>
        <w:t xml:space="preserve">In hoeverre gaat de stelling van het Planbureau van de Leefomgeving (PBL) nog op dat met name in cluster 6 de kans bestaat dat bedrijven zonder reëel handelingsperspectief een heffing zullen moeten betalen, omdat de kans op </w:t>
      </w:r>
      <w:r w:rsidRPr="702FFBDD">
        <w:rPr>
          <w:rFonts w:eastAsia="Verdana" w:cs="Verdana"/>
        </w:rPr>
        <w:lastRenderedPageBreak/>
        <w:t>tijdige toegang tot energie-infrastructuur (</w:t>
      </w:r>
      <w:r w:rsidRPr="00EA4DEC">
        <w:rPr>
          <w:rFonts w:eastAsia="Verdana" w:cs="Verdana"/>
          <w:szCs w:val="18"/>
        </w:rPr>
        <w:t>CO</w:t>
      </w:r>
      <w:r w:rsidRPr="0060331F">
        <w:rPr>
          <w:rFonts w:eastAsia="Verdana" w:cs="Verdana"/>
          <w:szCs w:val="18"/>
          <w:vertAlign w:val="subscript"/>
        </w:rPr>
        <w:t>2</w:t>
      </w:r>
      <w:r w:rsidRPr="702FFBDD">
        <w:rPr>
          <w:rFonts w:eastAsia="Verdana" w:cs="Verdana"/>
        </w:rPr>
        <w:t>, waterstof, elektriciteit) daar kleiner is dan in de vijf grote clusters</w:t>
      </w:r>
      <w:r w:rsidRPr="702FFBDD">
        <w:rPr>
          <w:rStyle w:val="Voetnootmarkering"/>
          <w:rFonts w:eastAsia="Verdana" w:cs="Verdana"/>
        </w:rPr>
        <w:footnoteReference w:id="6"/>
      </w:r>
      <w:r w:rsidRPr="702FFBDD">
        <w:rPr>
          <w:rFonts w:eastAsia="Verdana" w:cs="Verdana"/>
        </w:rPr>
        <w:t>?</w:t>
      </w:r>
    </w:p>
    <w:p w:rsidR="00E95DF9" w:rsidP="00E95DF9" w:rsidRDefault="00E95DF9" w14:paraId="452A7A10" w14:textId="77777777">
      <w:pPr>
        <w:rPr>
          <w:rFonts w:eastAsia="Verdana" w:cs="Verdana"/>
          <w:szCs w:val="18"/>
        </w:rPr>
      </w:pPr>
    </w:p>
    <w:p w:rsidR="00E95DF9" w:rsidP="00E95DF9" w:rsidRDefault="00E95DF9" w14:paraId="09999A32" w14:textId="77777777">
      <w:pPr>
        <w:rPr>
          <w:rFonts w:eastAsia="Verdana" w:cs="Verdana"/>
          <w:szCs w:val="18"/>
        </w:rPr>
      </w:pPr>
      <w:r>
        <w:rPr>
          <w:rFonts w:eastAsia="Verdana" w:cs="Verdana"/>
          <w:szCs w:val="18"/>
        </w:rPr>
        <w:t>Antwoord</w:t>
      </w:r>
    </w:p>
    <w:p w:rsidRPr="00170AEB" w:rsidR="00E95DF9" w:rsidP="00E95DF9" w:rsidRDefault="00E95DF9" w14:paraId="64BD3698" w14:textId="77777777">
      <w:r>
        <w:t xml:space="preserve">Uit de Landelijke Cluster Energie Strategie van cluster 6 blijkt dat 73% van de verduurzamingsplannen van cluster 6 bedrijven, </w:t>
      </w:r>
      <w:r w:rsidRPr="1CC18A52">
        <w:rPr>
          <w:rFonts w:eastAsia="Verdana" w:cs="Verdana"/>
          <w:szCs w:val="18"/>
        </w:rPr>
        <w:t>die nieuwe of uitgebreide energie-infrastructuur nodig hebben,</w:t>
      </w:r>
      <w:r>
        <w:t xml:space="preserve"> geen doorgang kunnen vinden voor 2030.  </w:t>
      </w:r>
    </w:p>
    <w:p w:rsidR="00E95DF9" w:rsidP="00E95DF9" w:rsidRDefault="00E95DF9" w14:paraId="49E45B88" w14:textId="77777777">
      <w:pPr>
        <w:rPr>
          <w:rFonts w:eastAsia="Verdana" w:cs="Verdana"/>
        </w:rPr>
      </w:pPr>
      <w:r>
        <w:t>De netcongestiekaart kleurt echter in het gehele land rood of oranje. Ook binnen de vijf geografische clusters lopen bedrijven tegen vergelijkbare problemen aan.</w:t>
      </w:r>
      <w:r w:rsidRPr="54DB450B">
        <w:rPr>
          <w:rFonts w:eastAsia="Verdana" w:cs="Verdana"/>
        </w:rPr>
        <w:t xml:space="preserve"> Vanwege de verspreide geografische ligging van cluster 6-bedrijven zijn er wel aanvullende en specifieke knelpunten bij (een deel van) de cluster 6-bedrijven zichtbaar, zoals hoge kosten voor een aansluiting vanwege een grote afstand tot de hoofdinfrastructuur of voorlopig geen uitzicht op een aansluiting op bijvoorbeeld de waterstofinfrastructuur.</w:t>
      </w:r>
      <w:r>
        <w:t xml:space="preserve"> </w:t>
      </w:r>
    </w:p>
    <w:p w:rsidR="00E95DF9" w:rsidP="00E95DF9" w:rsidRDefault="00E95DF9" w14:paraId="589842FA" w14:textId="77777777">
      <w:pPr>
        <w:rPr>
          <w:szCs w:val="18"/>
        </w:rPr>
      </w:pPr>
    </w:p>
    <w:p w:rsidR="00E95DF9" w:rsidP="00E95DF9" w:rsidRDefault="00E95DF9" w14:paraId="644E511A" w14:textId="77777777">
      <w:pPr>
        <w:rPr>
          <w:szCs w:val="18"/>
        </w:rPr>
      </w:pPr>
      <w:r>
        <w:rPr>
          <w:szCs w:val="18"/>
        </w:rPr>
        <w:t>7</w:t>
      </w:r>
    </w:p>
    <w:p w:rsidR="00E95DF9" w:rsidP="00E95DF9" w:rsidRDefault="00E95DF9" w14:paraId="2B8A3BF2" w14:textId="77777777">
      <w:pPr>
        <w:rPr>
          <w:rFonts w:eastAsia="Verdana" w:cs="Verdana"/>
        </w:rPr>
      </w:pPr>
      <w:r w:rsidRPr="1CC18A52">
        <w:rPr>
          <w:rFonts w:eastAsia="Verdana" w:cs="Verdana"/>
        </w:rPr>
        <w:t>Hoe groot is de kans op tijdige toegang tot energie-infrastructuur (</w:t>
      </w:r>
      <w:r w:rsidRPr="00EA4DEC">
        <w:rPr>
          <w:rFonts w:eastAsia="Verdana" w:cs="Verdana"/>
          <w:szCs w:val="18"/>
        </w:rPr>
        <w:t>CO</w:t>
      </w:r>
      <w:r w:rsidRPr="0060331F">
        <w:rPr>
          <w:rFonts w:eastAsia="Verdana" w:cs="Verdana"/>
          <w:szCs w:val="18"/>
          <w:vertAlign w:val="subscript"/>
        </w:rPr>
        <w:t>2</w:t>
      </w:r>
      <w:r w:rsidRPr="1CC18A52">
        <w:rPr>
          <w:rFonts w:eastAsia="Verdana" w:cs="Verdana"/>
        </w:rPr>
        <w:t xml:space="preserve">, waterstof, elektriciteit) in de verschillende industrieclusters? Zijn er daarbij grote verschillen tussen de clusters? Is hier recent studie naar gedaan? Zo niet, acht u het dan wenselijk om hier wel zo snel mogelijk onderzoek naar te laten doen? </w:t>
      </w:r>
    </w:p>
    <w:p w:rsidR="00E95DF9" w:rsidP="00E95DF9" w:rsidRDefault="00E95DF9" w14:paraId="712A8329" w14:textId="77777777">
      <w:pPr>
        <w:rPr>
          <w:rFonts w:eastAsia="Verdana" w:cs="Verdana"/>
          <w:szCs w:val="18"/>
        </w:rPr>
      </w:pPr>
    </w:p>
    <w:p w:rsidR="00E95DF9" w:rsidP="00E95DF9" w:rsidRDefault="00E95DF9" w14:paraId="06F6AA58" w14:textId="77777777">
      <w:pPr>
        <w:rPr>
          <w:rFonts w:eastAsia="Verdana" w:cs="Verdana"/>
          <w:szCs w:val="18"/>
        </w:rPr>
      </w:pPr>
      <w:r>
        <w:rPr>
          <w:rFonts w:eastAsia="Verdana" w:cs="Verdana"/>
          <w:szCs w:val="18"/>
        </w:rPr>
        <w:t>Antwoord</w:t>
      </w:r>
    </w:p>
    <w:p w:rsidRPr="00F3192A" w:rsidR="00E95DF9" w:rsidP="00E95DF9" w:rsidRDefault="00E95DF9" w14:paraId="3FF19B8E" w14:textId="77777777">
      <w:pPr>
        <w:rPr>
          <w:rFonts w:eastAsia="Verdana" w:cs="Verdana"/>
          <w:szCs w:val="18"/>
        </w:rPr>
      </w:pPr>
      <w:r w:rsidRPr="00F3192A">
        <w:rPr>
          <w:rFonts w:eastAsia="Verdana" w:cs="Verdana"/>
          <w:szCs w:val="18"/>
        </w:rPr>
        <w:t>De kans op tijdige aansluiting van een bedrijf op energie-infra in een van de industrieclusters is afhankelijk van veel verschillende factoren. Bijvoorbeeld in welk industriecluster het bedrijf zich bevindt en waar in het cluster een bedrijf zich bevindt. Maar ook wat voor een aansluiting het bedrijf nodig heeft en wanneer het bedrijf die aansluiting precies nodig heeft. Hier is dus geen eenduidig antwoord op te geven.</w:t>
      </w:r>
      <w:r>
        <w:rPr>
          <w:rFonts w:eastAsia="Verdana" w:cs="Verdana"/>
          <w:szCs w:val="18"/>
        </w:rPr>
        <w:t xml:space="preserve"> </w:t>
      </w:r>
      <w:r w:rsidRPr="00C81C84">
        <w:rPr>
          <w:rFonts w:eastAsia="Verdana" w:cs="Verdana"/>
          <w:szCs w:val="18"/>
        </w:rPr>
        <w:t>In de Cluster Energie Strategieën (</w:t>
      </w:r>
      <w:proofErr w:type="spellStart"/>
      <w:r w:rsidRPr="00C81C84">
        <w:rPr>
          <w:rFonts w:eastAsia="Verdana" w:cs="Verdana"/>
          <w:szCs w:val="18"/>
        </w:rPr>
        <w:t>CES’en</w:t>
      </w:r>
      <w:proofErr w:type="spellEnd"/>
      <w:r w:rsidRPr="00C81C84">
        <w:rPr>
          <w:rFonts w:eastAsia="Verdana" w:cs="Verdana"/>
          <w:szCs w:val="18"/>
        </w:rPr>
        <w:t>) hebben de industrieclusters hun toekomstige energievraag in kaart gebracht en de infrastructuur geagendeerd die daarvoor noodzakelijk is.</w:t>
      </w:r>
      <w:r>
        <w:rPr>
          <w:rFonts w:eastAsia="Verdana" w:cs="Verdana"/>
          <w:szCs w:val="18"/>
        </w:rPr>
        <w:t xml:space="preserve"> </w:t>
      </w:r>
      <w:r w:rsidRPr="00F3192A">
        <w:rPr>
          <w:rFonts w:eastAsia="Verdana" w:cs="Verdana"/>
          <w:szCs w:val="18"/>
        </w:rPr>
        <w:t xml:space="preserve">Middels o.a. het Meerjarenprogramma Infrastructuur Energie en Klimaat (MIEK), de versterkte clusteraanpak met de clusterregisseurs, de stuurgroep </w:t>
      </w:r>
      <w:r>
        <w:rPr>
          <w:rFonts w:eastAsia="Verdana" w:cs="Verdana"/>
          <w:szCs w:val="18"/>
        </w:rPr>
        <w:t>Nationaal Programma Verduurzaming Industrie (</w:t>
      </w:r>
      <w:r w:rsidRPr="00F3192A">
        <w:rPr>
          <w:rFonts w:eastAsia="Verdana" w:cs="Verdana"/>
          <w:szCs w:val="18"/>
        </w:rPr>
        <w:t>NPVI</w:t>
      </w:r>
      <w:r>
        <w:rPr>
          <w:rFonts w:eastAsia="Verdana" w:cs="Verdana"/>
          <w:szCs w:val="18"/>
        </w:rPr>
        <w:t>)</w:t>
      </w:r>
      <w:r w:rsidRPr="00F3192A">
        <w:rPr>
          <w:rFonts w:eastAsia="Verdana" w:cs="Verdana"/>
          <w:szCs w:val="18"/>
        </w:rPr>
        <w:t xml:space="preserve"> en het</w:t>
      </w:r>
      <w:r>
        <w:rPr>
          <w:rFonts w:eastAsia="Verdana" w:cs="Verdana"/>
          <w:szCs w:val="18"/>
        </w:rPr>
        <w:t xml:space="preserve"> Landelijk Actieplan Netcongestie</w:t>
      </w:r>
      <w:r w:rsidRPr="00F3192A">
        <w:rPr>
          <w:rFonts w:eastAsia="Verdana" w:cs="Verdana"/>
          <w:szCs w:val="18"/>
        </w:rPr>
        <w:t xml:space="preserve"> </w:t>
      </w:r>
      <w:r>
        <w:rPr>
          <w:rFonts w:eastAsia="Verdana" w:cs="Verdana"/>
          <w:szCs w:val="18"/>
        </w:rPr>
        <w:t>(</w:t>
      </w:r>
      <w:r w:rsidRPr="00F3192A">
        <w:rPr>
          <w:rFonts w:eastAsia="Verdana" w:cs="Verdana"/>
          <w:szCs w:val="18"/>
        </w:rPr>
        <w:t>LAN</w:t>
      </w:r>
      <w:r>
        <w:rPr>
          <w:rFonts w:eastAsia="Verdana" w:cs="Verdana"/>
          <w:szCs w:val="18"/>
        </w:rPr>
        <w:t>)</w:t>
      </w:r>
      <w:r w:rsidRPr="00F3192A">
        <w:rPr>
          <w:rFonts w:eastAsia="Verdana" w:cs="Verdana"/>
          <w:szCs w:val="18"/>
        </w:rPr>
        <w:t xml:space="preserve"> werk ik op alle vlakken met nationale en regionale stakeholders samen om de knelpunten die zich voordoen bij realisatie van de verschillende modaliteiten op </w:t>
      </w:r>
      <w:r w:rsidRPr="00F3192A">
        <w:rPr>
          <w:rFonts w:eastAsia="Verdana" w:cs="Verdana"/>
          <w:szCs w:val="18"/>
        </w:rPr>
        <w:lastRenderedPageBreak/>
        <w:t xml:space="preserve">te lossen. Hiervoor is geen studie gedaan voor het totaal van alle modaliteiten. De kamer wordt wel regelmatig geïnformeerd over de voortgang van MIEK-projecten, de waterstof backbone, </w:t>
      </w:r>
      <w:r>
        <w:rPr>
          <w:rFonts w:eastAsia="Verdana" w:cs="Verdana"/>
          <w:szCs w:val="18"/>
        </w:rPr>
        <w:t xml:space="preserve">de </w:t>
      </w:r>
      <w:r w:rsidRPr="00F3192A">
        <w:rPr>
          <w:rFonts w:eastAsia="Verdana" w:cs="Verdana"/>
          <w:szCs w:val="18"/>
        </w:rPr>
        <w:t xml:space="preserve">Delta </w:t>
      </w:r>
      <w:proofErr w:type="spellStart"/>
      <w:r w:rsidRPr="00F3192A">
        <w:rPr>
          <w:rFonts w:eastAsia="Verdana" w:cs="Verdana"/>
          <w:szCs w:val="18"/>
        </w:rPr>
        <w:t>Rhine</w:t>
      </w:r>
      <w:proofErr w:type="spellEnd"/>
      <w:r w:rsidRPr="00F3192A">
        <w:rPr>
          <w:rFonts w:eastAsia="Verdana" w:cs="Verdana"/>
          <w:szCs w:val="18"/>
        </w:rPr>
        <w:t xml:space="preserve"> Corridor en </w:t>
      </w:r>
      <w:r>
        <w:rPr>
          <w:rFonts w:eastAsia="Verdana" w:cs="Verdana"/>
          <w:szCs w:val="18"/>
        </w:rPr>
        <w:t xml:space="preserve">de ontwikkeling van de </w:t>
      </w:r>
      <w:r w:rsidRPr="00EA4DEC">
        <w:rPr>
          <w:rFonts w:eastAsia="Verdana" w:cs="Verdana"/>
          <w:szCs w:val="18"/>
        </w:rPr>
        <w:t>CO</w:t>
      </w:r>
      <w:r w:rsidRPr="0060331F">
        <w:rPr>
          <w:rFonts w:eastAsia="Verdana" w:cs="Verdana"/>
          <w:szCs w:val="18"/>
          <w:vertAlign w:val="subscript"/>
        </w:rPr>
        <w:t>2</w:t>
      </w:r>
      <w:r w:rsidRPr="00F3192A">
        <w:rPr>
          <w:rFonts w:eastAsia="Verdana" w:cs="Verdana"/>
          <w:szCs w:val="18"/>
        </w:rPr>
        <w:t xml:space="preserve"> infrastructuur. </w:t>
      </w:r>
      <w:r w:rsidRPr="001C39A0">
        <w:rPr>
          <w:rFonts w:eastAsia="Verdana" w:cs="Verdana"/>
          <w:szCs w:val="18"/>
        </w:rPr>
        <w:t xml:space="preserve">Zoals aangegeven in de laatste voortgangsbrief netcongestie werken netbeheerders binnen het LAN aan het geven van meer inzicht in de </w:t>
      </w:r>
      <w:proofErr w:type="spellStart"/>
      <w:r w:rsidRPr="001C39A0">
        <w:rPr>
          <w:rFonts w:eastAsia="Verdana" w:cs="Verdana"/>
          <w:szCs w:val="18"/>
        </w:rPr>
        <w:t>planning</w:t>
      </w:r>
      <w:r>
        <w:rPr>
          <w:rFonts w:eastAsia="Verdana" w:cs="Verdana"/>
          <w:szCs w:val="18"/>
        </w:rPr>
        <w:t>s</w:t>
      </w:r>
      <w:proofErr w:type="spellEnd"/>
      <w:r w:rsidRPr="001C39A0">
        <w:rPr>
          <w:rFonts w:eastAsia="Verdana" w:cs="Verdana"/>
          <w:szCs w:val="18"/>
        </w:rPr>
        <w:t xml:space="preserve">(onzekerheden) van de netuitbreiding. Op deze wijze wordt steeds meer transparantie gegeven aan grootverbruikers zodat zij tijdige investeringsbeslissingen </w:t>
      </w:r>
      <w:r>
        <w:rPr>
          <w:rFonts w:eastAsia="Verdana" w:cs="Verdana"/>
          <w:szCs w:val="18"/>
        </w:rPr>
        <w:t xml:space="preserve">kunnen nemen over verduurzaming en uitbreiding. </w:t>
      </w:r>
      <w:r w:rsidRPr="00F3192A">
        <w:rPr>
          <w:rFonts w:eastAsia="Verdana" w:cs="Verdana"/>
          <w:szCs w:val="18"/>
        </w:rPr>
        <w:t xml:space="preserve">Meer onderzoek is daarbij niet nodig. </w:t>
      </w:r>
    </w:p>
    <w:p w:rsidRPr="00F3192A" w:rsidR="00E95DF9" w:rsidP="00E95DF9" w:rsidRDefault="00E95DF9" w14:paraId="32E96928" w14:textId="77777777">
      <w:pPr>
        <w:rPr>
          <w:rFonts w:eastAsia="Verdana" w:cs="Verdana"/>
          <w:szCs w:val="18"/>
        </w:rPr>
      </w:pPr>
    </w:p>
    <w:p w:rsidRPr="00F3192A" w:rsidR="00E95DF9" w:rsidP="00E95DF9" w:rsidRDefault="00E95DF9" w14:paraId="3F7403D1" w14:textId="77777777">
      <w:pPr>
        <w:rPr>
          <w:rFonts w:eastAsia="Verdana" w:cs="Verdana"/>
          <w:szCs w:val="18"/>
        </w:rPr>
      </w:pPr>
      <w:r w:rsidRPr="00F3192A">
        <w:rPr>
          <w:rFonts w:eastAsia="Verdana" w:cs="Verdana"/>
          <w:szCs w:val="18"/>
        </w:rPr>
        <w:t xml:space="preserve">Voor bedrijven in de industrieclusters zullen de aankomende jaren </w:t>
      </w:r>
      <w:r>
        <w:rPr>
          <w:rFonts w:eastAsia="Verdana" w:cs="Verdana"/>
          <w:szCs w:val="18"/>
        </w:rPr>
        <w:t xml:space="preserve">meer </w:t>
      </w:r>
      <w:r w:rsidRPr="00F3192A">
        <w:rPr>
          <w:rFonts w:eastAsia="Verdana" w:cs="Verdana"/>
          <w:szCs w:val="18"/>
        </w:rPr>
        <w:t>aansluitingen op energie</w:t>
      </w:r>
      <w:r>
        <w:rPr>
          <w:rFonts w:eastAsia="Verdana" w:cs="Verdana"/>
          <w:szCs w:val="18"/>
        </w:rPr>
        <w:t>-</w:t>
      </w:r>
      <w:r w:rsidRPr="00F3192A">
        <w:rPr>
          <w:rFonts w:eastAsia="Verdana" w:cs="Verdana"/>
          <w:szCs w:val="18"/>
        </w:rPr>
        <w:t xml:space="preserve">infrastructuur gerealiseerd </w:t>
      </w:r>
      <w:r>
        <w:rPr>
          <w:rFonts w:eastAsia="Verdana" w:cs="Verdana"/>
          <w:szCs w:val="18"/>
        </w:rPr>
        <w:t xml:space="preserve">kunnen gaan </w:t>
      </w:r>
      <w:r w:rsidRPr="00F3192A">
        <w:rPr>
          <w:rFonts w:eastAsia="Verdana" w:cs="Verdana"/>
          <w:szCs w:val="18"/>
        </w:rPr>
        <w:t>worden. De clusters aan de kust hebben</w:t>
      </w:r>
      <w:r>
        <w:rPr>
          <w:rFonts w:eastAsia="Verdana" w:cs="Verdana"/>
          <w:szCs w:val="18"/>
        </w:rPr>
        <w:t xml:space="preserve"> daarbij</w:t>
      </w:r>
      <w:r w:rsidRPr="00F3192A">
        <w:rPr>
          <w:rFonts w:eastAsia="Verdana" w:cs="Verdana"/>
          <w:szCs w:val="18"/>
        </w:rPr>
        <w:t xml:space="preserve"> de beste mogelijkheid tot ontsluiting voor waterstof en </w:t>
      </w:r>
      <w:r w:rsidRPr="00EA4DEC">
        <w:rPr>
          <w:rFonts w:eastAsia="Verdana" w:cs="Verdana"/>
          <w:szCs w:val="18"/>
        </w:rPr>
        <w:t>CO</w:t>
      </w:r>
      <w:r w:rsidRPr="0060331F">
        <w:rPr>
          <w:rFonts w:eastAsia="Verdana" w:cs="Verdana"/>
          <w:szCs w:val="18"/>
          <w:vertAlign w:val="subscript"/>
        </w:rPr>
        <w:t>2</w:t>
      </w:r>
      <w:r w:rsidRPr="00F3192A">
        <w:rPr>
          <w:rFonts w:eastAsia="Verdana" w:cs="Verdana"/>
          <w:szCs w:val="18"/>
        </w:rPr>
        <w:t xml:space="preserve">, hoewel de realiteit is dat ook hier de realisatie nog </w:t>
      </w:r>
      <w:r>
        <w:rPr>
          <w:rFonts w:eastAsia="Verdana" w:cs="Verdana"/>
          <w:szCs w:val="18"/>
        </w:rPr>
        <w:t xml:space="preserve">wel </w:t>
      </w:r>
      <w:r w:rsidRPr="00F3192A">
        <w:rPr>
          <w:rFonts w:eastAsia="Verdana" w:cs="Verdana"/>
          <w:szCs w:val="18"/>
        </w:rPr>
        <w:t xml:space="preserve">een aantal jaar op zich zal laten wachten. Ook voor elektriciteit geldt dat het nog jaren zal duren voordat de congestie in alle industrieclusters </w:t>
      </w:r>
      <w:r>
        <w:rPr>
          <w:rFonts w:eastAsia="Verdana" w:cs="Verdana"/>
          <w:szCs w:val="18"/>
        </w:rPr>
        <w:t>volledig zal zijn</w:t>
      </w:r>
      <w:r w:rsidRPr="00F3192A">
        <w:rPr>
          <w:rFonts w:eastAsia="Verdana" w:cs="Verdana"/>
          <w:szCs w:val="18"/>
        </w:rPr>
        <w:t xml:space="preserve"> opgelost.</w:t>
      </w:r>
      <w:r>
        <w:rPr>
          <w:rFonts w:eastAsia="Verdana" w:cs="Verdana"/>
          <w:szCs w:val="18"/>
        </w:rPr>
        <w:t xml:space="preserve"> </w:t>
      </w:r>
    </w:p>
    <w:p w:rsidR="00E95DF9" w:rsidP="00E95DF9" w:rsidRDefault="00E95DF9" w14:paraId="60C32C0F" w14:textId="77777777">
      <w:pPr>
        <w:rPr>
          <w:rFonts w:eastAsia="Verdana" w:cs="Verdana"/>
          <w:szCs w:val="18"/>
        </w:rPr>
      </w:pPr>
    </w:p>
    <w:p w:rsidR="00E95DF9" w:rsidP="00E95DF9" w:rsidRDefault="00E95DF9" w14:paraId="3A7E3210" w14:textId="77777777">
      <w:pPr>
        <w:rPr>
          <w:rFonts w:eastAsia="Verdana" w:cs="Verdana"/>
          <w:szCs w:val="18"/>
        </w:rPr>
      </w:pPr>
      <w:r>
        <w:rPr>
          <w:rFonts w:eastAsia="Verdana" w:cs="Verdana"/>
          <w:szCs w:val="18"/>
        </w:rPr>
        <w:t>8</w:t>
      </w:r>
    </w:p>
    <w:p w:rsidR="00E95DF9" w:rsidP="00E95DF9" w:rsidRDefault="00E95DF9" w14:paraId="165357E5" w14:textId="77777777">
      <w:pPr>
        <w:rPr>
          <w:rFonts w:eastAsia="Verdana" w:cs="Verdana"/>
          <w:szCs w:val="18"/>
        </w:rPr>
      </w:pPr>
      <w:r w:rsidRPr="0090474D">
        <w:rPr>
          <w:rFonts w:eastAsia="Verdana" w:cs="Verdana"/>
          <w:szCs w:val="18"/>
        </w:rPr>
        <w:t>In hoeverre acht u het uitvoerbaar en rechtvaardig om naar aanleiding van de motie Postma/</w:t>
      </w:r>
      <w:proofErr w:type="spellStart"/>
      <w:r w:rsidRPr="0090474D">
        <w:rPr>
          <w:rFonts w:eastAsia="Verdana" w:cs="Verdana"/>
          <w:szCs w:val="18"/>
        </w:rPr>
        <w:t>Rooderkerk</w:t>
      </w:r>
      <w:proofErr w:type="spellEnd"/>
      <w:r w:rsidRPr="0090474D">
        <w:rPr>
          <w:rFonts w:eastAsia="Verdana" w:cs="Verdana"/>
          <w:szCs w:val="18"/>
        </w:rPr>
        <w:t xml:space="preserve"> (Kamerstuk 29826, nr. 240) alleen cluster 6 bedrijven met plannen voor elektrificatie vrij te stellen van de </w:t>
      </w:r>
      <w:r w:rsidRPr="00EA4DEC">
        <w:rPr>
          <w:rFonts w:eastAsia="Verdana" w:cs="Verdana"/>
          <w:szCs w:val="18"/>
        </w:rPr>
        <w:t>CO</w:t>
      </w:r>
      <w:r w:rsidRPr="0060331F">
        <w:rPr>
          <w:rFonts w:eastAsia="Verdana" w:cs="Verdana"/>
          <w:szCs w:val="18"/>
          <w:vertAlign w:val="subscript"/>
        </w:rPr>
        <w:t>2</w:t>
      </w:r>
      <w:r w:rsidRPr="0090474D">
        <w:rPr>
          <w:rFonts w:eastAsia="Verdana" w:cs="Verdana"/>
          <w:szCs w:val="18"/>
        </w:rPr>
        <w:t xml:space="preserve">-heffing of te compenseren en dit voor de andere industrieclusters niet te doen? Voor hoeveel cluster 6 bedrijven zou een dergelijke regeling een uitkomst kunnen zijn en op welke wijze moeten deze bedrijven aantonen dat zij in aanmerking komen voor vrijstelling of compensatie? </w:t>
      </w:r>
    </w:p>
    <w:p w:rsidR="00E95DF9" w:rsidP="00E95DF9" w:rsidRDefault="00E95DF9" w14:paraId="165FBBFE" w14:textId="77777777">
      <w:pPr>
        <w:rPr>
          <w:rFonts w:eastAsia="Verdana" w:cs="Verdana"/>
          <w:szCs w:val="18"/>
        </w:rPr>
      </w:pPr>
    </w:p>
    <w:p w:rsidR="00E95DF9" w:rsidP="00E95DF9" w:rsidRDefault="00E95DF9" w14:paraId="71BBC3E8" w14:textId="77777777">
      <w:pPr>
        <w:rPr>
          <w:rFonts w:eastAsia="Verdana" w:cs="Verdana"/>
          <w:szCs w:val="18"/>
        </w:rPr>
      </w:pPr>
      <w:r>
        <w:rPr>
          <w:rFonts w:eastAsia="Verdana" w:cs="Verdana"/>
          <w:szCs w:val="18"/>
        </w:rPr>
        <w:t>Antwoord</w:t>
      </w:r>
    </w:p>
    <w:p w:rsidRPr="002D00B8" w:rsidR="00E95DF9" w:rsidP="00E95DF9" w:rsidRDefault="00E95DF9" w14:paraId="4B5783CE" w14:textId="77777777">
      <w:pPr>
        <w:rPr>
          <w:rFonts w:eastAsia="Verdana" w:cs="Verdana"/>
        </w:rPr>
      </w:pPr>
      <w:r w:rsidRPr="1CC18A52">
        <w:rPr>
          <w:rFonts w:eastAsia="Verdana" w:cs="Verdana"/>
        </w:rPr>
        <w:t>In het debat van 20 maart waar deze motie is ingediend heeft het kabinet de motie ontraden. De reden hiervoor was tweeledig, zoals toegelicht tijdens het debat. Allereerst zijn er zorgen over de uitvoerbaarheid van de motie. Zo is het de vraag of het mogelijk is om onderscheid te maken tussen bedrijven die tijdig een netwerkaansluiting hebben aangevraagd en onverhoopt lang moeten wachten en bedrijven die te laat een aanvraag hebben ingediend. Daarnaast is de motie niet technologieneutraal, wat mogelijk onrechtvaardig is. De problematiek van ontbrekende energie-infrastructuur richt zich niet enkel op het elektriciteitsnet. Zo kan voor cluster 6-bedrijven met hoge temperatuurprocessen bijvoorbeeld ook waterstofinfrastructuur belangrijk zijn.</w:t>
      </w:r>
      <w:r>
        <w:rPr>
          <w:rFonts w:eastAsia="Verdana" w:cs="Verdana"/>
        </w:rPr>
        <w:t xml:space="preserve"> Deze situatie sluit aan bij de eerder aan de Kamer gecommuniceerde juridische </w:t>
      </w:r>
      <w:r>
        <w:rPr>
          <w:rFonts w:eastAsia="Verdana" w:cs="Verdana"/>
        </w:rPr>
        <w:lastRenderedPageBreak/>
        <w:t>en uitvoeringsbezwaren</w:t>
      </w:r>
      <w:r>
        <w:rPr>
          <w:rStyle w:val="Voetnootmarkering"/>
          <w:rFonts w:eastAsia="Verdana" w:cs="Verdana"/>
        </w:rPr>
        <w:footnoteReference w:id="7"/>
      </w:r>
      <w:r>
        <w:rPr>
          <w:rFonts w:eastAsia="Verdana" w:cs="Verdana"/>
        </w:rPr>
        <w:t xml:space="preserve"> die het kabinet ziet bij een algehele hardheidsclausule voor vermijdbare uitstoot, waar om werd verzocht in de motie Erkens</w:t>
      </w:r>
      <w:r>
        <w:rPr>
          <w:rStyle w:val="Voetnootmarkering"/>
          <w:rFonts w:eastAsia="Verdana" w:cs="Verdana"/>
        </w:rPr>
        <w:footnoteReference w:id="8"/>
      </w:r>
      <w:r>
        <w:rPr>
          <w:rFonts w:eastAsia="Verdana" w:cs="Verdana"/>
        </w:rPr>
        <w:t xml:space="preserve">. </w:t>
      </w:r>
    </w:p>
    <w:p w:rsidR="00E95DF9" w:rsidP="00E95DF9" w:rsidRDefault="00E95DF9" w14:paraId="77685EA8" w14:textId="77777777">
      <w:pPr>
        <w:rPr>
          <w:rFonts w:eastAsia="Verdana" w:cs="Verdana"/>
          <w:szCs w:val="18"/>
        </w:rPr>
      </w:pPr>
    </w:p>
    <w:p w:rsidR="00E95DF9" w:rsidP="00E95DF9" w:rsidRDefault="00E95DF9" w14:paraId="7A0457A7" w14:textId="77777777">
      <w:pPr>
        <w:rPr>
          <w:rFonts w:eastAsia="Verdana" w:cs="Verdana"/>
          <w:szCs w:val="18"/>
        </w:rPr>
      </w:pPr>
      <w:r>
        <w:rPr>
          <w:rFonts w:eastAsia="Verdana" w:cs="Verdana"/>
        </w:rPr>
        <w:t>Wel heeft</w:t>
      </w:r>
      <w:r>
        <w:rPr>
          <w:rFonts w:eastAsia="Verdana" w:cs="Verdana"/>
          <w:szCs w:val="18"/>
        </w:rPr>
        <w:t xml:space="preserve"> het kabinet met de recent aangekondigde wijzigingen in de CO2-heffing besloten om bedrijven, waaronder cluster 6 bedrijven, onder de CO2-heffing industrie meer tijd te bieden voor verduurzaming. O</w:t>
      </w:r>
      <w:r w:rsidRPr="00760A2D">
        <w:rPr>
          <w:rFonts w:eastAsia="Verdana" w:cs="Verdana"/>
          <w:szCs w:val="18"/>
        </w:rPr>
        <w:t xml:space="preserve">ok </w:t>
      </w:r>
      <w:r>
        <w:rPr>
          <w:rFonts w:eastAsia="Verdana" w:cs="Verdana"/>
          <w:szCs w:val="18"/>
        </w:rPr>
        <w:t xml:space="preserve">wordt </w:t>
      </w:r>
      <w:r w:rsidRPr="00760A2D">
        <w:rPr>
          <w:rFonts w:eastAsia="Verdana" w:cs="Verdana"/>
          <w:szCs w:val="18"/>
        </w:rPr>
        <w:t>de flexibiliteit onder de CO2-heffing industrie vergroot door het</w:t>
      </w:r>
      <w:r>
        <w:rPr>
          <w:rFonts w:eastAsia="Verdana" w:cs="Verdana"/>
          <w:szCs w:val="18"/>
        </w:rPr>
        <w:t xml:space="preserve"> aanpassen van het </w:t>
      </w:r>
      <w:proofErr w:type="spellStart"/>
      <w:r>
        <w:rPr>
          <w:rFonts w:eastAsia="Verdana" w:cs="Verdana"/>
          <w:szCs w:val="18"/>
        </w:rPr>
        <w:t>carry</w:t>
      </w:r>
      <w:proofErr w:type="spellEnd"/>
      <w:r>
        <w:rPr>
          <w:rFonts w:eastAsia="Verdana" w:cs="Verdana"/>
          <w:szCs w:val="18"/>
        </w:rPr>
        <w:t xml:space="preserve">-back mechanisme en het opzetten van een handelsplatform.  </w:t>
      </w:r>
    </w:p>
    <w:p w:rsidR="00E95DF9" w:rsidP="00E95DF9" w:rsidRDefault="00E95DF9" w14:paraId="13A38EFE" w14:textId="77777777">
      <w:pPr>
        <w:rPr>
          <w:rFonts w:eastAsia="Verdana" w:cs="Verdana"/>
          <w:szCs w:val="18"/>
        </w:rPr>
      </w:pPr>
      <w:r>
        <w:rPr>
          <w:rFonts w:eastAsia="Verdana" w:cs="Verdana"/>
          <w:szCs w:val="18"/>
        </w:rPr>
        <w:t>9</w:t>
      </w:r>
    </w:p>
    <w:p w:rsidR="00E95DF9" w:rsidP="00E95DF9" w:rsidRDefault="00E95DF9" w14:paraId="04B15A5A" w14:textId="77777777">
      <w:pPr>
        <w:rPr>
          <w:rFonts w:eastAsia="Verdana" w:cs="Verdana"/>
          <w:szCs w:val="18"/>
        </w:rPr>
      </w:pPr>
      <w:r w:rsidRPr="01AEA7AA">
        <w:rPr>
          <w:rFonts w:eastAsia="Verdana" w:cs="Verdana"/>
          <w:szCs w:val="18"/>
        </w:rPr>
        <w:t xml:space="preserve">In hoeverre zal een vrijstelling voor cluster 6 bedrijven leiden tot onwenselijke gevolgen zoals onduidelijkheid en juridische procedures die ook als risico werden genoemd in de discussie over een hardheidsclausule? </w:t>
      </w:r>
    </w:p>
    <w:p w:rsidR="00E95DF9" w:rsidP="00E95DF9" w:rsidRDefault="00E95DF9" w14:paraId="22E3EB64" w14:textId="77777777">
      <w:pPr>
        <w:rPr>
          <w:rFonts w:eastAsia="Verdana" w:cs="Verdana"/>
          <w:szCs w:val="18"/>
        </w:rPr>
      </w:pPr>
    </w:p>
    <w:p w:rsidR="00E95DF9" w:rsidP="00E95DF9" w:rsidRDefault="00E95DF9" w14:paraId="1CCA13C0" w14:textId="77777777">
      <w:pPr>
        <w:rPr>
          <w:rFonts w:eastAsia="Verdana" w:cs="Verdana"/>
          <w:szCs w:val="18"/>
        </w:rPr>
      </w:pPr>
    </w:p>
    <w:p w:rsidR="00E95DF9" w:rsidP="00E95DF9" w:rsidRDefault="00E95DF9" w14:paraId="0F647DFA" w14:textId="77777777">
      <w:pPr>
        <w:rPr>
          <w:rFonts w:eastAsia="Verdana" w:cs="Verdana"/>
          <w:szCs w:val="18"/>
        </w:rPr>
      </w:pPr>
      <w:r>
        <w:rPr>
          <w:rFonts w:eastAsia="Verdana" w:cs="Verdana"/>
          <w:szCs w:val="18"/>
        </w:rPr>
        <w:t>Antwoord</w:t>
      </w:r>
    </w:p>
    <w:p w:rsidR="00E95DF9" w:rsidP="00E95DF9" w:rsidRDefault="00E95DF9" w14:paraId="1D418F67" w14:textId="77777777">
      <w:pPr>
        <w:rPr>
          <w:rFonts w:eastAsia="Verdana" w:cs="Verdana"/>
          <w:szCs w:val="18"/>
        </w:rPr>
      </w:pPr>
      <w:r>
        <w:rPr>
          <w:rFonts w:eastAsia="Verdana" w:cs="Verdana"/>
          <w:szCs w:val="18"/>
        </w:rPr>
        <w:t>Zie het antwoord op vraag 8.</w:t>
      </w:r>
    </w:p>
    <w:p w:rsidR="00E95DF9" w:rsidP="00E95DF9" w:rsidRDefault="00E95DF9" w14:paraId="77272301" w14:textId="77777777">
      <w:pPr>
        <w:rPr>
          <w:rFonts w:eastAsia="Verdana" w:cs="Verdana"/>
          <w:szCs w:val="18"/>
        </w:rPr>
      </w:pPr>
    </w:p>
    <w:p w:rsidR="00E95DF9" w:rsidP="00E95DF9" w:rsidRDefault="00E95DF9" w14:paraId="3376CD3B" w14:textId="77777777">
      <w:pPr>
        <w:rPr>
          <w:rFonts w:eastAsia="Verdana" w:cs="Verdana"/>
          <w:szCs w:val="18"/>
        </w:rPr>
      </w:pPr>
      <w:r>
        <w:rPr>
          <w:rFonts w:eastAsia="Verdana" w:cs="Verdana"/>
          <w:szCs w:val="18"/>
        </w:rPr>
        <w:t>10</w:t>
      </w:r>
    </w:p>
    <w:p w:rsidR="00E95DF9" w:rsidP="00E95DF9" w:rsidRDefault="00E95DF9" w14:paraId="6FAC319D" w14:textId="77777777">
      <w:pPr>
        <w:rPr>
          <w:rFonts w:eastAsia="Verdana" w:cs="Verdana"/>
          <w:szCs w:val="18"/>
        </w:rPr>
      </w:pPr>
      <w:r w:rsidRPr="5AF0831B">
        <w:rPr>
          <w:rFonts w:eastAsia="Verdana" w:cs="Verdana"/>
          <w:szCs w:val="18"/>
        </w:rPr>
        <w:t xml:space="preserve">Indien er toch vrijstelling wordt verleend aan cluster 6 bedrijven, klopt het dat dit (net zoals bij het schrappen van de gehele </w:t>
      </w:r>
      <w:r w:rsidRPr="00EA4DEC">
        <w:rPr>
          <w:rFonts w:eastAsia="Verdana" w:cs="Verdana"/>
          <w:szCs w:val="18"/>
        </w:rPr>
        <w:t>CO</w:t>
      </w:r>
      <w:r w:rsidRPr="0060331F">
        <w:rPr>
          <w:rFonts w:eastAsia="Verdana" w:cs="Verdana"/>
          <w:szCs w:val="18"/>
          <w:vertAlign w:val="subscript"/>
        </w:rPr>
        <w:t>2</w:t>
      </w:r>
      <w:r w:rsidRPr="5AF0831B">
        <w:rPr>
          <w:rFonts w:eastAsia="Verdana" w:cs="Verdana"/>
          <w:szCs w:val="18"/>
        </w:rPr>
        <w:t xml:space="preserve">-heffing) effect heeft op het doelbereik van de </w:t>
      </w:r>
      <w:r w:rsidRPr="00EA4DEC">
        <w:rPr>
          <w:rFonts w:eastAsia="Verdana" w:cs="Verdana"/>
          <w:szCs w:val="18"/>
        </w:rPr>
        <w:t>CO</w:t>
      </w:r>
      <w:r w:rsidRPr="0060331F">
        <w:rPr>
          <w:rFonts w:eastAsia="Verdana" w:cs="Verdana"/>
          <w:szCs w:val="18"/>
          <w:vertAlign w:val="subscript"/>
        </w:rPr>
        <w:t>2</w:t>
      </w:r>
      <w:r w:rsidRPr="5AF0831B">
        <w:rPr>
          <w:rFonts w:eastAsia="Verdana" w:cs="Verdana"/>
          <w:szCs w:val="18"/>
        </w:rPr>
        <w:t xml:space="preserve">-heffing? Hoeveel megaton </w:t>
      </w:r>
      <w:r w:rsidRPr="00EA4DEC">
        <w:rPr>
          <w:rFonts w:eastAsia="Verdana" w:cs="Verdana"/>
          <w:szCs w:val="18"/>
        </w:rPr>
        <w:t>CO</w:t>
      </w:r>
      <w:r w:rsidRPr="0060331F">
        <w:rPr>
          <w:rFonts w:eastAsia="Verdana" w:cs="Verdana"/>
          <w:szCs w:val="18"/>
          <w:vertAlign w:val="subscript"/>
        </w:rPr>
        <w:t>2</w:t>
      </w:r>
      <w:r w:rsidRPr="5AF0831B">
        <w:rPr>
          <w:rFonts w:eastAsia="Verdana" w:cs="Verdana"/>
          <w:szCs w:val="18"/>
        </w:rPr>
        <w:t>-reductie zal hiermee niet ingevuld worden?</w:t>
      </w:r>
    </w:p>
    <w:p w:rsidR="00E95DF9" w:rsidP="00E95DF9" w:rsidRDefault="00E95DF9" w14:paraId="3BF8446E" w14:textId="77777777">
      <w:pPr>
        <w:rPr>
          <w:rFonts w:eastAsia="Verdana" w:cs="Verdana"/>
          <w:szCs w:val="18"/>
        </w:rPr>
      </w:pPr>
    </w:p>
    <w:p w:rsidR="00E95DF9" w:rsidP="00E95DF9" w:rsidRDefault="00E95DF9" w14:paraId="3E65F51F" w14:textId="77777777">
      <w:pPr>
        <w:rPr>
          <w:rFonts w:eastAsia="Verdana" w:cs="Verdana"/>
        </w:rPr>
      </w:pPr>
      <w:r w:rsidRPr="702FFBDD">
        <w:rPr>
          <w:rFonts w:eastAsia="Verdana" w:cs="Verdana"/>
        </w:rPr>
        <w:t>Antwoord</w:t>
      </w:r>
    </w:p>
    <w:p w:rsidR="00E95DF9" w:rsidP="00E95DF9" w:rsidRDefault="00E95DF9" w14:paraId="687972D6" w14:textId="77777777">
      <w:pPr>
        <w:rPr>
          <w:rFonts w:eastAsia="Verdana" w:cs="Verdana"/>
          <w:szCs w:val="18"/>
        </w:rPr>
      </w:pPr>
      <w:r>
        <w:rPr>
          <w:rFonts w:eastAsia="Verdana" w:cs="Verdana"/>
        </w:rPr>
        <w:t xml:space="preserve">Het klopt dat het verlenen van een vrijstelling  aan een deel van de bedrijven die onder de </w:t>
      </w:r>
      <w:r w:rsidRPr="00EA4DEC">
        <w:rPr>
          <w:rFonts w:eastAsia="Verdana" w:cs="Verdana"/>
          <w:szCs w:val="18"/>
        </w:rPr>
        <w:t>CO</w:t>
      </w:r>
      <w:r w:rsidRPr="0060331F">
        <w:rPr>
          <w:rFonts w:eastAsia="Verdana" w:cs="Verdana"/>
          <w:szCs w:val="18"/>
          <w:vertAlign w:val="subscript"/>
        </w:rPr>
        <w:t>2</w:t>
      </w:r>
      <w:r>
        <w:rPr>
          <w:rFonts w:eastAsia="Verdana" w:cs="Verdana"/>
        </w:rPr>
        <w:t xml:space="preserve">-heffing vallen effect heeft op het doelbereik van de </w:t>
      </w:r>
      <w:r w:rsidRPr="00EA4DEC">
        <w:rPr>
          <w:rFonts w:eastAsia="Verdana" w:cs="Verdana"/>
          <w:szCs w:val="18"/>
        </w:rPr>
        <w:t>CO</w:t>
      </w:r>
      <w:r w:rsidRPr="0060331F">
        <w:rPr>
          <w:rFonts w:eastAsia="Verdana" w:cs="Verdana"/>
          <w:szCs w:val="18"/>
          <w:vertAlign w:val="subscript"/>
        </w:rPr>
        <w:t>2</w:t>
      </w:r>
      <w:r>
        <w:rPr>
          <w:rFonts w:eastAsia="Verdana" w:cs="Verdana"/>
        </w:rPr>
        <w:t xml:space="preserve">-heffing. </w:t>
      </w:r>
      <w:r w:rsidRPr="1CC18A52">
        <w:rPr>
          <w:rFonts w:eastAsia="Verdana" w:cs="Verdana"/>
        </w:rPr>
        <w:t xml:space="preserve">De </w:t>
      </w:r>
      <w:r w:rsidRPr="00EA4DEC">
        <w:rPr>
          <w:rFonts w:eastAsia="Verdana" w:cs="Verdana"/>
          <w:szCs w:val="18"/>
        </w:rPr>
        <w:t>CO</w:t>
      </w:r>
      <w:r w:rsidRPr="0060331F">
        <w:rPr>
          <w:rFonts w:eastAsia="Verdana" w:cs="Verdana"/>
          <w:szCs w:val="18"/>
          <w:vertAlign w:val="subscript"/>
        </w:rPr>
        <w:t>2</w:t>
      </w:r>
      <w:r w:rsidRPr="1CC18A52">
        <w:rPr>
          <w:rFonts w:eastAsia="Verdana" w:cs="Verdana"/>
        </w:rPr>
        <w:t xml:space="preserve">-heffing maakt onderdeel uit van een bredere beleidsmix gericht op het verduurzamen van de industrie. </w:t>
      </w:r>
      <w:r>
        <w:rPr>
          <w:rFonts w:eastAsia="Verdana" w:cs="Verdana"/>
        </w:rPr>
        <w:t xml:space="preserve">Deze bredere beleidsmix </w:t>
      </w:r>
      <w:r>
        <w:rPr>
          <w:rFonts w:eastAsia="Verdana" w:cs="Verdana"/>
          <w:szCs w:val="18"/>
        </w:rPr>
        <w:t xml:space="preserve">leidt volgens de Klimaat- en Energieverkenning tot 2030-emissies van 32,1 (-14,5) tot 42,3 (-4,3) </w:t>
      </w:r>
      <w:proofErr w:type="spellStart"/>
      <w:r>
        <w:rPr>
          <w:rFonts w:eastAsia="Verdana" w:cs="Verdana"/>
          <w:szCs w:val="18"/>
        </w:rPr>
        <w:t>Mton</w:t>
      </w:r>
      <w:proofErr w:type="spellEnd"/>
      <w:r>
        <w:rPr>
          <w:rFonts w:eastAsia="Verdana" w:cs="Verdana"/>
          <w:szCs w:val="18"/>
        </w:rPr>
        <w:t xml:space="preserve"> in 2030, ten opzichte van 2023-emissies van 46,6 </w:t>
      </w:r>
      <w:proofErr w:type="spellStart"/>
      <w:r>
        <w:rPr>
          <w:rFonts w:eastAsia="Verdana" w:cs="Verdana"/>
          <w:szCs w:val="18"/>
        </w:rPr>
        <w:t>Mton</w:t>
      </w:r>
      <w:proofErr w:type="spellEnd"/>
      <w:r>
        <w:rPr>
          <w:rFonts w:eastAsia="Verdana" w:cs="Verdana"/>
          <w:szCs w:val="18"/>
        </w:rPr>
        <w:t xml:space="preserve">. Zoals eerder aangegeven hanteert de </w:t>
      </w:r>
      <w:r w:rsidRPr="00EA4DEC">
        <w:rPr>
          <w:rFonts w:eastAsia="Verdana" w:cs="Verdana"/>
          <w:szCs w:val="18"/>
        </w:rPr>
        <w:t>CO</w:t>
      </w:r>
      <w:r w:rsidRPr="0060331F">
        <w:rPr>
          <w:rFonts w:eastAsia="Verdana" w:cs="Verdana"/>
          <w:szCs w:val="18"/>
          <w:vertAlign w:val="subscript"/>
        </w:rPr>
        <w:t>2</w:t>
      </w:r>
      <w:r>
        <w:rPr>
          <w:rFonts w:eastAsia="Verdana" w:cs="Verdana"/>
          <w:szCs w:val="18"/>
        </w:rPr>
        <w:t xml:space="preserve">-heffing daarbij een heffingsdoel van 26,9 </w:t>
      </w:r>
      <w:proofErr w:type="spellStart"/>
      <w:r>
        <w:rPr>
          <w:rFonts w:eastAsia="Verdana" w:cs="Verdana"/>
          <w:szCs w:val="18"/>
        </w:rPr>
        <w:t>Mton</w:t>
      </w:r>
      <w:proofErr w:type="spellEnd"/>
      <w:r>
        <w:rPr>
          <w:rFonts w:eastAsia="Verdana" w:cs="Verdana"/>
          <w:szCs w:val="18"/>
        </w:rPr>
        <w:t>.</w:t>
      </w:r>
      <w:r w:rsidRPr="1CC18A52">
        <w:rPr>
          <w:rFonts w:eastAsia="Verdana" w:cs="Verdana"/>
        </w:rPr>
        <w:t xml:space="preserve"> De </w:t>
      </w:r>
      <w:r w:rsidRPr="00EA4DEC">
        <w:rPr>
          <w:rFonts w:eastAsia="Verdana" w:cs="Verdana"/>
          <w:szCs w:val="18"/>
        </w:rPr>
        <w:t>CO</w:t>
      </w:r>
      <w:r w:rsidRPr="0060331F">
        <w:rPr>
          <w:rFonts w:eastAsia="Verdana" w:cs="Verdana"/>
          <w:szCs w:val="18"/>
          <w:vertAlign w:val="subscript"/>
        </w:rPr>
        <w:t>2</w:t>
      </w:r>
      <w:r w:rsidRPr="1CC18A52">
        <w:rPr>
          <w:rFonts w:eastAsia="Verdana" w:cs="Verdana"/>
        </w:rPr>
        <w:t xml:space="preserve">-heffing is een marginale heffing, bedoeld als stok om emissiereductie over het teveel aan uitstoot te borgen, en subsidies zoals SDE++ als wortel om bedrijven in staat te stellen de verduurzamingsslag te maken. De heffing versterkt de effectiviteit van de subsidies. Dit interactie-effect is niet </w:t>
      </w:r>
      <w:r w:rsidRPr="1CC18A52">
        <w:rPr>
          <w:rFonts w:eastAsia="Verdana" w:cs="Verdana"/>
        </w:rPr>
        <w:lastRenderedPageBreak/>
        <w:t xml:space="preserve">kwantificeerbaar waardoor een kwantitatieve inschatting van de impact van enkel de </w:t>
      </w:r>
      <w:r w:rsidRPr="00EA4DEC">
        <w:rPr>
          <w:rFonts w:eastAsia="Verdana" w:cs="Verdana"/>
          <w:szCs w:val="18"/>
        </w:rPr>
        <w:t>CO</w:t>
      </w:r>
      <w:r w:rsidRPr="0060331F">
        <w:rPr>
          <w:rFonts w:eastAsia="Verdana" w:cs="Verdana"/>
          <w:szCs w:val="18"/>
          <w:vertAlign w:val="subscript"/>
        </w:rPr>
        <w:t>2</w:t>
      </w:r>
      <w:r w:rsidRPr="1CC18A52">
        <w:rPr>
          <w:rFonts w:eastAsia="Verdana" w:cs="Verdana"/>
        </w:rPr>
        <w:t xml:space="preserve">-heffing naar verwachting een onderschatting is van de daadwerkelijke bijdrage aan </w:t>
      </w:r>
      <w:r w:rsidRPr="00EA4DEC">
        <w:rPr>
          <w:rFonts w:eastAsia="Verdana" w:cs="Verdana"/>
          <w:szCs w:val="18"/>
        </w:rPr>
        <w:t>CO</w:t>
      </w:r>
      <w:r w:rsidRPr="0060331F">
        <w:rPr>
          <w:rFonts w:eastAsia="Verdana" w:cs="Verdana"/>
          <w:szCs w:val="18"/>
          <w:vertAlign w:val="subscript"/>
        </w:rPr>
        <w:t>2</w:t>
      </w:r>
      <w:r w:rsidRPr="1CC18A52">
        <w:rPr>
          <w:rFonts w:eastAsia="Verdana" w:cs="Verdana"/>
        </w:rPr>
        <w:t>-reductie.</w:t>
      </w:r>
      <w:r w:rsidRPr="00377A0A">
        <w:rPr>
          <w:rFonts w:eastAsia="Verdana" w:cs="Verdana"/>
          <w:szCs w:val="18"/>
        </w:rPr>
        <w:t xml:space="preserve"> </w:t>
      </w:r>
      <w:r>
        <w:rPr>
          <w:rFonts w:eastAsia="Verdana" w:cs="Verdana"/>
          <w:szCs w:val="18"/>
        </w:rPr>
        <w:t xml:space="preserve">Indicatief wordt ambtelijk ingeschat dat, zonder rekening te houden met deze interactie-effecten, </w:t>
      </w:r>
      <w:r w:rsidRPr="002235BC">
        <w:rPr>
          <w:rFonts w:eastAsia="Verdana" w:cs="Verdana"/>
          <w:szCs w:val="18"/>
        </w:rPr>
        <w:t xml:space="preserve">het effect van </w:t>
      </w:r>
      <w:r>
        <w:rPr>
          <w:rFonts w:eastAsia="Verdana" w:cs="Verdana"/>
          <w:szCs w:val="18"/>
        </w:rPr>
        <w:t>een vrijstelling</w:t>
      </w:r>
      <w:r w:rsidRPr="002235BC">
        <w:rPr>
          <w:rFonts w:eastAsia="Verdana" w:cs="Verdana"/>
          <w:szCs w:val="18"/>
        </w:rPr>
        <w:t xml:space="preserve"> van cluster 6</w:t>
      </w:r>
      <w:r>
        <w:rPr>
          <w:rFonts w:eastAsia="Verdana" w:cs="Verdana"/>
          <w:szCs w:val="18"/>
        </w:rPr>
        <w:t xml:space="preserve"> van de </w:t>
      </w:r>
      <w:r w:rsidRPr="00EA4DEC">
        <w:rPr>
          <w:rFonts w:eastAsia="Verdana" w:cs="Verdana"/>
          <w:szCs w:val="18"/>
        </w:rPr>
        <w:t>CO</w:t>
      </w:r>
      <w:r w:rsidRPr="0060331F">
        <w:rPr>
          <w:rFonts w:eastAsia="Verdana" w:cs="Verdana"/>
          <w:szCs w:val="18"/>
          <w:vertAlign w:val="subscript"/>
        </w:rPr>
        <w:t>2</w:t>
      </w:r>
      <w:r>
        <w:rPr>
          <w:rFonts w:eastAsia="Verdana" w:cs="Verdana"/>
          <w:szCs w:val="18"/>
        </w:rPr>
        <w:t>-heffing</w:t>
      </w:r>
      <w:r w:rsidRPr="002235BC">
        <w:rPr>
          <w:rFonts w:eastAsia="Verdana" w:cs="Verdana"/>
          <w:szCs w:val="18"/>
        </w:rPr>
        <w:t xml:space="preserve"> </w:t>
      </w:r>
      <w:r>
        <w:rPr>
          <w:rFonts w:eastAsia="Verdana" w:cs="Verdana"/>
          <w:szCs w:val="18"/>
        </w:rPr>
        <w:t xml:space="preserve">onder de 0,1 </w:t>
      </w:r>
      <w:proofErr w:type="spellStart"/>
      <w:r>
        <w:rPr>
          <w:rFonts w:eastAsia="Verdana" w:cs="Verdana"/>
          <w:szCs w:val="18"/>
        </w:rPr>
        <w:t>Mton</w:t>
      </w:r>
      <w:proofErr w:type="spellEnd"/>
      <w:r>
        <w:rPr>
          <w:rFonts w:eastAsia="Verdana" w:cs="Verdana"/>
          <w:szCs w:val="18"/>
        </w:rPr>
        <w:t xml:space="preserve"> ligt</w:t>
      </w:r>
      <w:r w:rsidRPr="002235BC">
        <w:rPr>
          <w:rFonts w:eastAsia="Verdana" w:cs="Verdana"/>
          <w:szCs w:val="18"/>
        </w:rPr>
        <w:t>.</w:t>
      </w:r>
      <w:r>
        <w:rPr>
          <w:rFonts w:eastAsia="Verdana" w:cs="Verdana"/>
          <w:szCs w:val="18"/>
        </w:rPr>
        <w:t xml:space="preserve"> Dit is uitgaande van het aandeel in de emissies </w:t>
      </w:r>
      <w:r w:rsidRPr="002235BC">
        <w:rPr>
          <w:rFonts w:eastAsia="Verdana" w:cs="Verdana"/>
          <w:szCs w:val="18"/>
        </w:rPr>
        <w:t xml:space="preserve">van cluster 6 </w:t>
      </w:r>
      <w:r>
        <w:rPr>
          <w:rFonts w:eastAsia="Verdana" w:cs="Verdana"/>
          <w:szCs w:val="18"/>
        </w:rPr>
        <w:t xml:space="preserve">van </w:t>
      </w:r>
      <w:r w:rsidRPr="002235BC">
        <w:rPr>
          <w:rFonts w:eastAsia="Verdana" w:cs="Verdana"/>
          <w:szCs w:val="18"/>
        </w:rPr>
        <w:t>ongeveer 7%</w:t>
      </w:r>
      <w:r>
        <w:rPr>
          <w:rFonts w:eastAsia="Verdana" w:cs="Verdana"/>
          <w:szCs w:val="18"/>
        </w:rPr>
        <w:t>.</w:t>
      </w:r>
    </w:p>
    <w:p w:rsidR="00E95DF9" w:rsidP="00E95DF9" w:rsidRDefault="00E95DF9" w14:paraId="16376E03" w14:textId="77777777">
      <w:pPr>
        <w:rPr>
          <w:rFonts w:eastAsia="Verdana" w:cs="Verdana"/>
          <w:szCs w:val="18"/>
        </w:rPr>
      </w:pPr>
    </w:p>
    <w:p w:rsidR="00E95DF9" w:rsidP="00E95DF9" w:rsidRDefault="00E95DF9" w14:paraId="67841CA3" w14:textId="77777777">
      <w:pPr>
        <w:rPr>
          <w:rFonts w:eastAsia="Verdana" w:cs="Verdana"/>
        </w:rPr>
      </w:pPr>
      <w:r>
        <w:rPr>
          <w:rFonts w:eastAsia="Verdana" w:cs="Verdana"/>
        </w:rPr>
        <w:t xml:space="preserve">Het kabinet heeft niet besloten tot het specifiek vrijstellen van cluster 6 bedrijven, maar om generiek bedrijven binnen de CO2-heffing industrie meer tijd, flexibiliteit en mogelijkheden te bieden voor verduurzaming. </w:t>
      </w:r>
      <w:r w:rsidRPr="123E0853">
        <w:rPr>
          <w:rFonts w:eastAsia="Verdana" w:cs="Verdana"/>
        </w:rPr>
        <w:t xml:space="preserve">Hierbij is het goed om op te merken dat het vanwege staatssteun </w:t>
      </w:r>
      <w:r>
        <w:rPr>
          <w:rFonts w:eastAsia="Verdana" w:cs="Verdana"/>
        </w:rPr>
        <w:t xml:space="preserve">ook </w:t>
      </w:r>
      <w:r w:rsidRPr="123E0853">
        <w:rPr>
          <w:rFonts w:eastAsia="Verdana" w:cs="Verdana"/>
        </w:rPr>
        <w:t>niet mogelijk is om enkel cluster 6 bedrijven te ontzien van de heffing.</w:t>
      </w:r>
    </w:p>
    <w:p w:rsidR="00E95DF9" w:rsidP="00E95DF9" w:rsidRDefault="00E95DF9" w14:paraId="524B9838" w14:textId="77777777">
      <w:pPr>
        <w:rPr>
          <w:rFonts w:eastAsia="Verdana" w:cs="Verdana"/>
        </w:rPr>
      </w:pPr>
    </w:p>
    <w:p w:rsidR="00E95DF9" w:rsidP="00E95DF9" w:rsidRDefault="00E95DF9" w14:paraId="391B719D" w14:textId="77777777">
      <w:pPr>
        <w:rPr>
          <w:rFonts w:eastAsia="Verdana" w:cs="Verdana"/>
          <w:szCs w:val="18"/>
        </w:rPr>
      </w:pPr>
      <w:r>
        <w:rPr>
          <w:rFonts w:eastAsia="Verdana" w:cs="Verdana"/>
          <w:szCs w:val="18"/>
        </w:rPr>
        <w:t>11</w:t>
      </w:r>
    </w:p>
    <w:p w:rsidR="00E95DF9" w:rsidP="00E95DF9" w:rsidRDefault="00E95DF9" w14:paraId="6CE262A2" w14:textId="77777777">
      <w:pPr>
        <w:rPr>
          <w:rFonts w:eastAsia="Verdana" w:cs="Verdana"/>
          <w:szCs w:val="18"/>
        </w:rPr>
      </w:pPr>
      <w:r w:rsidRPr="476567A0">
        <w:rPr>
          <w:rFonts w:eastAsia="Verdana" w:cs="Verdana"/>
          <w:szCs w:val="18"/>
        </w:rPr>
        <w:t xml:space="preserve">Klopt het dat het rekenmodel waarmee het PBL de </w:t>
      </w:r>
      <w:r w:rsidRPr="00EA4DEC">
        <w:rPr>
          <w:rFonts w:eastAsia="Verdana" w:cs="Verdana"/>
          <w:szCs w:val="18"/>
        </w:rPr>
        <w:t>CO</w:t>
      </w:r>
      <w:r w:rsidRPr="0060331F">
        <w:rPr>
          <w:rFonts w:eastAsia="Verdana" w:cs="Verdana"/>
          <w:szCs w:val="18"/>
          <w:vertAlign w:val="subscript"/>
        </w:rPr>
        <w:t>2</w:t>
      </w:r>
      <w:r w:rsidRPr="476567A0">
        <w:rPr>
          <w:rFonts w:eastAsia="Verdana" w:cs="Verdana"/>
          <w:szCs w:val="18"/>
        </w:rPr>
        <w:t xml:space="preserve">-uitstoot van de industrie berekent ook netwerkkosten, energiebelastingen, de IKC en de VCR meeneemt? Klopt het dat als een of meerdere van deze variabelen wijzigt, dit altijd tot een verandering van de </w:t>
      </w:r>
      <w:r w:rsidRPr="00EA4DEC">
        <w:rPr>
          <w:rFonts w:eastAsia="Verdana" w:cs="Verdana"/>
          <w:szCs w:val="18"/>
        </w:rPr>
        <w:t>CO</w:t>
      </w:r>
      <w:r w:rsidRPr="0060331F">
        <w:rPr>
          <w:rFonts w:eastAsia="Verdana" w:cs="Verdana"/>
          <w:szCs w:val="18"/>
          <w:vertAlign w:val="subscript"/>
        </w:rPr>
        <w:t>2</w:t>
      </w:r>
      <w:r w:rsidRPr="476567A0">
        <w:rPr>
          <w:rFonts w:eastAsia="Verdana" w:cs="Verdana"/>
          <w:szCs w:val="18"/>
        </w:rPr>
        <w:t xml:space="preserve">-uitstoot in 2030 leidt (dus niet alleen als de </w:t>
      </w:r>
      <w:r w:rsidRPr="00EA4DEC">
        <w:rPr>
          <w:rFonts w:eastAsia="Verdana" w:cs="Verdana"/>
          <w:szCs w:val="18"/>
        </w:rPr>
        <w:t>CO</w:t>
      </w:r>
      <w:r w:rsidRPr="0060331F">
        <w:rPr>
          <w:rFonts w:eastAsia="Verdana" w:cs="Verdana"/>
          <w:szCs w:val="18"/>
          <w:vertAlign w:val="subscript"/>
        </w:rPr>
        <w:t>2</w:t>
      </w:r>
      <w:r w:rsidRPr="476567A0">
        <w:rPr>
          <w:rFonts w:eastAsia="Verdana" w:cs="Verdana"/>
          <w:szCs w:val="18"/>
        </w:rPr>
        <w:t>-heffing aangepast wordt)?</w:t>
      </w:r>
    </w:p>
    <w:p w:rsidR="00E95DF9" w:rsidP="00E95DF9" w:rsidRDefault="00E95DF9" w14:paraId="43EECF72" w14:textId="77777777">
      <w:pPr>
        <w:rPr>
          <w:rFonts w:eastAsia="Verdana" w:cs="Verdana"/>
          <w:szCs w:val="18"/>
        </w:rPr>
      </w:pPr>
    </w:p>
    <w:p w:rsidR="00E95DF9" w:rsidP="00E95DF9" w:rsidRDefault="00E95DF9" w14:paraId="3B992626" w14:textId="77777777">
      <w:pPr>
        <w:rPr>
          <w:rFonts w:eastAsia="Verdana" w:cs="Verdana"/>
          <w:szCs w:val="18"/>
        </w:rPr>
      </w:pPr>
      <w:r>
        <w:rPr>
          <w:rFonts w:eastAsia="Verdana" w:cs="Verdana"/>
          <w:szCs w:val="18"/>
        </w:rPr>
        <w:t>Antwoord</w:t>
      </w:r>
    </w:p>
    <w:p w:rsidRPr="000C5E1B" w:rsidR="00E95DF9" w:rsidP="00E95DF9" w:rsidRDefault="00E95DF9" w14:paraId="7D59628F" w14:textId="77777777">
      <w:pPr>
        <w:rPr>
          <w:rFonts w:eastAsia="Verdana" w:cs="Verdana"/>
          <w:szCs w:val="18"/>
        </w:rPr>
      </w:pPr>
      <w:r w:rsidRPr="5AF0831B">
        <w:rPr>
          <w:rFonts w:eastAsia="Verdana" w:cs="Verdana"/>
          <w:szCs w:val="18"/>
        </w:rPr>
        <w:t xml:space="preserve">Ja, het rekenmodel waarmee het PBL de </w:t>
      </w:r>
      <w:r w:rsidRPr="00EA4DEC">
        <w:rPr>
          <w:rFonts w:eastAsia="Verdana" w:cs="Verdana"/>
          <w:szCs w:val="18"/>
        </w:rPr>
        <w:t>CO</w:t>
      </w:r>
      <w:r w:rsidRPr="0060331F">
        <w:rPr>
          <w:rFonts w:eastAsia="Verdana" w:cs="Verdana"/>
          <w:szCs w:val="18"/>
          <w:vertAlign w:val="subscript"/>
        </w:rPr>
        <w:t>2</w:t>
      </w:r>
      <w:r w:rsidRPr="5AF0831B">
        <w:rPr>
          <w:rFonts w:eastAsia="Verdana" w:cs="Verdana"/>
          <w:szCs w:val="18"/>
        </w:rPr>
        <w:t>-uitstoot van de industrie berekent, houdt ook rekening met een grote verscheidenheid aan beleidsmaatregelen en exogene factoren. Hieronder vallen onder andere de energiebelastingen</w:t>
      </w:r>
      <w:r>
        <w:rPr>
          <w:rFonts w:eastAsia="Verdana" w:cs="Verdana"/>
          <w:szCs w:val="18"/>
        </w:rPr>
        <w:t>, het subsidie-instrumentarium</w:t>
      </w:r>
      <w:r w:rsidRPr="5AF0831B">
        <w:rPr>
          <w:rFonts w:eastAsia="Verdana" w:cs="Verdana"/>
          <w:szCs w:val="18"/>
        </w:rPr>
        <w:t xml:space="preserve"> en de IKC en ook de factoren die de energiekosten beïnvloeden. Het model berekent of en wanneer een verduurzamingsproject financieel logisch is om uit te voeren </w:t>
      </w:r>
      <w:r>
        <w:rPr>
          <w:rFonts w:eastAsia="Verdana" w:cs="Verdana"/>
          <w:szCs w:val="18"/>
        </w:rPr>
        <w:t xml:space="preserve">(vergelijkt de kosten van een bedrijf als zij wel of niet een verduurzamingsproject uitvoert) </w:t>
      </w:r>
      <w:r w:rsidRPr="5AF0831B">
        <w:rPr>
          <w:rFonts w:eastAsia="Verdana" w:cs="Verdana"/>
          <w:szCs w:val="18"/>
        </w:rPr>
        <w:t xml:space="preserve">voor de grotere installaties, waarbij onder andere </w:t>
      </w:r>
      <w:r w:rsidRPr="00EA4DEC">
        <w:rPr>
          <w:rFonts w:eastAsia="Verdana" w:cs="Verdana"/>
          <w:szCs w:val="18"/>
        </w:rPr>
        <w:t>CO</w:t>
      </w:r>
      <w:r w:rsidRPr="0060331F">
        <w:rPr>
          <w:rFonts w:eastAsia="Verdana" w:cs="Verdana"/>
          <w:szCs w:val="18"/>
          <w:vertAlign w:val="subscript"/>
        </w:rPr>
        <w:t>2</w:t>
      </w:r>
      <w:r w:rsidRPr="5AF0831B">
        <w:rPr>
          <w:rFonts w:eastAsia="Verdana" w:cs="Verdana"/>
          <w:szCs w:val="18"/>
        </w:rPr>
        <w:t>- en energiekosten, maar ook normen en subsidies, zoals de SDE++, worden meegewogen. In de meest recente KEV is door onder andere gestegen netwerkkosten ook rekening gehouden met een minder sterke ingroei van elektrificatie.</w:t>
      </w:r>
    </w:p>
    <w:p w:rsidRPr="000C5E1B" w:rsidR="00E95DF9" w:rsidP="00E95DF9" w:rsidRDefault="00E95DF9" w14:paraId="6926F139" w14:textId="77777777">
      <w:pPr>
        <w:ind w:left="360"/>
        <w:rPr>
          <w:rFonts w:eastAsia="Verdana" w:cs="Verdana"/>
          <w:szCs w:val="18"/>
        </w:rPr>
      </w:pPr>
      <w:r w:rsidRPr="5AF0831B">
        <w:rPr>
          <w:rFonts w:eastAsia="Verdana" w:cs="Verdana"/>
          <w:szCs w:val="18"/>
        </w:rPr>
        <w:t xml:space="preserve">    </w:t>
      </w:r>
    </w:p>
    <w:p w:rsidR="00E95DF9" w:rsidP="00E95DF9" w:rsidRDefault="00E95DF9" w14:paraId="1600F97E" w14:textId="77777777">
      <w:pPr>
        <w:rPr>
          <w:rFonts w:eastAsia="Verdana" w:cs="Verdana"/>
          <w:szCs w:val="18"/>
        </w:rPr>
      </w:pPr>
      <w:r w:rsidRPr="5AF0831B">
        <w:rPr>
          <w:rFonts w:eastAsia="Verdana" w:cs="Verdana"/>
          <w:szCs w:val="18"/>
        </w:rPr>
        <w:t xml:space="preserve">Nee, het is niet het geval dat het aanpassen van deze variabelen zonder uitzondering emissiereductie in 2030 realiseert. In de KEV wordt geen uiteenzetting gegeven van de effecten van verschillende maatregelen doordat er ook complexe interacties optreden in het model. Hierdoor kan niet met zekerheid emissiereductie worden toegeschreven aan de eerdergenoemde maatregelen en is het dus niet mogelijk te stellen dat een beleidsmaatregel </w:t>
      </w:r>
      <w:r w:rsidRPr="5AF0831B">
        <w:rPr>
          <w:rFonts w:eastAsia="Verdana" w:cs="Verdana"/>
          <w:i/>
          <w:iCs/>
          <w:szCs w:val="18"/>
        </w:rPr>
        <w:lastRenderedPageBreak/>
        <w:t>altijd</w:t>
      </w:r>
      <w:r w:rsidRPr="5AF0831B">
        <w:rPr>
          <w:rFonts w:eastAsia="Verdana" w:cs="Verdana"/>
          <w:szCs w:val="18"/>
        </w:rPr>
        <w:t xml:space="preserve"> een impact heeft op de emissies van de industrie in 2030. Daarnaast maakt ook het moment van wijziging uit, want het effect kan ook na 2030 optreden.</w:t>
      </w:r>
    </w:p>
    <w:p w:rsidR="00E95DF9" w:rsidP="00E95DF9" w:rsidRDefault="00E95DF9" w14:paraId="3E700BD3" w14:textId="77777777">
      <w:pPr>
        <w:rPr>
          <w:rFonts w:eastAsia="Verdana" w:cs="Verdana"/>
          <w:szCs w:val="18"/>
        </w:rPr>
      </w:pPr>
    </w:p>
    <w:p w:rsidR="00E95DF9" w:rsidP="00E95DF9" w:rsidRDefault="00E95DF9" w14:paraId="6B826834" w14:textId="77777777">
      <w:pPr>
        <w:rPr>
          <w:rFonts w:eastAsia="Verdana" w:cs="Verdana"/>
          <w:szCs w:val="18"/>
        </w:rPr>
      </w:pPr>
      <w:r>
        <w:rPr>
          <w:rFonts w:eastAsia="Verdana" w:cs="Verdana"/>
          <w:szCs w:val="18"/>
        </w:rPr>
        <w:t>12</w:t>
      </w:r>
    </w:p>
    <w:p w:rsidR="00E95DF9" w:rsidP="00E95DF9" w:rsidRDefault="00E95DF9" w14:paraId="04E488D5" w14:textId="77777777">
      <w:pPr>
        <w:rPr>
          <w:rFonts w:eastAsia="Verdana" w:cs="Verdana"/>
          <w:szCs w:val="18"/>
        </w:rPr>
      </w:pPr>
      <w:r w:rsidRPr="00605CB6">
        <w:rPr>
          <w:rFonts w:eastAsia="Verdana" w:cs="Verdana"/>
          <w:szCs w:val="18"/>
        </w:rPr>
        <w:t>Op welke manier zit het ongelijke speelveld dat ontstaat in Europa in het rekenmodel van het PBL? Houdt het model ook rekening met de verschillen in energie- en netwerkkosten tussen Europese lidstaten en het verschil tussen Nederland en de rest van de wereld?</w:t>
      </w:r>
    </w:p>
    <w:p w:rsidR="00E95DF9" w:rsidP="00E95DF9" w:rsidRDefault="00E95DF9" w14:paraId="4E620342" w14:textId="77777777">
      <w:pPr>
        <w:rPr>
          <w:rFonts w:eastAsia="Verdana" w:cs="Verdana"/>
          <w:szCs w:val="18"/>
        </w:rPr>
      </w:pPr>
    </w:p>
    <w:p w:rsidR="00E95DF9" w:rsidP="00E95DF9" w:rsidRDefault="00E95DF9" w14:paraId="2123D771" w14:textId="77777777">
      <w:pPr>
        <w:rPr>
          <w:rFonts w:eastAsia="Verdana" w:cs="Verdana"/>
          <w:szCs w:val="18"/>
        </w:rPr>
      </w:pPr>
      <w:r>
        <w:rPr>
          <w:rFonts w:eastAsia="Verdana" w:cs="Verdana"/>
          <w:szCs w:val="18"/>
        </w:rPr>
        <w:t>Antwoord</w:t>
      </w:r>
    </w:p>
    <w:p w:rsidR="00E95DF9" w:rsidP="00E95DF9" w:rsidRDefault="00E95DF9" w14:paraId="770CC311" w14:textId="77777777">
      <w:pPr>
        <w:rPr>
          <w:rFonts w:eastAsia="Verdana" w:cs="Verdana"/>
        </w:rPr>
      </w:pPr>
      <w:r>
        <w:rPr>
          <w:rFonts w:eastAsia="Verdana" w:cs="Verdana"/>
        </w:rPr>
        <w:t xml:space="preserve">Op het moment dat er sprake is van productievermindering als gevolg van een ongelijk speelveld wordt dit door het PBL meegenomen als zogenoemde exogene factor, oftewel het is input die het model gebruikt. Het is echter geen uitkomst van het model. </w:t>
      </w:r>
      <w:r w:rsidRPr="1CC18A52">
        <w:rPr>
          <w:rFonts w:eastAsia="Verdana" w:cs="Verdana"/>
        </w:rPr>
        <w:t xml:space="preserve">De afweging of een verduurzamingsmaatregel financieel logisch is voor een installatie houdt geen rekening met of het financieel logisch is om de installatie in Nederland in gebruik te houden. Het kan dus het geval zijn dat het in het model financieel verstandig is om een installatie te verduurzamen, gelet op energie- en </w:t>
      </w:r>
      <w:r w:rsidRPr="00EA4DEC">
        <w:rPr>
          <w:rFonts w:eastAsia="Verdana" w:cs="Verdana"/>
          <w:szCs w:val="18"/>
        </w:rPr>
        <w:t>CO</w:t>
      </w:r>
      <w:r w:rsidRPr="0060331F">
        <w:rPr>
          <w:rFonts w:eastAsia="Verdana" w:cs="Verdana"/>
          <w:szCs w:val="18"/>
          <w:vertAlign w:val="subscript"/>
        </w:rPr>
        <w:t>2</w:t>
      </w:r>
      <w:r w:rsidRPr="1CC18A52">
        <w:rPr>
          <w:rFonts w:eastAsia="Verdana" w:cs="Verdana"/>
        </w:rPr>
        <w:t xml:space="preserve">-prijzen in Nederland, maar dat de installatie in Nederland, ten opzichte van buitenlandse installaties, </w:t>
      </w:r>
      <w:r>
        <w:rPr>
          <w:rFonts w:eastAsia="Verdana" w:cs="Verdana"/>
        </w:rPr>
        <w:t xml:space="preserve">minder </w:t>
      </w:r>
      <w:r w:rsidRPr="1CC18A52">
        <w:rPr>
          <w:rFonts w:eastAsia="Verdana" w:cs="Verdana"/>
        </w:rPr>
        <w:t xml:space="preserve">rendabel is om in gebruik te houden. </w:t>
      </w:r>
      <w:r>
        <w:rPr>
          <w:rFonts w:eastAsia="Verdana" w:cs="Verdana"/>
        </w:rPr>
        <w:t>Uit de uitkomsten van het model kan daardoor niet worden afgeleid in hoeverre er sprake is van productievermindering of verduurzaming.</w:t>
      </w:r>
      <w:r w:rsidRPr="1CC18A52">
        <w:rPr>
          <w:rFonts w:eastAsia="Verdana" w:cs="Verdana"/>
        </w:rPr>
        <w:t xml:space="preserve"> In andere woorden, het model in de tariefstudie </w:t>
      </w:r>
      <w:r>
        <w:rPr>
          <w:rFonts w:eastAsia="Verdana" w:cs="Verdana"/>
        </w:rPr>
        <w:t xml:space="preserve">geeft niet aan of er sprake is van </w:t>
      </w:r>
      <w:r w:rsidRPr="1CC18A52">
        <w:rPr>
          <w:rFonts w:eastAsia="Verdana" w:cs="Verdana"/>
        </w:rPr>
        <w:t>weglek</w:t>
      </w:r>
      <w:r>
        <w:rPr>
          <w:rFonts w:eastAsia="Verdana" w:cs="Verdana"/>
        </w:rPr>
        <w:t>, en houdt daar geen rekening mee</w:t>
      </w:r>
      <w:r w:rsidRPr="1CC18A52">
        <w:rPr>
          <w:rFonts w:eastAsia="Verdana" w:cs="Verdana"/>
        </w:rPr>
        <w:t xml:space="preserve">. </w:t>
      </w:r>
    </w:p>
    <w:p w:rsidR="00E95DF9" w:rsidP="00E95DF9" w:rsidRDefault="00E95DF9" w14:paraId="3FA46C25" w14:textId="77777777">
      <w:pPr>
        <w:rPr>
          <w:rFonts w:eastAsia="Verdana" w:cs="Verdana"/>
          <w:szCs w:val="18"/>
        </w:rPr>
      </w:pPr>
    </w:p>
    <w:p w:rsidR="00E95DF9" w:rsidP="00E95DF9" w:rsidRDefault="00E95DF9" w14:paraId="21D5A2C8" w14:textId="77777777">
      <w:pPr>
        <w:rPr>
          <w:rFonts w:eastAsia="Verdana" w:cs="Verdana"/>
          <w:szCs w:val="18"/>
        </w:rPr>
      </w:pPr>
      <w:r>
        <w:rPr>
          <w:rFonts w:eastAsia="Verdana" w:cs="Verdana"/>
          <w:szCs w:val="18"/>
        </w:rPr>
        <w:t>13</w:t>
      </w:r>
    </w:p>
    <w:p w:rsidR="00E95DF9" w:rsidP="00E95DF9" w:rsidRDefault="00E95DF9" w14:paraId="1BD2963E" w14:textId="77777777">
      <w:pPr>
        <w:rPr>
          <w:rFonts w:eastAsia="Verdana" w:cs="Verdana"/>
          <w:szCs w:val="18"/>
        </w:rPr>
      </w:pPr>
      <w:r w:rsidRPr="5AF0831B">
        <w:rPr>
          <w:rFonts w:eastAsia="Verdana" w:cs="Verdana"/>
          <w:szCs w:val="18"/>
        </w:rPr>
        <w:t>Klopt het dat het PBL zelf aangeeft dat in het rekenmodel geen rekening wordt gehouden met een verandering in productievolumes van de industrie, terwijl dit wel op dit moment het geval is (lagere productie)? Wat zou er gebeuren als er wel rekening gehouden wordt met veranderende productievolumes? Moet het rekenmodel op dit punt worden aangepast of is dat te complex?</w:t>
      </w:r>
    </w:p>
    <w:p w:rsidR="00E95DF9" w:rsidP="00E95DF9" w:rsidRDefault="00E95DF9" w14:paraId="78DA9C37" w14:textId="77777777">
      <w:pPr>
        <w:rPr>
          <w:rFonts w:eastAsia="Verdana" w:cs="Verdana"/>
          <w:szCs w:val="18"/>
        </w:rPr>
      </w:pPr>
    </w:p>
    <w:p w:rsidR="00E95DF9" w:rsidP="00E95DF9" w:rsidRDefault="00E95DF9" w14:paraId="75A7E60F" w14:textId="77777777">
      <w:pPr>
        <w:rPr>
          <w:rFonts w:eastAsia="Verdana" w:cs="Verdana"/>
          <w:szCs w:val="18"/>
        </w:rPr>
      </w:pPr>
      <w:r>
        <w:rPr>
          <w:rFonts w:eastAsia="Verdana" w:cs="Verdana"/>
          <w:szCs w:val="18"/>
        </w:rPr>
        <w:t>Antwoord</w:t>
      </w:r>
    </w:p>
    <w:p w:rsidR="00E95DF9" w:rsidP="00E95DF9" w:rsidRDefault="00E95DF9" w14:paraId="4531C5DC" w14:textId="77777777">
      <w:pPr>
        <w:rPr>
          <w:rFonts w:eastAsia="Verdana" w:cs="Verdana"/>
        </w:rPr>
      </w:pPr>
      <w:r>
        <w:rPr>
          <w:rFonts w:eastAsia="Verdana" w:cs="Verdana"/>
        </w:rPr>
        <w:t xml:space="preserve">Het PBL houdt al rekening met verandering in productievolumes door de volumes als exogene inputvariabele toe te passen. </w:t>
      </w:r>
      <w:r w:rsidRPr="1CC18A52">
        <w:rPr>
          <w:rFonts w:eastAsia="Verdana" w:cs="Verdana"/>
        </w:rPr>
        <w:t xml:space="preserve">De veronderstelde volumes die het PBL hanteert baseert ze op economische trends en de plannen van industriële producenten. </w:t>
      </w:r>
      <w:r>
        <w:rPr>
          <w:rFonts w:eastAsia="Verdana" w:cs="Verdana"/>
        </w:rPr>
        <w:t xml:space="preserve">Deze worden regelmatig aangepast. </w:t>
      </w:r>
      <w:r w:rsidRPr="1CC18A52">
        <w:rPr>
          <w:rFonts w:eastAsia="Verdana" w:cs="Verdana"/>
        </w:rPr>
        <w:t xml:space="preserve">Het PBL </w:t>
      </w:r>
      <w:r w:rsidRPr="1CC18A52">
        <w:rPr>
          <w:rFonts w:eastAsia="Verdana" w:cs="Verdana"/>
        </w:rPr>
        <w:lastRenderedPageBreak/>
        <w:t xml:space="preserve">publiceert de veronderstelde productievolumes ook in de tabellenbijlage bij de KEV. </w:t>
      </w:r>
      <w:r>
        <w:rPr>
          <w:rFonts w:eastAsia="Verdana" w:cs="Verdana"/>
        </w:rPr>
        <w:t xml:space="preserve">Voor 2025 en daarna heeft </w:t>
      </w:r>
      <w:r w:rsidRPr="1CC18A52">
        <w:rPr>
          <w:rFonts w:eastAsia="Verdana" w:cs="Verdana"/>
        </w:rPr>
        <w:t>het PBL</w:t>
      </w:r>
      <w:r>
        <w:rPr>
          <w:rFonts w:eastAsia="Verdana" w:cs="Verdana"/>
        </w:rPr>
        <w:t xml:space="preserve"> in de laatste KEV</w:t>
      </w:r>
      <w:r w:rsidRPr="1CC18A52">
        <w:rPr>
          <w:rFonts w:eastAsia="Verdana" w:cs="Verdana"/>
        </w:rPr>
        <w:t xml:space="preserve"> een sterke stijging in de productievolumes van de industrie veronderstel</w:t>
      </w:r>
      <w:r>
        <w:rPr>
          <w:rFonts w:eastAsia="Verdana" w:cs="Verdana"/>
        </w:rPr>
        <w:t>d</w:t>
      </w:r>
      <w:r w:rsidRPr="1CC18A52">
        <w:rPr>
          <w:rFonts w:eastAsia="Verdana" w:cs="Verdana"/>
        </w:rPr>
        <w:t xml:space="preserve">. Het PBL geeft </w:t>
      </w:r>
      <w:r>
        <w:rPr>
          <w:rFonts w:eastAsia="Verdana" w:cs="Verdana"/>
        </w:rPr>
        <w:t xml:space="preserve">daarbij </w:t>
      </w:r>
      <w:r w:rsidRPr="1CC18A52">
        <w:rPr>
          <w:rFonts w:eastAsia="Verdana" w:cs="Verdana"/>
        </w:rPr>
        <w:t xml:space="preserve">aan dat een van de grootste onzekerheden ten aanzien van de industriële emissies het productievolume is en dat het daarmee rekening houdt binnen de bandbreedte. Dat wil zeggen dat een minder hoog productieniveau, vergeleken met de veronderstelling van het PBL, in de onderkant van de bandbreedte terugkomt. Het is aannemelijk dat een bijstelling van de veronderstelde productievolumes naar het recente niveau richting 2035 resulteert in een lagere puntschatting voor de restemissies binnen de industrie. </w:t>
      </w:r>
    </w:p>
    <w:p w:rsidR="00E95DF9" w:rsidP="00E95DF9" w:rsidRDefault="00E95DF9" w14:paraId="21805EDE" w14:textId="77777777">
      <w:pPr>
        <w:rPr>
          <w:rFonts w:eastAsia="Verdana" w:cs="Verdana"/>
          <w:szCs w:val="18"/>
        </w:rPr>
      </w:pPr>
    </w:p>
    <w:p w:rsidR="00E95DF9" w:rsidP="00E95DF9" w:rsidRDefault="00E95DF9" w14:paraId="54C42B3C" w14:textId="77777777">
      <w:pPr>
        <w:rPr>
          <w:rFonts w:eastAsia="Verdana" w:cs="Verdana"/>
          <w:szCs w:val="18"/>
        </w:rPr>
      </w:pPr>
      <w:r>
        <w:rPr>
          <w:rFonts w:eastAsia="Verdana" w:cs="Verdana"/>
          <w:szCs w:val="18"/>
        </w:rPr>
        <w:t>14</w:t>
      </w:r>
    </w:p>
    <w:p w:rsidR="00E95DF9" w:rsidP="00E95DF9" w:rsidRDefault="00E95DF9" w14:paraId="04BB8CAB" w14:textId="77777777">
      <w:pPr>
        <w:rPr>
          <w:rFonts w:eastAsia="Verdana" w:cs="Verdana"/>
          <w:szCs w:val="18"/>
        </w:rPr>
      </w:pPr>
      <w:r w:rsidRPr="5AF0831B">
        <w:rPr>
          <w:rFonts w:eastAsia="Verdana" w:cs="Verdana"/>
          <w:szCs w:val="18"/>
        </w:rPr>
        <w:t>Klopt het dat het PBL al jarenlang, maar ook nog in de Tariefstudie 2024, waarschuwt voor weglekeffecten? Is dat wat we nu in de praktijk zien gebeuren?</w:t>
      </w:r>
    </w:p>
    <w:p w:rsidR="00E95DF9" w:rsidP="00E95DF9" w:rsidRDefault="00E95DF9" w14:paraId="2A1036DE" w14:textId="77777777">
      <w:pPr>
        <w:rPr>
          <w:rFonts w:eastAsia="Verdana" w:cs="Verdana"/>
          <w:szCs w:val="18"/>
        </w:rPr>
      </w:pPr>
    </w:p>
    <w:p w:rsidR="00E95DF9" w:rsidP="00E95DF9" w:rsidRDefault="00E95DF9" w14:paraId="4B15A5B5" w14:textId="77777777">
      <w:pPr>
        <w:rPr>
          <w:rFonts w:eastAsia="Verdana" w:cs="Verdana"/>
          <w:szCs w:val="18"/>
        </w:rPr>
      </w:pPr>
      <w:r>
        <w:rPr>
          <w:rFonts w:eastAsia="Verdana" w:cs="Verdana"/>
          <w:szCs w:val="18"/>
        </w:rPr>
        <w:t>Antwoord</w:t>
      </w:r>
    </w:p>
    <w:p w:rsidR="00E95DF9" w:rsidP="00E95DF9" w:rsidRDefault="00E95DF9" w14:paraId="18830066" w14:textId="77777777">
      <w:pPr>
        <w:rPr>
          <w:rFonts w:eastAsia="Verdana" w:cs="Verdana"/>
          <w:szCs w:val="18"/>
        </w:rPr>
      </w:pPr>
      <w:r w:rsidRPr="00CC215E">
        <w:rPr>
          <w:rFonts w:eastAsia="Verdana" w:cs="Verdana"/>
          <w:szCs w:val="18"/>
        </w:rPr>
        <w:t xml:space="preserve">Het klopt dat PBL in het verleden, en ook in de tariefstudie, heeft gewezen op het feit dat een vermindering in productie in Nederland kan optreden als de unilaterale kosten van het klimaatbeleid toenemen. De recente sluitingen van verschillende industriële productielocaties kunnen echter niet </w:t>
      </w:r>
      <w:r>
        <w:rPr>
          <w:rFonts w:eastAsia="Verdana" w:cs="Verdana"/>
          <w:szCs w:val="18"/>
        </w:rPr>
        <w:t xml:space="preserve">alleen </w:t>
      </w:r>
      <w:r w:rsidRPr="00CC215E">
        <w:rPr>
          <w:rFonts w:eastAsia="Verdana" w:cs="Verdana"/>
          <w:szCs w:val="18"/>
        </w:rPr>
        <w:t xml:space="preserve">worden toegewezen aan </w:t>
      </w:r>
      <w:r>
        <w:rPr>
          <w:rFonts w:eastAsia="Verdana" w:cs="Verdana"/>
          <w:szCs w:val="18"/>
        </w:rPr>
        <w:t>nationaal klimaatbeleid</w:t>
      </w:r>
      <w:r w:rsidRPr="00CC215E">
        <w:rPr>
          <w:rFonts w:eastAsia="Verdana" w:cs="Verdana"/>
          <w:szCs w:val="18"/>
        </w:rPr>
        <w:t xml:space="preserve">. </w:t>
      </w:r>
      <w:r>
        <w:rPr>
          <w:rFonts w:eastAsia="Verdana" w:cs="Verdana"/>
          <w:szCs w:val="18"/>
        </w:rPr>
        <w:t>Ook a</w:t>
      </w:r>
      <w:r w:rsidRPr="00CC215E">
        <w:rPr>
          <w:rFonts w:eastAsia="Verdana" w:cs="Verdana"/>
          <w:szCs w:val="18"/>
        </w:rPr>
        <w:t>ndere factoren spelen een</w:t>
      </w:r>
      <w:r>
        <w:rPr>
          <w:rFonts w:eastAsia="Verdana" w:cs="Verdana"/>
          <w:szCs w:val="18"/>
        </w:rPr>
        <w:t xml:space="preserve"> </w:t>
      </w:r>
      <w:r w:rsidRPr="00CC215E">
        <w:rPr>
          <w:rFonts w:eastAsia="Verdana" w:cs="Verdana"/>
          <w:szCs w:val="18"/>
        </w:rPr>
        <w:t>rol in de keuze voor bedrijven om hier in Nederland te blijven produceren zoals ontwikkelingen op de mondiale markt waarop de bedrijven concurreren en de hoge energiekosten in Nederland.</w:t>
      </w:r>
    </w:p>
    <w:p w:rsidR="00E95DF9" w:rsidP="00E95DF9" w:rsidRDefault="00E95DF9" w14:paraId="74B31541" w14:textId="77777777">
      <w:pPr>
        <w:rPr>
          <w:rFonts w:eastAsia="Verdana" w:cs="Verdana"/>
          <w:szCs w:val="18"/>
        </w:rPr>
      </w:pPr>
    </w:p>
    <w:p w:rsidR="00E95DF9" w:rsidP="00E95DF9" w:rsidRDefault="00E95DF9" w14:paraId="15435467" w14:textId="77777777">
      <w:pPr>
        <w:rPr>
          <w:rFonts w:eastAsia="Verdana" w:cs="Verdana"/>
          <w:szCs w:val="18"/>
        </w:rPr>
      </w:pPr>
      <w:r>
        <w:rPr>
          <w:rFonts w:eastAsia="Verdana" w:cs="Verdana"/>
          <w:szCs w:val="18"/>
        </w:rPr>
        <w:t>15</w:t>
      </w:r>
    </w:p>
    <w:p w:rsidR="00E95DF9" w:rsidP="00E95DF9" w:rsidRDefault="00E95DF9" w14:paraId="5309BB93" w14:textId="77777777">
      <w:pPr>
        <w:rPr>
          <w:rFonts w:eastAsia="Verdana" w:cs="Verdana"/>
          <w:szCs w:val="18"/>
        </w:rPr>
      </w:pPr>
      <w:r w:rsidRPr="476567A0">
        <w:rPr>
          <w:rFonts w:eastAsia="Verdana" w:cs="Verdana"/>
          <w:szCs w:val="18"/>
        </w:rPr>
        <w:t xml:space="preserve">Klopt het dat het PBL ook al jarenlang zegt dat er sprake is van een waterbedeffect binnen de EU, namelijk dat een lagere emissie in de industrie in Nederland gecompenseerd wordt binnen het EU </w:t>
      </w:r>
      <w:proofErr w:type="spellStart"/>
      <w:r w:rsidRPr="476567A0">
        <w:rPr>
          <w:rFonts w:eastAsia="Verdana" w:cs="Verdana"/>
          <w:szCs w:val="18"/>
        </w:rPr>
        <w:t>Emissions</w:t>
      </w:r>
      <w:proofErr w:type="spellEnd"/>
      <w:r w:rsidRPr="476567A0">
        <w:rPr>
          <w:rFonts w:eastAsia="Verdana" w:cs="Verdana"/>
          <w:szCs w:val="18"/>
        </w:rPr>
        <w:t xml:space="preserve"> </w:t>
      </w:r>
      <w:proofErr w:type="spellStart"/>
      <w:r w:rsidRPr="476567A0">
        <w:rPr>
          <w:rFonts w:eastAsia="Verdana" w:cs="Verdana"/>
          <w:szCs w:val="18"/>
        </w:rPr>
        <w:t>Trading</w:t>
      </w:r>
      <w:proofErr w:type="spellEnd"/>
      <w:r w:rsidRPr="476567A0">
        <w:rPr>
          <w:rFonts w:eastAsia="Verdana" w:cs="Verdana"/>
          <w:szCs w:val="18"/>
        </w:rPr>
        <w:t xml:space="preserve"> System (EU ETS) in andere EU-lidstaten? </w:t>
      </w:r>
    </w:p>
    <w:p w:rsidR="00E95DF9" w:rsidP="00E95DF9" w:rsidRDefault="00E95DF9" w14:paraId="376DCD2C" w14:textId="77777777">
      <w:pPr>
        <w:rPr>
          <w:rFonts w:eastAsia="Verdana" w:cs="Verdana"/>
          <w:szCs w:val="18"/>
        </w:rPr>
      </w:pPr>
    </w:p>
    <w:p w:rsidR="00E95DF9" w:rsidP="00E95DF9" w:rsidRDefault="00E95DF9" w14:paraId="0A64D180" w14:textId="77777777">
      <w:pPr>
        <w:rPr>
          <w:rFonts w:eastAsia="Verdana" w:cs="Verdana"/>
          <w:szCs w:val="18"/>
        </w:rPr>
      </w:pPr>
      <w:r>
        <w:rPr>
          <w:rFonts w:eastAsia="Verdana" w:cs="Verdana"/>
          <w:szCs w:val="18"/>
        </w:rPr>
        <w:t>Antwoord</w:t>
      </w:r>
    </w:p>
    <w:p w:rsidR="00E95DF9" w:rsidP="00E95DF9" w:rsidRDefault="00E95DF9" w14:paraId="58C5DE09" w14:textId="77777777">
      <w:pPr>
        <w:rPr>
          <w:rFonts w:eastAsia="Verdana" w:cs="Verdana"/>
          <w:szCs w:val="18"/>
        </w:rPr>
      </w:pPr>
      <w:r w:rsidRPr="00367C50">
        <w:rPr>
          <w:rFonts w:eastAsia="Verdana" w:cs="Verdana"/>
          <w:szCs w:val="18"/>
        </w:rPr>
        <w:t xml:space="preserve">Nee, het PBL stelt niet dat er sprake is van een waterbedeffect binnen de EU. Wel stelt het PBL dat het mogelijk is dat dit in de toekomst plaats kan gaan vinden. In 2019 is in het EU ETS een marktstabiliteitsreserve (MSR) in werking getreden, waarbij elk jaar dat het totale aantal rechten in omloop boven de grens van 833 miljoen is, een deel (24 procent) van </w:t>
      </w:r>
      <w:r>
        <w:rPr>
          <w:rFonts w:eastAsia="Verdana" w:cs="Verdana"/>
          <w:szCs w:val="18"/>
        </w:rPr>
        <w:t>het totaal aantal</w:t>
      </w:r>
      <w:r w:rsidRPr="00367C50">
        <w:rPr>
          <w:rFonts w:eastAsia="Verdana" w:cs="Verdana"/>
          <w:szCs w:val="18"/>
        </w:rPr>
        <w:t xml:space="preserve"> rechten </w:t>
      </w:r>
      <w:r>
        <w:rPr>
          <w:rFonts w:eastAsia="Verdana" w:cs="Verdana"/>
          <w:szCs w:val="18"/>
        </w:rPr>
        <w:t xml:space="preserve">in omloop </w:t>
      </w:r>
      <w:r w:rsidRPr="00367C50">
        <w:rPr>
          <w:rFonts w:eastAsia="Verdana" w:cs="Verdana"/>
          <w:szCs w:val="18"/>
        </w:rPr>
        <w:t xml:space="preserve">in de MSR wordt geplaatst en uiteindelijk wordt vernietigd. Extra </w:t>
      </w:r>
      <w:r w:rsidRPr="00367C50">
        <w:rPr>
          <w:rFonts w:eastAsia="Verdana" w:cs="Verdana"/>
          <w:szCs w:val="18"/>
        </w:rPr>
        <w:lastRenderedPageBreak/>
        <w:t xml:space="preserve">emissiereductie leidt in dat geval tot extra vernietiging van emissierechten, wat </w:t>
      </w:r>
      <w:r>
        <w:rPr>
          <w:rFonts w:eastAsia="Verdana" w:cs="Verdana"/>
          <w:szCs w:val="18"/>
        </w:rPr>
        <w:t xml:space="preserve">volgens het PBL </w:t>
      </w:r>
      <w:r w:rsidRPr="00367C50">
        <w:rPr>
          <w:rFonts w:eastAsia="Verdana" w:cs="Verdana"/>
          <w:szCs w:val="18"/>
        </w:rPr>
        <w:t xml:space="preserve">door de jaar-op-jaarstapeling </w:t>
      </w:r>
      <w:r>
        <w:rPr>
          <w:rFonts w:eastAsia="Verdana" w:cs="Verdana"/>
          <w:szCs w:val="18"/>
        </w:rPr>
        <w:t xml:space="preserve">zou </w:t>
      </w:r>
      <w:r w:rsidRPr="00367C50">
        <w:rPr>
          <w:rFonts w:eastAsia="Verdana" w:cs="Verdana"/>
          <w:szCs w:val="18"/>
        </w:rPr>
        <w:t>k</w:t>
      </w:r>
      <w:r>
        <w:rPr>
          <w:rFonts w:eastAsia="Verdana" w:cs="Verdana"/>
          <w:szCs w:val="18"/>
        </w:rPr>
        <w:t>unnen</w:t>
      </w:r>
      <w:r w:rsidRPr="00367C50">
        <w:rPr>
          <w:rFonts w:eastAsia="Verdana" w:cs="Verdana"/>
          <w:szCs w:val="18"/>
        </w:rPr>
        <w:t xml:space="preserve"> oplopen tot vrijwel de gehele extra reductie. </w:t>
      </w:r>
      <w:r>
        <w:rPr>
          <w:rFonts w:eastAsia="Verdana" w:cs="Verdana"/>
          <w:szCs w:val="18"/>
        </w:rPr>
        <w:t xml:space="preserve">De jaar-op-jaaropstapeling werkt als volgt: </w:t>
      </w:r>
      <w:r w:rsidRPr="000D3BD6">
        <w:rPr>
          <w:rFonts w:eastAsia="Verdana" w:cs="Verdana"/>
          <w:szCs w:val="18"/>
        </w:rPr>
        <w:t>als er door extra emissiereductie in NL 100 ETS-rechten ongebruikt blijven, worden er een jaar later 24 ETS-rechten vernietigd</w:t>
      </w:r>
      <w:r>
        <w:rPr>
          <w:rFonts w:eastAsia="Verdana" w:cs="Verdana"/>
          <w:szCs w:val="18"/>
        </w:rPr>
        <w:t>. Weer een jaar later worden er 18 vernietigd (24% van de resterende 76), enzovoorts.</w:t>
      </w:r>
    </w:p>
    <w:p w:rsidR="00E95DF9" w:rsidP="00E95DF9" w:rsidRDefault="00E95DF9" w14:paraId="39E3E480" w14:textId="77777777">
      <w:pPr>
        <w:rPr>
          <w:rFonts w:eastAsia="Verdana" w:cs="Verdana"/>
          <w:szCs w:val="18"/>
        </w:rPr>
      </w:pPr>
    </w:p>
    <w:p w:rsidRPr="00367C50" w:rsidR="00E95DF9" w:rsidP="00E95DF9" w:rsidRDefault="00E95DF9" w14:paraId="76C1C52F" w14:textId="77777777">
      <w:pPr>
        <w:rPr>
          <w:rFonts w:eastAsia="Verdana" w:cs="Verdana"/>
          <w:szCs w:val="18"/>
        </w:rPr>
      </w:pPr>
      <w:r w:rsidRPr="00367C50">
        <w:rPr>
          <w:rFonts w:eastAsia="Verdana" w:cs="Verdana"/>
          <w:szCs w:val="18"/>
        </w:rPr>
        <w:t xml:space="preserve">Op dit moment ligt het totale aantal rechten in omloop ruim boven deze grens, waardoor er </w:t>
      </w:r>
      <w:r>
        <w:rPr>
          <w:rFonts w:eastAsia="Verdana" w:cs="Verdana"/>
          <w:szCs w:val="18"/>
        </w:rPr>
        <w:t xml:space="preserve">op dit moment </w:t>
      </w:r>
      <w:r w:rsidRPr="00367C50">
        <w:rPr>
          <w:rFonts w:eastAsia="Verdana" w:cs="Verdana"/>
          <w:szCs w:val="18"/>
        </w:rPr>
        <w:t>dus</w:t>
      </w:r>
      <w:r>
        <w:rPr>
          <w:rFonts w:eastAsia="Verdana" w:cs="Verdana"/>
          <w:szCs w:val="18"/>
        </w:rPr>
        <w:t xml:space="preserve"> nog</w:t>
      </w:r>
      <w:r w:rsidRPr="00367C50">
        <w:rPr>
          <w:rFonts w:eastAsia="Verdana" w:cs="Verdana"/>
          <w:szCs w:val="18"/>
        </w:rPr>
        <w:t xml:space="preserve"> geen sprake is van een waterbedeffect. Echter, zodra het totale aantal rechten in omloop ónder de gestelde grens komt, zal het waterbedeffect wel in werking treden. Het PBL stelt dat verschillende studies een ander beeld geven over wanneer dit plaats kan vinden, waarbij sommige studies aangeven dat dit al voor 2030 zou kunnen plaatsvinden, anderen indiceren dit pas ruim na 2030. Het PBL tekent hierbij aan dat hierbij ook het toekomstige beleid in andere EU-landen van belang is. Wanneer in meerdere EU-landen klimaatbeleid gevoerd wordt voor ETS-activiteiten, kan het aantal rechten in omloop langer boven de grens blijven, waardoor meer rechten vernietigd worden en het waterbedeffect dus langer achterwege kan blijven. Bovendien zal de werking van de MSR in EU-verband periodiek opnieuw worden beoordeeld, en is het denkbaar dat nadere afspraken worden gemaakt </w:t>
      </w:r>
      <w:r>
        <w:rPr>
          <w:rFonts w:eastAsia="Verdana" w:cs="Verdana"/>
          <w:szCs w:val="18"/>
        </w:rPr>
        <w:t>die bijdragen aan het mitigeren van</w:t>
      </w:r>
      <w:r w:rsidRPr="00367C50">
        <w:rPr>
          <w:rFonts w:eastAsia="Verdana" w:cs="Verdana"/>
          <w:szCs w:val="18"/>
        </w:rPr>
        <w:t xml:space="preserve"> waterbedeffecten.</w:t>
      </w:r>
    </w:p>
    <w:p w:rsidR="00E95DF9" w:rsidP="00E95DF9" w:rsidRDefault="00E95DF9" w14:paraId="02B68F3E" w14:textId="77777777">
      <w:pPr>
        <w:rPr>
          <w:rFonts w:eastAsia="Verdana" w:cs="Verdana"/>
          <w:szCs w:val="18"/>
        </w:rPr>
      </w:pPr>
    </w:p>
    <w:p w:rsidR="00E95DF9" w:rsidP="00E95DF9" w:rsidRDefault="00E95DF9" w14:paraId="30A1F80B" w14:textId="77777777">
      <w:pPr>
        <w:rPr>
          <w:rFonts w:eastAsia="Verdana" w:cs="Verdana"/>
          <w:szCs w:val="18"/>
        </w:rPr>
      </w:pPr>
      <w:r>
        <w:rPr>
          <w:rFonts w:eastAsia="Verdana" w:cs="Verdana"/>
          <w:szCs w:val="18"/>
        </w:rPr>
        <w:t>16</w:t>
      </w:r>
    </w:p>
    <w:p w:rsidR="00E95DF9" w:rsidP="00E95DF9" w:rsidRDefault="00E95DF9" w14:paraId="50B59284" w14:textId="77777777">
      <w:pPr>
        <w:rPr>
          <w:rFonts w:eastAsia="Verdana" w:cs="Verdana"/>
          <w:szCs w:val="18"/>
        </w:rPr>
      </w:pPr>
      <w:r w:rsidRPr="5AF0831B">
        <w:rPr>
          <w:rFonts w:eastAsia="Verdana" w:cs="Verdana"/>
          <w:szCs w:val="18"/>
        </w:rPr>
        <w:t xml:space="preserve">Neemt u de waarschuwing van het PBL serieus dat een te hoge nationale </w:t>
      </w:r>
      <w:r w:rsidRPr="00EA4DEC">
        <w:rPr>
          <w:rFonts w:eastAsia="Verdana" w:cs="Verdana"/>
          <w:szCs w:val="18"/>
        </w:rPr>
        <w:t>CO</w:t>
      </w:r>
      <w:r w:rsidRPr="0060331F">
        <w:rPr>
          <w:rFonts w:eastAsia="Verdana" w:cs="Verdana"/>
          <w:szCs w:val="18"/>
          <w:vertAlign w:val="subscript"/>
        </w:rPr>
        <w:t>2</w:t>
      </w:r>
      <w:r w:rsidRPr="5AF0831B">
        <w:rPr>
          <w:rFonts w:eastAsia="Verdana" w:cs="Verdana"/>
          <w:szCs w:val="18"/>
        </w:rPr>
        <w:t xml:space="preserve">-heffing de kans op afschalen van industriële productie in Nederland vergroot, waarmee wel de emissies in Nederland worden verminderd, maar er niet wordt bijgedragen aan de verduurzaming van de industrie in Nederland? </w:t>
      </w:r>
    </w:p>
    <w:p w:rsidR="00E95DF9" w:rsidP="00E95DF9" w:rsidRDefault="00E95DF9" w14:paraId="60C2BE99" w14:textId="77777777">
      <w:pPr>
        <w:rPr>
          <w:rFonts w:eastAsia="Verdana" w:cs="Verdana"/>
          <w:szCs w:val="18"/>
        </w:rPr>
      </w:pPr>
    </w:p>
    <w:p w:rsidR="00E95DF9" w:rsidP="00E95DF9" w:rsidRDefault="00E95DF9" w14:paraId="2A16DBF5" w14:textId="77777777">
      <w:pPr>
        <w:rPr>
          <w:rFonts w:eastAsia="Verdana" w:cs="Verdana"/>
          <w:szCs w:val="18"/>
        </w:rPr>
      </w:pPr>
      <w:r>
        <w:rPr>
          <w:rFonts w:eastAsia="Verdana" w:cs="Verdana"/>
          <w:szCs w:val="18"/>
        </w:rPr>
        <w:t>Antwoord</w:t>
      </w:r>
    </w:p>
    <w:p w:rsidR="00E95DF9" w:rsidP="00E95DF9" w:rsidRDefault="00E95DF9" w14:paraId="4A0120D1" w14:textId="77777777">
      <w:pPr>
        <w:rPr>
          <w:rFonts w:eastAsia="Verdana" w:cs="Verdana"/>
          <w:szCs w:val="18"/>
        </w:rPr>
      </w:pPr>
      <w:r w:rsidRPr="00226A77">
        <w:rPr>
          <w:rFonts w:eastAsia="Verdana" w:cs="Verdana"/>
        </w:rPr>
        <w:t xml:space="preserve">Ja, deze waarschuwing neemt het kabinet serieus. </w:t>
      </w:r>
      <w:r>
        <w:rPr>
          <w:rFonts w:eastAsia="Verdana" w:cs="Verdana"/>
        </w:rPr>
        <w:t xml:space="preserve">Het kabinet kijkt naar een gebalanceerde mix van </w:t>
      </w:r>
      <w:proofErr w:type="spellStart"/>
      <w:r>
        <w:rPr>
          <w:rFonts w:eastAsia="Verdana" w:cs="Verdana"/>
        </w:rPr>
        <w:t>beprijzing</w:t>
      </w:r>
      <w:proofErr w:type="spellEnd"/>
      <w:r>
        <w:rPr>
          <w:rFonts w:eastAsia="Verdana" w:cs="Verdana"/>
        </w:rPr>
        <w:t xml:space="preserve">, normering en subsidies. Dit totaalpakket moet er toe leiden dat de industrie in Nederland verduurzaamt. </w:t>
      </w:r>
      <w:r w:rsidRPr="00226A77">
        <w:rPr>
          <w:rFonts w:eastAsia="Verdana" w:cs="Verdana"/>
        </w:rPr>
        <w:t>Het doel van de CO</w:t>
      </w:r>
      <w:r w:rsidRPr="00226A77">
        <w:rPr>
          <w:rFonts w:eastAsia="Verdana" w:cs="Verdana"/>
          <w:vertAlign w:val="subscript"/>
        </w:rPr>
        <w:t>2</w:t>
      </w:r>
      <w:r w:rsidRPr="00226A77">
        <w:rPr>
          <w:rFonts w:eastAsia="Verdana" w:cs="Verdana"/>
        </w:rPr>
        <w:t>-heffing is altijd tweeledig geweest: stimuleren van verduurzaming mét behoud van bedrijvigheid. Het kabinet hecht grote waarde aan effectief klimaatbeleid en dat betekent dat koolstoflekkage zoveel mogelijk moet worden beperkt. Voor het klimaatprobleem maakt het immers niet uit waar op de wereld de CO</w:t>
      </w:r>
      <w:r w:rsidRPr="00226A77">
        <w:rPr>
          <w:rFonts w:eastAsia="Verdana" w:cs="Verdana"/>
          <w:vertAlign w:val="subscript"/>
        </w:rPr>
        <w:t>2</w:t>
      </w:r>
      <w:r w:rsidRPr="00226A77">
        <w:rPr>
          <w:rFonts w:eastAsia="Verdana" w:cs="Verdana"/>
        </w:rPr>
        <w:t>-emissies plaatsvinden. Om de risico’s</w:t>
      </w:r>
      <w:r w:rsidRPr="123E0853">
        <w:rPr>
          <w:rFonts w:eastAsia="Verdana" w:cs="Verdana"/>
        </w:rPr>
        <w:t xml:space="preserve"> op koolstoflekkage in de gaten te houden laat het kabinet dan ook jaarlijks een speelveldtoets uitvoeren waarin </w:t>
      </w:r>
      <w:r w:rsidRPr="123E0853">
        <w:rPr>
          <w:rFonts w:eastAsia="Verdana" w:cs="Verdana"/>
        </w:rPr>
        <w:lastRenderedPageBreak/>
        <w:t xml:space="preserve">de effecten van het Nederlandse klimaatbeleid worden onderzocht. Het nieuwe </w:t>
      </w:r>
      <w:r w:rsidRPr="0041775B">
        <w:rPr>
          <w:rFonts w:eastAsia="Verdana" w:cs="Verdana"/>
        </w:rPr>
        <w:t>rapport is recent</w:t>
      </w:r>
      <w:r w:rsidRPr="123E0853">
        <w:rPr>
          <w:rFonts w:eastAsia="Verdana" w:cs="Verdana"/>
        </w:rPr>
        <w:t xml:space="preserve"> met het voorjaarspakket met uw Kamer gedeeld</w:t>
      </w:r>
      <w:r>
        <w:rPr>
          <w:rStyle w:val="Voetnootmarkering"/>
          <w:rFonts w:eastAsia="Verdana" w:cs="Verdana"/>
        </w:rPr>
        <w:footnoteReference w:id="9"/>
      </w:r>
      <w:r w:rsidRPr="123E0853">
        <w:rPr>
          <w:rFonts w:eastAsia="Verdana" w:cs="Verdana"/>
        </w:rPr>
        <w:t>.</w:t>
      </w:r>
    </w:p>
    <w:p w:rsidR="00E95DF9" w:rsidP="00E95DF9" w:rsidRDefault="00E95DF9" w14:paraId="2854D176" w14:textId="77777777">
      <w:pPr>
        <w:rPr>
          <w:rFonts w:eastAsia="Verdana" w:cs="Verdana"/>
          <w:szCs w:val="18"/>
        </w:rPr>
      </w:pPr>
    </w:p>
    <w:p w:rsidR="00E95DF9" w:rsidP="00E95DF9" w:rsidRDefault="00E95DF9" w14:paraId="58F4660C" w14:textId="77777777">
      <w:pPr>
        <w:rPr>
          <w:rFonts w:eastAsia="Verdana" w:cs="Verdana"/>
          <w:szCs w:val="18"/>
        </w:rPr>
      </w:pPr>
      <w:r>
        <w:rPr>
          <w:rFonts w:eastAsia="Verdana" w:cs="Verdana"/>
          <w:szCs w:val="18"/>
        </w:rPr>
        <w:t>17</w:t>
      </w:r>
    </w:p>
    <w:p w:rsidR="00E95DF9" w:rsidP="00E95DF9" w:rsidRDefault="00E95DF9" w14:paraId="32FBAD75" w14:textId="77777777">
      <w:pPr>
        <w:rPr>
          <w:rFonts w:eastAsia="Verdana" w:cs="Verdana"/>
          <w:szCs w:val="18"/>
        </w:rPr>
      </w:pPr>
      <w:r w:rsidRPr="0033397E">
        <w:rPr>
          <w:rFonts w:eastAsia="Verdana" w:cs="Verdana"/>
          <w:szCs w:val="18"/>
        </w:rPr>
        <w:t>Deelt u de constatering dat dit risico zich al voordoet en dat het verlagen of schrappen van de nationale heffing een snelle en effectieve maatregel is om afschalen van industriële productie te voorkomen, zodat de Nederlandse industrie wel hier kan verduurzamen?</w:t>
      </w:r>
    </w:p>
    <w:p w:rsidR="00E95DF9" w:rsidP="00E95DF9" w:rsidRDefault="00E95DF9" w14:paraId="7C3A25D6" w14:textId="77777777">
      <w:pPr>
        <w:rPr>
          <w:rFonts w:eastAsia="Verdana" w:cs="Verdana"/>
          <w:szCs w:val="18"/>
        </w:rPr>
      </w:pPr>
    </w:p>
    <w:p w:rsidR="00E95DF9" w:rsidP="00E95DF9" w:rsidRDefault="00E95DF9" w14:paraId="5DCA75C1" w14:textId="77777777">
      <w:pPr>
        <w:rPr>
          <w:rFonts w:eastAsia="Verdana" w:cs="Verdana"/>
          <w:szCs w:val="18"/>
        </w:rPr>
      </w:pPr>
      <w:r>
        <w:rPr>
          <w:rFonts w:eastAsia="Verdana" w:cs="Verdana"/>
          <w:szCs w:val="18"/>
        </w:rPr>
        <w:t>Antwoord</w:t>
      </w:r>
    </w:p>
    <w:p w:rsidR="00E95DF9" w:rsidP="00E95DF9" w:rsidRDefault="00E95DF9" w14:paraId="3B14666C" w14:textId="77777777">
      <w:pPr>
        <w:rPr>
          <w:rFonts w:eastAsia="Verdana" w:cs="Verdana"/>
        </w:rPr>
      </w:pPr>
      <w:r>
        <w:rPr>
          <w:rFonts w:eastAsia="Verdana" w:cs="Verdana"/>
        </w:rPr>
        <w:t xml:space="preserve">Nee, het kabinet is van mening dat er sprake is van een gebalanceerd pakket aan beleidsinstrumenten waarbij de verschillende belangen, verduurzaming en bedrijvigheid, uitgebreid zijn afgewogen. Dit pakket vindt daarin een goede balans. </w:t>
      </w:r>
      <w:r w:rsidRPr="123E0853">
        <w:rPr>
          <w:rFonts w:eastAsia="Verdana" w:cs="Verdana"/>
        </w:rPr>
        <w:t>Er zijn verschillende risico’s die de industrie nu rond investeren in Nederland ervaart, uiteindelijk is het een optelsom van vele factoren. Uit de speelveldtoetsen blijkt wel dat unilateraal beleid, zoals bijvoorbeeld de nationale CO</w:t>
      </w:r>
      <w:r w:rsidRPr="123E0853">
        <w:rPr>
          <w:rFonts w:eastAsia="Verdana" w:cs="Verdana"/>
          <w:vertAlign w:val="subscript"/>
        </w:rPr>
        <w:t>2</w:t>
      </w:r>
      <w:r w:rsidRPr="123E0853">
        <w:rPr>
          <w:rFonts w:eastAsia="Verdana" w:cs="Verdana"/>
        </w:rPr>
        <w:t xml:space="preserve">-heffing het risico op weglekeffecten vergroot. De speelveldtoets stelt dat dit risico met name aanwezig is in de jaren richting 2030 waar de heffing een grotere impact heeft vanwege het oplopende tarief en aflopende dispensatierechten. Dit is onder andere waarom het kabinet heeft </w:t>
      </w:r>
      <w:r>
        <w:rPr>
          <w:rFonts w:eastAsia="Verdana" w:cs="Verdana"/>
        </w:rPr>
        <w:t>besloten</w:t>
      </w:r>
      <w:r w:rsidRPr="123E0853">
        <w:rPr>
          <w:rFonts w:eastAsia="Verdana" w:cs="Verdana"/>
        </w:rPr>
        <w:t xml:space="preserve"> om de afname van de reductiefactor aan te passen tussen 2027 en 2032, en deze minder snel af te laten lopen. Op deze manier hebben bedrijven langer meer vrije uitstootruimte, en krijgen zij de kans om tijdig verduurzamingsmaatregelen te treffen.</w:t>
      </w:r>
    </w:p>
    <w:p w:rsidR="00E95DF9" w:rsidP="00E95DF9" w:rsidRDefault="00E95DF9" w14:paraId="18AA1A00" w14:textId="77777777">
      <w:pPr>
        <w:rPr>
          <w:rFonts w:eastAsia="Verdana" w:cs="Verdana"/>
          <w:szCs w:val="18"/>
        </w:rPr>
      </w:pPr>
    </w:p>
    <w:p w:rsidRPr="00062637" w:rsidR="00E95DF9" w:rsidP="00E95DF9" w:rsidRDefault="00E95DF9" w14:paraId="50B42088" w14:textId="77777777">
      <w:pPr>
        <w:rPr>
          <w:rFonts w:eastAsia="Verdana" w:cs="Verdana"/>
        </w:rPr>
      </w:pPr>
      <w:r w:rsidRPr="1CC18A52">
        <w:rPr>
          <w:rFonts w:eastAsia="Verdana" w:cs="Verdana"/>
        </w:rPr>
        <w:t xml:space="preserve">Het is echter </w:t>
      </w:r>
      <w:r>
        <w:rPr>
          <w:rFonts w:eastAsia="Verdana" w:cs="Verdana"/>
        </w:rPr>
        <w:t xml:space="preserve">ook </w:t>
      </w:r>
      <w:r w:rsidRPr="1CC18A52">
        <w:rPr>
          <w:rFonts w:eastAsia="Verdana" w:cs="Verdana"/>
        </w:rPr>
        <w:t xml:space="preserve">belangrijk om de heffing te bezien als onderdeel van de bredere beleidsmix. Deze is in Nederland ambitieus: we hebben relatief hoge </w:t>
      </w:r>
      <w:proofErr w:type="spellStart"/>
      <w:r w:rsidRPr="1CC18A52">
        <w:rPr>
          <w:rFonts w:eastAsia="Verdana" w:cs="Verdana"/>
        </w:rPr>
        <w:t>emissiebeprijzing</w:t>
      </w:r>
      <w:proofErr w:type="spellEnd"/>
      <w:r w:rsidRPr="1CC18A52">
        <w:rPr>
          <w:rFonts w:eastAsia="Verdana" w:cs="Verdana"/>
        </w:rPr>
        <w:t>, als marginale heffing, maar zetten daar ook veel subsidies voor de industrie tegenover. Ook</w:t>
      </w:r>
      <w:r>
        <w:rPr>
          <w:rFonts w:eastAsia="Verdana" w:cs="Verdana"/>
        </w:rPr>
        <w:t xml:space="preserve"> ruim</w:t>
      </w:r>
      <w:r w:rsidRPr="1CC18A52">
        <w:rPr>
          <w:rFonts w:eastAsia="Verdana" w:cs="Verdana"/>
        </w:rPr>
        <w:t xml:space="preserve"> in vergelijking tot andere landen. Deze ambitieuze beleidsmix is </w:t>
      </w:r>
      <w:r>
        <w:rPr>
          <w:rFonts w:eastAsia="Verdana" w:cs="Verdana"/>
        </w:rPr>
        <w:t>zo ingericht</w:t>
      </w:r>
      <w:r w:rsidRPr="1CC18A52">
        <w:rPr>
          <w:rFonts w:eastAsia="Verdana" w:cs="Verdana"/>
        </w:rPr>
        <w:t xml:space="preserve"> om onze wettelijke klimaatdoelen te halen, en de KEV2024 leert ons dat er meer nodig is om deze doelen daadwerkelijk binnen bereik te brengen. Een afschaffing van de nationale </w:t>
      </w:r>
      <w:r w:rsidRPr="00EA4DEC">
        <w:rPr>
          <w:rFonts w:eastAsia="Verdana" w:cs="Verdana"/>
          <w:szCs w:val="18"/>
        </w:rPr>
        <w:t>CO</w:t>
      </w:r>
      <w:r w:rsidRPr="0060331F">
        <w:rPr>
          <w:rFonts w:eastAsia="Verdana" w:cs="Verdana"/>
          <w:szCs w:val="18"/>
          <w:vertAlign w:val="subscript"/>
        </w:rPr>
        <w:t>2</w:t>
      </w:r>
      <w:r w:rsidRPr="1CC18A52">
        <w:rPr>
          <w:rFonts w:eastAsia="Verdana" w:cs="Verdana"/>
        </w:rPr>
        <w:t xml:space="preserve">-heffing leidt tot </w:t>
      </w:r>
      <w:r>
        <w:rPr>
          <w:rFonts w:eastAsia="Verdana" w:cs="Verdana"/>
        </w:rPr>
        <w:t xml:space="preserve">een </w:t>
      </w:r>
      <w:r w:rsidRPr="1CC18A52">
        <w:rPr>
          <w:rFonts w:eastAsia="Verdana" w:cs="Verdana"/>
        </w:rPr>
        <w:t>vertraging van de verduurzaming</w:t>
      </w:r>
      <w:r>
        <w:rPr>
          <w:rFonts w:eastAsia="Verdana" w:cs="Verdana"/>
        </w:rPr>
        <w:t xml:space="preserve"> en zal deze meer afhankelijk maken van het ETS en (de beschikbaarheid van</w:t>
      </w:r>
      <w:r w:rsidRPr="1CC18A52">
        <w:rPr>
          <w:rFonts w:eastAsia="Verdana" w:cs="Verdana"/>
        </w:rPr>
        <w:t xml:space="preserve"> </w:t>
      </w:r>
      <w:r>
        <w:rPr>
          <w:rFonts w:eastAsia="Verdana" w:cs="Verdana"/>
        </w:rPr>
        <w:t>en)</w:t>
      </w:r>
      <w:r w:rsidRPr="1CC18A52">
        <w:rPr>
          <w:rFonts w:eastAsia="Verdana" w:cs="Verdana"/>
        </w:rPr>
        <w:t xml:space="preserve"> vraag naa</w:t>
      </w:r>
      <w:r>
        <w:rPr>
          <w:rFonts w:eastAsia="Verdana" w:cs="Verdana"/>
        </w:rPr>
        <w:t xml:space="preserve">r </w:t>
      </w:r>
      <w:r w:rsidRPr="1CC18A52">
        <w:rPr>
          <w:rFonts w:eastAsia="Verdana" w:cs="Verdana"/>
        </w:rPr>
        <w:t xml:space="preserve">subsidies. De </w:t>
      </w:r>
      <w:r>
        <w:rPr>
          <w:rFonts w:eastAsia="Verdana" w:cs="Verdana"/>
        </w:rPr>
        <w:t xml:space="preserve">ambitieuze </w:t>
      </w:r>
      <w:r w:rsidRPr="1CC18A52">
        <w:rPr>
          <w:rFonts w:eastAsia="Verdana" w:cs="Verdana"/>
        </w:rPr>
        <w:t>beleidsmix</w:t>
      </w:r>
      <w:r>
        <w:rPr>
          <w:rFonts w:eastAsia="Verdana" w:cs="Verdana"/>
        </w:rPr>
        <w:t xml:space="preserve"> met hoge </w:t>
      </w:r>
      <w:proofErr w:type="spellStart"/>
      <w:r>
        <w:rPr>
          <w:rFonts w:eastAsia="Verdana" w:cs="Verdana"/>
        </w:rPr>
        <w:t>emissiebeprijzing</w:t>
      </w:r>
      <w:proofErr w:type="spellEnd"/>
      <w:r>
        <w:rPr>
          <w:rFonts w:eastAsia="Verdana" w:cs="Verdana"/>
        </w:rPr>
        <w:t xml:space="preserve"> maar ook ruime beschikbaarheid van subsidies</w:t>
      </w:r>
      <w:r w:rsidRPr="1CC18A52">
        <w:rPr>
          <w:rFonts w:eastAsia="Verdana" w:cs="Verdana"/>
        </w:rPr>
        <w:t xml:space="preserve"> </w:t>
      </w:r>
      <w:r>
        <w:rPr>
          <w:rFonts w:eastAsia="Verdana" w:cs="Verdana"/>
        </w:rPr>
        <w:t xml:space="preserve">(ook voor de komende jaren) </w:t>
      </w:r>
      <w:r w:rsidRPr="1CC18A52">
        <w:rPr>
          <w:rFonts w:eastAsia="Verdana" w:cs="Verdana"/>
        </w:rPr>
        <w:t xml:space="preserve">maakt het mogelijk om nu juist de verduurzaming te versnellen. </w:t>
      </w:r>
    </w:p>
    <w:p w:rsidR="002C3023" w:rsidRDefault="002C3023" w14:paraId="2950D388" w14:textId="77777777"/>
    <w:sectPr w:rsidR="002C3023" w:rsidSect="00E95DF9">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D9DE8" w14:textId="77777777" w:rsidR="00E95DF9" w:rsidRDefault="00E95DF9" w:rsidP="00E95DF9">
      <w:pPr>
        <w:spacing w:after="0" w:line="240" w:lineRule="auto"/>
      </w:pPr>
      <w:r>
        <w:separator/>
      </w:r>
    </w:p>
  </w:endnote>
  <w:endnote w:type="continuationSeparator" w:id="0">
    <w:p w14:paraId="381940F9" w14:textId="77777777" w:rsidR="00E95DF9" w:rsidRDefault="00E95DF9" w:rsidP="00E95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5DC4A" w14:textId="77777777" w:rsidR="00E95DF9" w:rsidRPr="00E95DF9" w:rsidRDefault="00E95DF9" w:rsidP="00E95DF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86874" w14:textId="77777777" w:rsidR="00E95DF9" w:rsidRPr="00E95DF9" w:rsidRDefault="00E95DF9" w:rsidP="00E95DF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5FBD6" w14:textId="77777777" w:rsidR="00E95DF9" w:rsidRPr="00E95DF9" w:rsidRDefault="00E95DF9" w:rsidP="00E95DF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86E23" w14:textId="77777777" w:rsidR="00E95DF9" w:rsidRDefault="00E95DF9" w:rsidP="00E95DF9">
      <w:pPr>
        <w:spacing w:after="0" w:line="240" w:lineRule="auto"/>
      </w:pPr>
      <w:r>
        <w:separator/>
      </w:r>
    </w:p>
  </w:footnote>
  <w:footnote w:type="continuationSeparator" w:id="0">
    <w:p w14:paraId="5FCE7485" w14:textId="77777777" w:rsidR="00E95DF9" w:rsidRDefault="00E95DF9" w:rsidP="00E95DF9">
      <w:pPr>
        <w:spacing w:after="0" w:line="240" w:lineRule="auto"/>
      </w:pPr>
      <w:r>
        <w:continuationSeparator/>
      </w:r>
    </w:p>
  </w:footnote>
  <w:footnote w:id="1">
    <w:p w14:paraId="1E1556AD" w14:textId="77777777" w:rsidR="00E95DF9" w:rsidRDefault="00E95DF9" w:rsidP="00E95DF9">
      <w:pPr>
        <w:pStyle w:val="Voetnoottekst"/>
      </w:pPr>
      <w:r w:rsidRPr="702FFBDD">
        <w:rPr>
          <w:rStyle w:val="Voetnootmarkering"/>
        </w:rPr>
        <w:footnoteRef/>
      </w:r>
      <w:r>
        <w:t xml:space="preserve"> Kamerstukken II 2024/25, 29 826, nr. 234. </w:t>
      </w:r>
    </w:p>
  </w:footnote>
  <w:footnote w:id="2">
    <w:p w14:paraId="33AAE631" w14:textId="77777777" w:rsidR="00E95DF9" w:rsidRDefault="00E95DF9" w:rsidP="00E95DF9">
      <w:pPr>
        <w:pStyle w:val="Voetnoottekst"/>
      </w:pPr>
      <w:r w:rsidRPr="0B5486B1">
        <w:rPr>
          <w:rStyle w:val="Voetnootmarkering"/>
        </w:rPr>
        <w:footnoteRef/>
      </w:r>
      <w:r>
        <w:t xml:space="preserve"> Bijlage bij Kamerstukken II 2024/25, 32 813, nr. 1416.</w:t>
      </w:r>
    </w:p>
  </w:footnote>
  <w:footnote w:id="3">
    <w:p w14:paraId="3E4DBA3F" w14:textId="77777777" w:rsidR="00E95DF9" w:rsidRDefault="00E95DF9" w:rsidP="00E95DF9">
      <w:pPr>
        <w:pStyle w:val="Voetnoottekst"/>
      </w:pPr>
      <w:r>
        <w:rPr>
          <w:rStyle w:val="Voetnootmarkering"/>
        </w:rPr>
        <w:footnoteRef/>
      </w:r>
      <w:r>
        <w:t xml:space="preserve"> </w:t>
      </w:r>
      <w:hyperlink r:id="rId1" w:history="1">
        <w:r w:rsidRPr="00134B5C">
          <w:rPr>
            <w:rFonts w:ascii="Helvetica Neue" w:hAnsi="Helvetica Neue" w:cs="Helvetica Neue"/>
            <w:color w:val="094FD1"/>
            <w:sz w:val="16"/>
            <w:szCs w:val="16"/>
            <w:u w:val="single" w:color="094FD1"/>
            <w:lang w:eastAsia="en-US"/>
          </w:rPr>
          <w:t>https://www.emissieautoriteit.nl/actueel/nieuws/2025/05/01/nea-verwacht-nog-geen-opbrengsten-co2-heffing-industrie-over-2024</w:t>
        </w:r>
      </w:hyperlink>
    </w:p>
  </w:footnote>
  <w:footnote w:id="4">
    <w:p w14:paraId="46EED190" w14:textId="77777777" w:rsidR="00E95DF9" w:rsidRPr="007A694B" w:rsidRDefault="00E95DF9" w:rsidP="00E95DF9">
      <w:pPr>
        <w:pStyle w:val="Voetnoottekst"/>
      </w:pPr>
      <w:r>
        <w:rPr>
          <w:rStyle w:val="Voetnootmarkering"/>
        </w:rPr>
        <w:footnoteRef/>
      </w:r>
      <w:r>
        <w:t xml:space="preserve"> </w:t>
      </w:r>
      <w:hyperlink r:id="rId2" w:history="1">
        <w:r w:rsidRPr="00B00C93">
          <w:rPr>
            <w:rStyle w:val="Hyperlink"/>
          </w:rPr>
          <w:t>Ramingstoelichtingen en CPB certificering Belastingplan 2025 | Rapport | Rijksoverheid.nl</w:t>
        </w:r>
      </w:hyperlink>
      <w:r>
        <w:t xml:space="preserve"> </w:t>
      </w:r>
    </w:p>
  </w:footnote>
  <w:footnote w:id="5">
    <w:p w14:paraId="52EA5083" w14:textId="77777777" w:rsidR="00E95DF9" w:rsidRDefault="00E95DF9" w:rsidP="00E95DF9">
      <w:pPr>
        <w:pStyle w:val="Voetnoottekst"/>
      </w:pPr>
      <w:r>
        <w:rPr>
          <w:rStyle w:val="Voetnootmarkering"/>
        </w:rPr>
        <w:footnoteRef/>
      </w:r>
      <w:r>
        <w:t xml:space="preserve"> Kamerstukken II 2024/25, 33 043, nr. 114. </w:t>
      </w:r>
    </w:p>
  </w:footnote>
  <w:footnote w:id="6">
    <w:p w14:paraId="021F8B35" w14:textId="77777777" w:rsidR="00E95DF9" w:rsidRPr="00D25BC7" w:rsidRDefault="00E95DF9" w:rsidP="00E95DF9">
      <w:pPr>
        <w:pStyle w:val="Voetnoottekst"/>
      </w:pPr>
      <w:r>
        <w:rPr>
          <w:rStyle w:val="Voetnootmarkering"/>
        </w:rPr>
        <w:footnoteRef/>
      </w:r>
      <w:r>
        <w:t xml:space="preserve"> </w:t>
      </w:r>
      <w:r w:rsidRPr="00D25BC7">
        <w:t>Planbureau van de Leefomgeving, 15 april 2024, 'Tariefstudie 2024: analyse tarief CO2-heffing industrie'. (</w:t>
      </w:r>
      <w:hyperlink r:id="rId3" w:history="1">
        <w:r w:rsidRPr="006E508E">
          <w:rPr>
            <w:rStyle w:val="Hyperlink"/>
          </w:rPr>
          <w:t>https://www.pbl.nl/system/files/document/2024-04/pbl-2024-analyse-tarief-co2-heffing-industrie-tariefstudie-2024_5250.pdf</w:t>
        </w:r>
      </w:hyperlink>
      <w:r w:rsidRPr="00D25BC7">
        <w:t>)</w:t>
      </w:r>
    </w:p>
  </w:footnote>
  <w:footnote w:id="7">
    <w:p w14:paraId="0F2C2D06" w14:textId="77777777" w:rsidR="00E95DF9" w:rsidRPr="00FD5BB5" w:rsidRDefault="00E95DF9" w:rsidP="00E95DF9">
      <w:pPr>
        <w:pStyle w:val="Voetnoottekst"/>
      </w:pPr>
      <w:r>
        <w:rPr>
          <w:rStyle w:val="Voetnootmarkering"/>
        </w:rPr>
        <w:footnoteRef/>
      </w:r>
      <w:r>
        <w:t xml:space="preserve"> </w:t>
      </w:r>
      <w:r w:rsidRPr="00DA6494">
        <w:t>Kamerstuk II</w:t>
      </w:r>
      <w:r>
        <w:t xml:space="preserve"> 2024/25, 29 826, nr. 214. </w:t>
      </w:r>
    </w:p>
  </w:footnote>
  <w:footnote w:id="8">
    <w:p w14:paraId="2CC7FE93" w14:textId="77777777" w:rsidR="00E95DF9" w:rsidRPr="00FD5BB5" w:rsidRDefault="00E95DF9" w:rsidP="00E95DF9">
      <w:pPr>
        <w:pStyle w:val="Voetnoottekst"/>
      </w:pPr>
      <w:r>
        <w:rPr>
          <w:rStyle w:val="Voetnootmarkering"/>
        </w:rPr>
        <w:footnoteRef/>
      </w:r>
      <w:r>
        <w:t xml:space="preserve"> </w:t>
      </w:r>
      <w:r w:rsidRPr="00DA6494">
        <w:t xml:space="preserve">Kamerstuk II 2023/24, 36 410-XIII-40. </w:t>
      </w:r>
    </w:p>
  </w:footnote>
  <w:footnote w:id="9">
    <w:p w14:paraId="0F7E0B26" w14:textId="77777777" w:rsidR="00E95DF9" w:rsidRPr="00134B5C" w:rsidRDefault="00E95DF9" w:rsidP="00E95DF9">
      <w:pPr>
        <w:pStyle w:val="Voetnoottekst"/>
      </w:pPr>
      <w:r>
        <w:rPr>
          <w:rStyle w:val="Voetnootmarkering"/>
        </w:rPr>
        <w:footnoteRef/>
      </w:r>
      <w:r>
        <w:t xml:space="preserve"> </w:t>
      </w:r>
      <w:r w:rsidRPr="00134B5C">
        <w:t>Bijlagen bij Kamerstukken II 2024/25, 33 043, nr.</w:t>
      </w:r>
      <w:r>
        <w:t xml:space="preserve"> 114.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34648" w14:textId="77777777" w:rsidR="00E95DF9" w:rsidRPr="00E95DF9" w:rsidRDefault="00E95DF9" w:rsidP="00E95DF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05790" w14:textId="77777777" w:rsidR="00E95DF9" w:rsidRPr="00E95DF9" w:rsidRDefault="00E95DF9" w:rsidP="00E95DF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18C01" w14:textId="77777777" w:rsidR="00E95DF9" w:rsidRPr="00E95DF9" w:rsidRDefault="00E95DF9" w:rsidP="00E95DF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DF9"/>
    <w:rsid w:val="002663AB"/>
    <w:rsid w:val="002C3023"/>
    <w:rsid w:val="00DF7A30"/>
    <w:rsid w:val="00E95D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338ED"/>
  <w15:chartTrackingRefBased/>
  <w15:docId w15:val="{475D47EC-B161-4B92-B31B-45595B076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95D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95D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95DF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95DF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95DF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95DF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95DF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95DF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95DF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95DF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95DF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95DF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95DF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95DF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95DF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95DF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95DF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95DF9"/>
    <w:rPr>
      <w:rFonts w:eastAsiaTheme="majorEastAsia" w:cstheme="majorBidi"/>
      <w:color w:val="272727" w:themeColor="text1" w:themeTint="D8"/>
    </w:rPr>
  </w:style>
  <w:style w:type="paragraph" w:styleId="Titel">
    <w:name w:val="Title"/>
    <w:basedOn w:val="Standaard"/>
    <w:next w:val="Standaard"/>
    <w:link w:val="TitelChar"/>
    <w:uiPriority w:val="10"/>
    <w:qFormat/>
    <w:rsid w:val="00E95D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95DF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95DF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95DF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95DF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95DF9"/>
    <w:rPr>
      <w:i/>
      <w:iCs/>
      <w:color w:val="404040" w:themeColor="text1" w:themeTint="BF"/>
    </w:rPr>
  </w:style>
  <w:style w:type="paragraph" w:styleId="Lijstalinea">
    <w:name w:val="List Paragraph"/>
    <w:basedOn w:val="Standaard"/>
    <w:uiPriority w:val="34"/>
    <w:qFormat/>
    <w:rsid w:val="00E95DF9"/>
    <w:pPr>
      <w:ind w:left="720"/>
      <w:contextualSpacing/>
    </w:pPr>
  </w:style>
  <w:style w:type="character" w:styleId="Intensievebenadrukking">
    <w:name w:val="Intense Emphasis"/>
    <w:basedOn w:val="Standaardalinea-lettertype"/>
    <w:uiPriority w:val="21"/>
    <w:qFormat/>
    <w:rsid w:val="00E95DF9"/>
    <w:rPr>
      <w:i/>
      <w:iCs/>
      <w:color w:val="0F4761" w:themeColor="accent1" w:themeShade="BF"/>
    </w:rPr>
  </w:style>
  <w:style w:type="paragraph" w:styleId="Duidelijkcitaat">
    <w:name w:val="Intense Quote"/>
    <w:basedOn w:val="Standaard"/>
    <w:next w:val="Standaard"/>
    <w:link w:val="DuidelijkcitaatChar"/>
    <w:uiPriority w:val="30"/>
    <w:qFormat/>
    <w:rsid w:val="00E95D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95DF9"/>
    <w:rPr>
      <w:i/>
      <w:iCs/>
      <w:color w:val="0F4761" w:themeColor="accent1" w:themeShade="BF"/>
    </w:rPr>
  </w:style>
  <w:style w:type="character" w:styleId="Intensieveverwijzing">
    <w:name w:val="Intense Reference"/>
    <w:basedOn w:val="Standaardalinea-lettertype"/>
    <w:uiPriority w:val="32"/>
    <w:qFormat/>
    <w:rsid w:val="00E95DF9"/>
    <w:rPr>
      <w:b/>
      <w:bCs/>
      <w:smallCaps/>
      <w:color w:val="0F4761" w:themeColor="accent1" w:themeShade="BF"/>
      <w:spacing w:val="5"/>
    </w:rPr>
  </w:style>
  <w:style w:type="paragraph" w:styleId="Koptekst">
    <w:name w:val="header"/>
    <w:basedOn w:val="Standaard"/>
    <w:link w:val="KoptekstChar"/>
    <w:rsid w:val="00E95DF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E95DF9"/>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E95DF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E95DF9"/>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E95DF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95DF9"/>
    <w:rPr>
      <w:rFonts w:ascii="Verdana" w:hAnsi="Verdana"/>
      <w:noProof/>
      <w:sz w:val="13"/>
      <w:szCs w:val="24"/>
      <w:lang w:eastAsia="nl-NL"/>
    </w:rPr>
  </w:style>
  <w:style w:type="paragraph" w:customStyle="1" w:styleId="Huisstijl-Gegeven">
    <w:name w:val="Huisstijl-Gegeven"/>
    <w:basedOn w:val="Standaard"/>
    <w:link w:val="Huisstijl-GegevenCharChar"/>
    <w:rsid w:val="00E95DF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95DF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E95DF9"/>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E95DF9"/>
    <w:rPr>
      <w:color w:val="0000FF"/>
      <w:u w:val="single"/>
    </w:rPr>
  </w:style>
  <w:style w:type="paragraph" w:customStyle="1" w:styleId="Huisstijl-Retouradres">
    <w:name w:val="Huisstijl-Retouradres"/>
    <w:basedOn w:val="Standaard"/>
    <w:uiPriority w:val="99"/>
    <w:rsid w:val="00E95DF9"/>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E95DF9"/>
    <w:pPr>
      <w:spacing w:after="0"/>
    </w:pPr>
    <w:rPr>
      <w:b/>
    </w:rPr>
  </w:style>
  <w:style w:type="paragraph" w:customStyle="1" w:styleId="Huisstijl-Paginanummering">
    <w:name w:val="Huisstijl-Paginanummering"/>
    <w:basedOn w:val="Standaard"/>
    <w:uiPriority w:val="99"/>
    <w:rsid w:val="00E95DF9"/>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E95DF9"/>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E95DF9"/>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E95DF9"/>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E95DF9"/>
    <w:rPr>
      <w:vertAlign w:val="superscript"/>
    </w:rPr>
  </w:style>
  <w:style w:type="table" w:styleId="Lijsttabel3-Accent1">
    <w:name w:val="List Table 3 Accent 1"/>
    <w:basedOn w:val="Standaardtabel"/>
    <w:uiPriority w:val="48"/>
    <w:rsid w:val="00E95DF9"/>
    <w:pPr>
      <w:spacing w:after="0" w:line="240" w:lineRule="auto"/>
    </w:pPr>
    <w:rPr>
      <w:kern w:val="0"/>
      <w:sz w:val="24"/>
      <w:szCs w:val="24"/>
      <w14:ligatures w14:val="none"/>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paragraph" w:styleId="Geenafstand">
    <w:name w:val="No Spacing"/>
    <w:uiPriority w:val="1"/>
    <w:qFormat/>
    <w:rsid w:val="00E95D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pbl.nl/system/files/document/2024-04/pbl-2024-analyse-tarief-co2-heffing-industrie-tariefstudie-2024_5250.pdf" TargetMode="External"/><Relationship Id="rId2" Type="http://schemas.openxmlformats.org/officeDocument/2006/relationships/hyperlink" Target="https://www.rijksoverheid.nl/documenten/rapporten/2024/09/17/ramingstoelichtingen-en-cpb-certificering" TargetMode="External"/><Relationship Id="rId1" Type="http://schemas.openxmlformats.org/officeDocument/2006/relationships/hyperlink" Target="https://www.emissieautoriteit.nl/actueel/nieuws/2025/05/01/nea-verwacht-nog-geen-opbrengsten-co2-heffing-industrie-over-202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ap:Pages>
  <ap:Words>4703</ap:Words>
  <ap:Characters>25871</ap:Characters>
  <ap:DocSecurity>0</ap:DocSecurity>
  <ap:Lines>215</ap:Lines>
  <ap:Paragraphs>61</ap:Paragraphs>
  <ap:ScaleCrop>false</ap:ScaleCrop>
  <ap:LinksUpToDate>false</ap:LinksUpToDate>
  <ap:CharactersWithSpaces>30513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2025-06-02T12:42:00.0000000Z</dcterms:created>
  <dcterms:modified xsi:type="dcterms:W3CDTF">2025-06-02T12:44:00.0000000Z</dcterms:modified>
  <version/>
  <category/>
</coreProperties>
</file>