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BD2" w:rsidR="00790BD2" w:rsidP="00790BD2" w:rsidRDefault="00790BD2" w14:paraId="1673FBA7" w14:textId="2FEC7485">
      <w:pPr>
        <w:pStyle w:val="Geenafstand"/>
        <w:rPr>
          <w:b/>
          <w:bCs/>
        </w:rPr>
      </w:pPr>
      <w:r w:rsidRPr="00790BD2">
        <w:rPr>
          <w:b/>
          <w:bCs/>
        </w:rPr>
        <w:t>AH 2343</w:t>
      </w:r>
    </w:p>
    <w:p w:rsidR="00790BD2" w:rsidP="00790BD2" w:rsidRDefault="00790BD2" w14:paraId="0EE5CF83" w14:textId="662557CB">
      <w:pPr>
        <w:pStyle w:val="Geenafstand"/>
        <w:rPr>
          <w:b/>
          <w:bCs/>
        </w:rPr>
      </w:pPr>
      <w:r w:rsidRPr="00790BD2">
        <w:rPr>
          <w:b/>
          <w:bCs/>
        </w:rPr>
        <w:t>2025Z05225</w:t>
      </w:r>
    </w:p>
    <w:p w:rsidRPr="00790BD2" w:rsidR="00790BD2" w:rsidP="00790BD2" w:rsidRDefault="00790BD2" w14:paraId="68C1C625" w14:textId="77777777">
      <w:pPr>
        <w:pStyle w:val="Geenafstand"/>
        <w:rPr>
          <w:b/>
          <w:bCs/>
        </w:rPr>
      </w:pPr>
    </w:p>
    <w:p w:rsidR="00790BD2" w:rsidP="00790BD2" w:rsidRDefault="00790BD2" w14:paraId="15B0D4A1" w14:textId="3CA6A866">
      <w:pPr>
        <w:pStyle w:val="Geenafstand"/>
        <w:rPr>
          <w:sz w:val="24"/>
          <w:szCs w:val="24"/>
        </w:rPr>
      </w:pPr>
      <w:r w:rsidRPr="00790BD2">
        <w:rPr>
          <w:sz w:val="24"/>
          <w:szCs w:val="24"/>
        </w:rPr>
        <w:t>Antwoord van minister Van Weel (Justitie en Veiligheid)</w:t>
      </w:r>
      <w:r>
        <w:rPr>
          <w:sz w:val="24"/>
          <w:szCs w:val="24"/>
        </w:rPr>
        <w:t xml:space="preserve">, mede namens de </w:t>
      </w:r>
      <w:r w:rsidRPr="00790BD2">
        <w:rPr>
          <w:sz w:val="24"/>
          <w:szCs w:val="24"/>
        </w:rPr>
        <w:t>minister van Landbouw, Visserij, Voedselzekerheid en Natuur (ontvangen</w:t>
      </w:r>
      <w:r>
        <w:rPr>
          <w:sz w:val="24"/>
          <w:szCs w:val="24"/>
        </w:rPr>
        <w:t xml:space="preserve"> 2 juni 2025)</w:t>
      </w:r>
    </w:p>
    <w:p w:rsidR="00790BD2" w:rsidP="00790BD2" w:rsidRDefault="00790BD2" w14:paraId="1F6446C0" w14:textId="77777777">
      <w:pPr>
        <w:rPr>
          <w:b/>
          <w:bCs/>
          <w:sz w:val="24"/>
          <w:szCs w:val="24"/>
        </w:rPr>
      </w:pPr>
    </w:p>
    <w:p w:rsidRPr="00790BD2" w:rsidR="00790BD2" w:rsidP="00790BD2" w:rsidRDefault="00790BD2" w14:paraId="39EACB38" w14:textId="322D7F9B">
      <w:pPr>
        <w:rPr>
          <w:sz w:val="24"/>
          <w:szCs w:val="24"/>
        </w:rPr>
      </w:pPr>
      <w:r w:rsidRPr="00790BD2">
        <w:rPr>
          <w:sz w:val="24"/>
          <w:szCs w:val="24"/>
        </w:rPr>
        <w:t>Zie ook Aanhangsel Handelingen, vergaderjaar 2024-2025, nr. 1913</w:t>
      </w:r>
    </w:p>
    <w:p w:rsidRPr="00790BD2" w:rsidR="00790BD2" w:rsidP="00790BD2" w:rsidRDefault="00790BD2" w14:paraId="0D909647" w14:textId="77777777">
      <w:pPr>
        <w:rPr>
          <w:b/>
          <w:bCs/>
          <w:sz w:val="24"/>
          <w:szCs w:val="24"/>
        </w:rPr>
      </w:pPr>
    </w:p>
    <w:p w:rsidRPr="00A03DFD" w:rsidR="00790BD2" w:rsidP="00790BD2" w:rsidRDefault="00790BD2" w14:paraId="7A8A03AA" w14:textId="77777777">
      <w:pPr>
        <w:rPr>
          <w:b/>
          <w:bCs/>
        </w:rPr>
      </w:pPr>
      <w:r w:rsidRPr="00A03DFD">
        <w:rPr>
          <w:b/>
          <w:bCs/>
        </w:rPr>
        <w:t>Vraag 1</w:t>
      </w:r>
    </w:p>
    <w:p w:rsidRPr="00A03DFD" w:rsidR="00790BD2" w:rsidP="00790BD2" w:rsidRDefault="00790BD2" w14:paraId="1BBB9456" w14:textId="77777777">
      <w:pPr>
        <w:rPr>
          <w:b/>
          <w:bCs/>
        </w:rPr>
      </w:pPr>
      <w:r w:rsidRPr="00A03DFD">
        <w:rPr>
          <w:b/>
          <w:bCs/>
        </w:rPr>
        <w:t>Aangezien het gerechtshof ’s-Hertogenbosch in de uitspraak van 16 december 2024 (ECLI:NL:GHSHE:2024:4005) erop wijst dat “van wederrechtelijk binnendringen als bedoeld in art. 138 Sr volgens de Hoge Raad evenwel geen sprake [is] indien buiten twijfel is gesteld dat ‘dit uit anderen hoofde gerechtvaardigd is’, waarbij onder andere kan worden gedacht aan het binnen de grenzen van proportionaliteit en subsidiariteit uitoefenen van het demonstratierecht”; hoe interpreteert u dat er volgens de Hoge Raad geen sprake is van ‘wederrechtelijk’ binnendringen in de zin van artikel 138 als ‘dit uit anderen hoofde gerechtvaardigd is’, onder andere bij het uitoefenen van het demonstratierecht?</w:t>
      </w:r>
    </w:p>
    <w:p w:rsidRPr="00A03DFD" w:rsidR="00790BD2" w:rsidP="00790BD2" w:rsidRDefault="00790BD2" w14:paraId="06365939" w14:textId="77777777">
      <w:pPr>
        <w:rPr>
          <w:b/>
          <w:bCs/>
        </w:rPr>
      </w:pPr>
    </w:p>
    <w:p w:rsidRPr="00A03DFD" w:rsidR="00790BD2" w:rsidP="00790BD2" w:rsidRDefault="00790BD2" w14:paraId="6E09991A" w14:textId="77777777">
      <w:r w:rsidRPr="00A03DFD">
        <w:rPr>
          <w:b/>
          <w:bCs/>
        </w:rPr>
        <w:t>Antwoord op vraag 1</w:t>
      </w:r>
      <w:r w:rsidRPr="00A03DFD">
        <w:rPr>
          <w:b/>
          <w:bCs/>
        </w:rPr>
        <w:br/>
      </w:r>
      <w:r w:rsidRPr="00A03DFD">
        <w:t xml:space="preserve">Ik heb begrip voor het ongemak dat het vonnis bij sommigen zal opleveren. Tegelijkertijd is er wel sprake van een rechterlijk en onafhankelijk vonnis dat we hebben te respecteren en dat ik als minister ook niet inhoudelijk zal becommentariëren. </w:t>
      </w:r>
      <w:r w:rsidRPr="00A03DFD">
        <w:br/>
      </w:r>
      <w:r w:rsidRPr="00A03DFD">
        <w:br/>
        <w:t xml:space="preserve">Het begrip “wederrechtelijk binnendringen” in artikel 138 Wetboek van Strafrecht (hierna Sr) wordt in algemene zin geïnterpreteerd als het zonder recht of toestemming betreden van een besloten ruimte. Een besloten ruimte hoeft hiervoor niet afgesloten te zijn met bijvoorbeeld een slot. </w:t>
      </w:r>
    </w:p>
    <w:p w:rsidRPr="00A03DFD" w:rsidR="00790BD2" w:rsidP="00790BD2" w:rsidRDefault="00790BD2" w14:paraId="01435989" w14:textId="77777777"/>
    <w:p w:rsidRPr="00A03DFD" w:rsidR="00790BD2" w:rsidP="00790BD2" w:rsidRDefault="00790BD2" w14:paraId="0FCE7D37" w14:textId="77777777">
      <w:r w:rsidRPr="00A03DFD">
        <w:t xml:space="preserve">Specifiek gaat het in dit soort situaties over twee grondrechten, het recht op eigendom en het recht om te demonstreren (wat voortkomt uit het recht op vrijheid van meningsuiting en het recht op vereniging en vergadering). Het is aan de rechter om per geval – in het kader van proportionaliteit en subsidiariteit – te beoordelen of een inbreuk op het eigendomsrecht is gerechtvaardigd binnen de context van een demonstratie. Daarbij kijkt de rechter bijvoorbeeld naar het karakter van de demonstratie en de mate van de inbreuk op het </w:t>
      </w:r>
      <w:r w:rsidRPr="00A03DFD">
        <w:lastRenderedPageBreak/>
        <w:t xml:space="preserve">eigendomsrecht. Dat kan betekenen dat wanneer de rechter in een bepaalde situatie tot het oordeel komt dat een demonstratie binnen de grenzen van proportionaliteit en subsidiariteit valt, er geen sprake is van wederrechtelijk binnendringen in de zin van artikel 138 Sr. </w:t>
      </w:r>
    </w:p>
    <w:p w:rsidRPr="00A03DFD" w:rsidR="00790BD2" w:rsidP="00790BD2" w:rsidRDefault="00790BD2" w14:paraId="7FA67368" w14:textId="77777777"/>
    <w:p w:rsidRPr="00A03DFD" w:rsidR="00790BD2" w:rsidP="00790BD2" w:rsidRDefault="00790BD2" w14:paraId="2FA64C9D" w14:textId="77777777">
      <w:pPr>
        <w:rPr>
          <w:i/>
          <w:iCs/>
        </w:rPr>
      </w:pPr>
      <w:r w:rsidRPr="00A03DFD">
        <w:t>Het kabinet wil in algemene zin een scherper onderscheid te maken tussen ontwrichtende acties en vreedzame demonstraties. Ook bij het illegaal betreden en/of bezetten van stallen kan zo’n onderscheid aan de orde zijn. Het eerder aangekondigde onderzoek dat via het Wetenschappelijk Onderzoek- en Datacentrum (WODC) wordt uitgevoerd verkent de mate waarin het wettelijk kader bestendigd kan worden en het handelingsperspectief voor alle betrokkenen verstevigd kan worden. De uitkomsten van dit onderzoek worden in de zomer van 2025 verwacht en zullen hier naar verwachting aan bijdragen.</w:t>
      </w:r>
      <w:r w:rsidRPr="00A03DFD">
        <w:br/>
      </w:r>
    </w:p>
    <w:p w:rsidRPr="00A03DFD" w:rsidR="00790BD2" w:rsidP="00790BD2" w:rsidRDefault="00790BD2" w14:paraId="19D5ED97" w14:textId="77777777">
      <w:pPr>
        <w:rPr>
          <w:b/>
          <w:bCs/>
        </w:rPr>
      </w:pPr>
    </w:p>
    <w:p w:rsidRPr="00A03DFD" w:rsidR="00790BD2" w:rsidP="00790BD2" w:rsidRDefault="00790BD2" w14:paraId="3F08896E" w14:textId="77777777">
      <w:pPr>
        <w:rPr>
          <w:b/>
          <w:bCs/>
        </w:rPr>
      </w:pPr>
    </w:p>
    <w:p w:rsidRPr="00A03DFD" w:rsidR="00790BD2" w:rsidP="00790BD2" w:rsidRDefault="00790BD2" w14:paraId="458D170E" w14:textId="77777777">
      <w:pPr>
        <w:rPr>
          <w:b/>
          <w:bCs/>
        </w:rPr>
      </w:pPr>
    </w:p>
    <w:p w:rsidRPr="00A03DFD" w:rsidR="00790BD2" w:rsidP="00790BD2" w:rsidRDefault="00790BD2" w14:paraId="50BA429C" w14:textId="77777777">
      <w:pPr>
        <w:rPr>
          <w:b/>
          <w:bCs/>
        </w:rPr>
      </w:pPr>
      <w:r w:rsidRPr="00A03DFD">
        <w:rPr>
          <w:b/>
          <w:bCs/>
        </w:rPr>
        <w:t>Vraag 2</w:t>
      </w:r>
    </w:p>
    <w:p w:rsidRPr="00A03DFD" w:rsidR="00790BD2" w:rsidP="00790BD2" w:rsidRDefault="00790BD2" w14:paraId="149A424D" w14:textId="77777777">
      <w:pPr>
        <w:rPr>
          <w:b/>
          <w:bCs/>
        </w:rPr>
      </w:pPr>
      <w:r w:rsidRPr="00A03DFD">
        <w:rPr>
          <w:b/>
          <w:bCs/>
        </w:rPr>
        <w:t>Meent u dat de uitzondering die de Hoge Raad toelaat ook op private verhoudingen mag worden toegepast of enkel tussen overheid en burger?</w:t>
      </w:r>
    </w:p>
    <w:p w:rsidRPr="00A03DFD" w:rsidR="00790BD2" w:rsidP="00790BD2" w:rsidRDefault="00790BD2" w14:paraId="7CEE3F76" w14:textId="77777777">
      <w:pPr>
        <w:rPr>
          <w:b/>
          <w:bCs/>
        </w:rPr>
      </w:pPr>
    </w:p>
    <w:p w:rsidRPr="00A03DFD" w:rsidR="00790BD2" w:rsidP="00790BD2" w:rsidRDefault="00790BD2" w14:paraId="5B059A9C" w14:textId="77777777">
      <w:pPr>
        <w:rPr>
          <w:b/>
          <w:bCs/>
        </w:rPr>
      </w:pPr>
      <w:r w:rsidRPr="00A03DFD">
        <w:rPr>
          <w:b/>
          <w:bCs/>
        </w:rPr>
        <w:t>Antwoord op vraag 2</w:t>
      </w:r>
    </w:p>
    <w:p w:rsidRPr="00A03DFD" w:rsidR="00790BD2" w:rsidP="00790BD2" w:rsidRDefault="00790BD2" w14:paraId="01093F8C" w14:textId="77777777">
      <w:r w:rsidRPr="00A03DFD">
        <w:t>De afweging tussen grondrechten, zoals het demonstratierecht en het eigendomsrecht, kan zowel in de verhouding tussen overheid en burger als in private verhoudingen aan de orde zijn. Het is aan de rechter om in elk individueel geval te beoordelen hoe deze belangen zich tot elkaar verhouden en of er sprake is van een rechtvaardiging voor het handelen.</w:t>
      </w:r>
    </w:p>
    <w:p w:rsidRPr="00A03DFD" w:rsidR="00790BD2" w:rsidP="00790BD2" w:rsidRDefault="00790BD2" w14:paraId="5AD78E69" w14:textId="77777777"/>
    <w:p w:rsidRPr="00A03DFD" w:rsidR="00790BD2" w:rsidP="00790BD2" w:rsidRDefault="00790BD2" w14:paraId="1A7F46F6" w14:textId="77777777">
      <w:pPr>
        <w:rPr>
          <w:b/>
          <w:bCs/>
        </w:rPr>
      </w:pPr>
      <w:r w:rsidRPr="00A03DFD">
        <w:rPr>
          <w:b/>
          <w:bCs/>
        </w:rPr>
        <w:t>Vraag 3</w:t>
      </w:r>
    </w:p>
    <w:p w:rsidRPr="00A03DFD" w:rsidR="00790BD2" w:rsidP="00790BD2" w:rsidRDefault="00790BD2" w14:paraId="1FD21121" w14:textId="77777777">
      <w:pPr>
        <w:rPr>
          <w:b/>
          <w:bCs/>
        </w:rPr>
      </w:pPr>
      <w:r w:rsidRPr="00A03DFD">
        <w:rPr>
          <w:b/>
          <w:bCs/>
        </w:rPr>
        <w:t xml:space="preserve">Deelt u de analyse dat de rechtbank blijkbaar het demonstratierecht laat prevaleren boven het eigendomsrecht? En zo ja, acht u het aanvaardbaar dat daarmee een demonstratie wordt uitgezonderd van een strafrechtelijke bepaling die bedoeld is gebruikers van onroerend goed te beschermen tegen binnendringers, zolang een rechter bepaalt dat een wederrechtelijke demonstratie gerechtvaardigd is doordat deze ‘binnen de grenzen van </w:t>
      </w:r>
      <w:r w:rsidRPr="00A03DFD">
        <w:rPr>
          <w:b/>
          <w:bCs/>
        </w:rPr>
        <w:lastRenderedPageBreak/>
        <w:t>proportionaliteit en subsidiariteit’ blijft? Zo nee waarom niet en kunt u dit dan duiden?</w:t>
      </w:r>
    </w:p>
    <w:p w:rsidRPr="00A03DFD" w:rsidR="00790BD2" w:rsidP="00790BD2" w:rsidRDefault="00790BD2" w14:paraId="58E7D695" w14:textId="77777777">
      <w:pPr>
        <w:rPr>
          <w:b/>
          <w:bCs/>
        </w:rPr>
      </w:pPr>
    </w:p>
    <w:p w:rsidRPr="00A03DFD" w:rsidR="00790BD2" w:rsidP="00790BD2" w:rsidRDefault="00790BD2" w14:paraId="512009CA" w14:textId="77777777">
      <w:pPr>
        <w:rPr>
          <w:b/>
          <w:bCs/>
        </w:rPr>
      </w:pPr>
      <w:r w:rsidRPr="00A03DFD">
        <w:rPr>
          <w:b/>
          <w:bCs/>
        </w:rPr>
        <w:t>Antwoord op vraag 3</w:t>
      </w:r>
    </w:p>
    <w:p w:rsidRPr="00A03DFD" w:rsidR="00790BD2" w:rsidP="00790BD2" w:rsidRDefault="00790BD2" w14:paraId="5524674B" w14:textId="77777777">
      <w:r w:rsidRPr="00A03DFD">
        <w:t xml:space="preserve">Het is niet aan mij om rechterlijke uitspraken te becommentariëren. </w:t>
      </w:r>
    </w:p>
    <w:p w:rsidRPr="00A03DFD" w:rsidR="00790BD2" w:rsidP="00790BD2" w:rsidRDefault="00790BD2" w14:paraId="709B8B13" w14:textId="77777777"/>
    <w:p w:rsidRPr="00A03DFD" w:rsidR="00790BD2" w:rsidP="00790BD2" w:rsidRDefault="00790BD2" w14:paraId="1A334826" w14:textId="77777777">
      <w:pPr>
        <w:rPr>
          <w:b/>
          <w:bCs/>
        </w:rPr>
      </w:pPr>
      <w:r w:rsidRPr="00A03DFD">
        <w:rPr>
          <w:b/>
          <w:bCs/>
        </w:rPr>
        <w:t>Vraag 4</w:t>
      </w:r>
    </w:p>
    <w:p w:rsidRPr="00A03DFD" w:rsidR="00790BD2" w:rsidP="00790BD2" w:rsidRDefault="00790BD2" w14:paraId="3C63912D" w14:textId="77777777">
      <w:pPr>
        <w:rPr>
          <w:b/>
          <w:bCs/>
        </w:rPr>
      </w:pPr>
      <w:r w:rsidRPr="00A03DFD">
        <w:rPr>
          <w:b/>
          <w:bCs/>
        </w:rPr>
        <w:t>In antwoord op eerdere Kamervragen heeft u gesteld dat “de huidige wetgeving voldoende handvatten [biedt] om op te treden bij een illegale stalbezetting,” i.e. vervolging voor huisvredebreuk (artikel 138 Sr) en verboden toegang (artikel 461 Sr), maar klopt het dat u op basis van de voorliggende uitspraak onze conclusie beaamt dat er blijkbaar sprake moet zijn van het bewezen forceren van deuren voordat de rechter uitgaat van braak en daarmee van het wederrechtelijk binnendringen? Zo nee, waarom niet en kunt u dit dan duiden?</w:t>
      </w:r>
    </w:p>
    <w:p w:rsidRPr="00A03DFD" w:rsidR="00790BD2" w:rsidP="00790BD2" w:rsidRDefault="00790BD2" w14:paraId="52C54E1A" w14:textId="77777777">
      <w:pPr>
        <w:rPr>
          <w:b/>
          <w:bCs/>
        </w:rPr>
      </w:pPr>
    </w:p>
    <w:p w:rsidRPr="00A03DFD" w:rsidR="00790BD2" w:rsidP="00790BD2" w:rsidRDefault="00790BD2" w14:paraId="765224B7" w14:textId="77777777">
      <w:pPr>
        <w:rPr>
          <w:b/>
          <w:bCs/>
        </w:rPr>
      </w:pPr>
      <w:r w:rsidRPr="00A03DFD">
        <w:rPr>
          <w:b/>
          <w:bCs/>
        </w:rPr>
        <w:t>Vraag 5</w:t>
      </w:r>
    </w:p>
    <w:p w:rsidRPr="00A03DFD" w:rsidR="00790BD2" w:rsidP="00790BD2" w:rsidRDefault="00790BD2" w14:paraId="4857888D" w14:textId="77777777">
      <w:pPr>
        <w:rPr>
          <w:b/>
          <w:bCs/>
        </w:rPr>
      </w:pPr>
      <w:r w:rsidRPr="00A03DFD">
        <w:rPr>
          <w:b/>
          <w:bCs/>
        </w:rPr>
        <w:t>Zo ja, zou dat dus betekenen dat iedereen zijn of haar stal met stevige sloten moet vergrendelen, bij voorkeur inclusief camerabewaking, om te kunnen bewijzen dat er sprake is van braak en om te voorkomen dat activisten ongewenst binnentreden? Vindt u dit proportioneel en zou dit dan ook moeten gelden voor andere mensen en bedrijven in Nederland?</w:t>
      </w:r>
    </w:p>
    <w:p w:rsidRPr="00A03DFD" w:rsidR="00790BD2" w:rsidP="00790BD2" w:rsidRDefault="00790BD2" w14:paraId="611E5DAA" w14:textId="77777777">
      <w:pPr>
        <w:rPr>
          <w:b/>
          <w:bCs/>
        </w:rPr>
      </w:pPr>
    </w:p>
    <w:p w:rsidRPr="00A03DFD" w:rsidR="00790BD2" w:rsidP="00790BD2" w:rsidRDefault="00790BD2" w14:paraId="64FC37CB" w14:textId="77777777">
      <w:pPr>
        <w:rPr>
          <w:b/>
          <w:bCs/>
        </w:rPr>
      </w:pPr>
      <w:r w:rsidRPr="00A03DFD">
        <w:rPr>
          <w:b/>
          <w:bCs/>
        </w:rPr>
        <w:t>Antwoord op vragen 4 en 5</w:t>
      </w:r>
    </w:p>
    <w:p w:rsidRPr="00A03DFD" w:rsidR="00790BD2" w:rsidP="00790BD2" w:rsidRDefault="00790BD2" w14:paraId="3AF55C4F" w14:textId="77777777">
      <w:r w:rsidRPr="00A03DFD">
        <w:t>Artikel 138 Sr vereist geen fysieke braak voor strafbaarheid. Het kan voldoende zijn als onmiskenbaar was dat de rechthebbende niet wilde dat werd binnengetreden, dan wel als degene die binnen is getreden zich niet verwijdert nadat de rechthebbende dat van hem vordert. Het artikel luidt namelijk:</w:t>
      </w:r>
    </w:p>
    <w:p w:rsidRPr="00A03DFD" w:rsidR="00790BD2" w:rsidP="00790BD2" w:rsidRDefault="00790BD2" w14:paraId="71E31C50" w14:textId="77777777"/>
    <w:p w:rsidRPr="00A03DFD" w:rsidR="00790BD2" w:rsidP="00790BD2" w:rsidRDefault="00790BD2" w14:paraId="30C20C32" w14:textId="77777777">
      <w:pPr>
        <w:rPr>
          <w:i/>
          <w:iCs/>
        </w:rPr>
      </w:pPr>
      <w:r w:rsidRPr="00A03DFD">
        <w:rPr>
          <w:i/>
          <w:iCs/>
        </w:rPr>
        <w:t>“Hij die in de woning of het besloten lokaal of erf, bij een ander in gebruik, wederrechtelijk binnendringt of, wederrechtelijk aldaar vertoevende, zich niet op de vordering van of vanwege de rechthebbende aanstonds verwijdert, wordt gestraft met gevangenisstraf van ten hoogste een jaar of geldboete van de derde categorie.”</w:t>
      </w:r>
    </w:p>
    <w:p w:rsidRPr="00A03DFD" w:rsidR="00790BD2" w:rsidP="00790BD2" w:rsidRDefault="00790BD2" w14:paraId="1F5A99A1" w14:textId="77777777">
      <w:r w:rsidRPr="00A03DFD">
        <w:lastRenderedPageBreak/>
        <w:t>Zoals in het antwoord op vraag 1 is benoemd, hangt de beoordeling of sprake is van wederrechtelijkheid af van de specifieke feiten en omstandigheden in een individuele zaak en is die beoordeling aan de rechter. Op de vraag of het toevoegen van beveiligingsmaatregelen tot een ander rechterlijk oordeel zal leiden, kan ik niet vooruitlopen. Ook daar waar wél sprake is van braak, zal nog altijd een beoordeling van feiten, omstandigheden én weging van proportionaliteit en subsidiariteit zijn. Zoals het Hof zelf aangeeft: “</w:t>
      </w:r>
      <w:r w:rsidRPr="00A03DFD">
        <w:rPr>
          <w:i/>
          <w:iCs/>
        </w:rPr>
        <w:t>Indien de varkensstallen zouden zijn betreden middels braak of verbreking, zou dat afbreuk kunnen doen aan de proportionaliteit”</w:t>
      </w:r>
      <w:r w:rsidRPr="00A03DFD">
        <w:t xml:space="preserve">  </w:t>
      </w:r>
    </w:p>
    <w:p w:rsidRPr="00A03DFD" w:rsidR="00790BD2" w:rsidP="00790BD2" w:rsidRDefault="00790BD2" w14:paraId="71C4898E" w14:textId="77777777">
      <w:pPr>
        <w:rPr>
          <w:u w:val="single"/>
        </w:rPr>
      </w:pPr>
    </w:p>
    <w:p w:rsidRPr="00A03DFD" w:rsidR="00790BD2" w:rsidP="00790BD2" w:rsidRDefault="00790BD2" w14:paraId="1BDE0526" w14:textId="77777777">
      <w:pPr>
        <w:rPr>
          <w:b/>
          <w:bCs/>
        </w:rPr>
      </w:pPr>
      <w:r w:rsidRPr="00A03DFD">
        <w:rPr>
          <w:b/>
          <w:bCs/>
        </w:rPr>
        <w:t>Vraag 6</w:t>
      </w:r>
    </w:p>
    <w:p w:rsidRPr="00A03DFD" w:rsidR="00790BD2" w:rsidP="00790BD2" w:rsidRDefault="00790BD2" w14:paraId="2F784052" w14:textId="77777777">
      <w:pPr>
        <w:rPr>
          <w:b/>
          <w:bCs/>
        </w:rPr>
      </w:pPr>
      <w:r w:rsidRPr="00A03DFD">
        <w:rPr>
          <w:b/>
          <w:bCs/>
        </w:rPr>
        <w:t xml:space="preserve">Heeft de aanscherping van het interne politie ‘Handelingskader en de tolerantiegrenzen </w:t>
      </w:r>
      <w:proofErr w:type="spellStart"/>
      <w:r w:rsidRPr="00A03DFD">
        <w:rPr>
          <w:b/>
          <w:bCs/>
        </w:rPr>
        <w:t>dierenrechtactivisme</w:t>
      </w:r>
      <w:proofErr w:type="spellEnd"/>
      <w:r w:rsidRPr="00A03DFD">
        <w:rPr>
          <w:b/>
          <w:bCs/>
        </w:rPr>
        <w:t>/-extremisme’ naar aanleiding van de motie-Van Campen/Michon-</w:t>
      </w:r>
      <w:proofErr w:type="spellStart"/>
      <w:r w:rsidRPr="00A03DFD">
        <w:rPr>
          <w:b/>
          <w:bCs/>
        </w:rPr>
        <w:t>Derkzen</w:t>
      </w:r>
      <w:proofErr w:type="spellEnd"/>
      <w:r w:rsidRPr="00A03DFD">
        <w:rPr>
          <w:b/>
          <w:bCs/>
        </w:rPr>
        <w:t xml:space="preserve"> (Kamerstuk 28 286, nr. 1312) enig praktisch effect, zolang er geen sprake is van wederrechtelijk binnendringen omdat niet bewezen kan worden dat deuren zijn geforceerd of omdat er geen sloten op de deur zaten en waardoor activisten zich kennelijk succesvol kunnen beroepen op het demonstratierecht?</w:t>
      </w:r>
    </w:p>
    <w:p w:rsidRPr="00A03DFD" w:rsidR="00790BD2" w:rsidP="00790BD2" w:rsidRDefault="00790BD2" w14:paraId="33486880" w14:textId="77777777">
      <w:pPr>
        <w:rPr>
          <w:b/>
          <w:bCs/>
        </w:rPr>
      </w:pPr>
    </w:p>
    <w:p w:rsidRPr="00A03DFD" w:rsidR="00790BD2" w:rsidP="00790BD2" w:rsidRDefault="00790BD2" w14:paraId="7BDDC0C0" w14:textId="77777777">
      <w:pPr>
        <w:rPr>
          <w:b/>
          <w:bCs/>
        </w:rPr>
      </w:pPr>
      <w:r w:rsidRPr="00A03DFD">
        <w:rPr>
          <w:b/>
          <w:bCs/>
        </w:rPr>
        <w:t>Antwoord op vraag 6</w:t>
      </w:r>
    </w:p>
    <w:p w:rsidRPr="00A03DFD" w:rsidR="00790BD2" w:rsidP="00790BD2" w:rsidRDefault="00790BD2" w14:paraId="0538862E" w14:textId="77777777">
      <w:r w:rsidRPr="00A03DFD">
        <w:t xml:space="preserve">Het ‘handelingskader en de tolerantiegrenzen </w:t>
      </w:r>
      <w:proofErr w:type="spellStart"/>
      <w:r w:rsidRPr="00A03DFD">
        <w:t>dierenrechtactivisme</w:t>
      </w:r>
      <w:proofErr w:type="spellEnd"/>
      <w:r w:rsidRPr="00A03DFD">
        <w:t>/-extremisme’ biedt richtlijnen voor politieoptreden bij acties die mogelijk strafbaar zijn en/of de openbare orde verstoren. Dit kader blijft effectief, ongeacht de uitkomst van individuele zaken. Zoals in het antwoord op de vragen 4 en 5 al is toegelicht vereist artikel 138 Sr niet dat er sprake is van forcering of braak.</w:t>
      </w:r>
    </w:p>
    <w:p w:rsidRPr="00A03DFD" w:rsidR="00790BD2" w:rsidP="00790BD2" w:rsidRDefault="00790BD2" w14:paraId="64805313" w14:textId="77777777">
      <w:pPr>
        <w:rPr>
          <w:b/>
          <w:bCs/>
        </w:rPr>
      </w:pPr>
    </w:p>
    <w:p w:rsidRPr="00A03DFD" w:rsidR="00790BD2" w:rsidP="00790BD2" w:rsidRDefault="00790BD2" w14:paraId="29FFDADE" w14:textId="77777777">
      <w:pPr>
        <w:rPr>
          <w:b/>
          <w:bCs/>
        </w:rPr>
      </w:pPr>
      <w:r w:rsidRPr="00A03DFD">
        <w:rPr>
          <w:b/>
          <w:bCs/>
        </w:rPr>
        <w:t>Vraag 7</w:t>
      </w:r>
    </w:p>
    <w:p w:rsidRPr="00A03DFD" w:rsidR="00790BD2" w:rsidP="00790BD2" w:rsidRDefault="00790BD2" w14:paraId="577C3DC1" w14:textId="77777777">
      <w:pPr>
        <w:rPr>
          <w:b/>
          <w:bCs/>
        </w:rPr>
      </w:pPr>
      <w:r w:rsidRPr="00A03DFD">
        <w:rPr>
          <w:b/>
          <w:bCs/>
        </w:rPr>
        <w:t xml:space="preserve">Bij hoeveel </w:t>
      </w:r>
      <w:proofErr w:type="spellStart"/>
      <w:r w:rsidRPr="00A03DFD">
        <w:rPr>
          <w:b/>
          <w:bCs/>
        </w:rPr>
        <w:t>ordeverstorende</w:t>
      </w:r>
      <w:proofErr w:type="spellEnd"/>
      <w:r w:rsidRPr="00A03DFD">
        <w:rPr>
          <w:b/>
          <w:bCs/>
        </w:rPr>
        <w:t xml:space="preserve"> acties waarop geen enkele strafrechtelijke sanctie volgt, bent u bereid uw standpunt te overwegen dat wetswijziging niet noodzakelijk is om het recht op eigendom te eerbiedigen en te voorkomen dat het begrip ‘wederrechtelijk binnendringen’ verder wordt beperkt, aangezien u in de bovengenoemde beantwoording schrijft dat de huidige wetgeving voldoende handvatten heeft om op te treden bij een illegale stalbezetting?</w:t>
      </w:r>
    </w:p>
    <w:p w:rsidRPr="00A03DFD" w:rsidR="00790BD2" w:rsidP="00790BD2" w:rsidRDefault="00790BD2" w14:paraId="5459FD6A" w14:textId="77777777">
      <w:pPr>
        <w:rPr>
          <w:b/>
          <w:bCs/>
        </w:rPr>
      </w:pPr>
    </w:p>
    <w:p w:rsidRPr="00A03DFD" w:rsidR="00790BD2" w:rsidP="00790BD2" w:rsidRDefault="00790BD2" w14:paraId="1B5B9F5B" w14:textId="77777777">
      <w:pPr>
        <w:rPr>
          <w:b/>
          <w:bCs/>
        </w:rPr>
      </w:pPr>
      <w:r w:rsidRPr="00A03DFD">
        <w:rPr>
          <w:b/>
          <w:bCs/>
        </w:rPr>
        <w:t>Antwoord op vraag 7</w:t>
      </w:r>
    </w:p>
    <w:p w:rsidRPr="00A03DFD" w:rsidR="00790BD2" w:rsidP="00790BD2" w:rsidRDefault="00790BD2" w14:paraId="24FD235A" w14:textId="77777777">
      <w:r w:rsidRPr="00A03DFD">
        <w:lastRenderedPageBreak/>
        <w:t xml:space="preserve"> Ik heb er begrip voor dat het voor veehouders heel moeilijk kan zijn om te worden geconfronteerd met actievoerders die zonder toestemming hun stallen betreden.</w:t>
      </w:r>
    </w:p>
    <w:p w:rsidRPr="00A03DFD" w:rsidR="00790BD2" w:rsidP="00790BD2" w:rsidRDefault="00790BD2" w14:paraId="1E41FD81" w14:textId="77777777"/>
    <w:p w:rsidRPr="00A03DFD" w:rsidR="00790BD2" w:rsidP="00790BD2" w:rsidRDefault="00790BD2" w14:paraId="64A6EE1D" w14:textId="77777777">
      <w:r w:rsidRPr="00A03DFD">
        <w:t>In het voorliggende geval heeft het Hof een afweging gemaakt waaruit het oordeel is gekomen dat er geen sprake is van wederrechtelijk binnendringen. In een eventueel nieuw geval zal er een nieuwe afweging moeten worden gemaakt. Er is op voorhand niet te zeggen hoe een rechter een individueel geval zal beoordelen.</w:t>
      </w:r>
    </w:p>
    <w:p w:rsidRPr="00A03DFD" w:rsidR="00790BD2" w:rsidP="00790BD2" w:rsidRDefault="00790BD2" w14:paraId="7309CDD6" w14:textId="77777777"/>
    <w:p w:rsidRPr="00A03DFD" w:rsidR="00790BD2" w:rsidP="00790BD2" w:rsidRDefault="00790BD2" w14:paraId="5A2A7BE2" w14:textId="77777777">
      <w:r w:rsidRPr="00A03DFD">
        <w:t>Het kabinet ziet vaker dat het demonstratierecht botst met andere grondrechten en wenst daarom een scherper onderscheid te maken tussen ontwrichtende acties en vreedzame demonstraties. Ook bij het illegaal betreden en/of bezetten van stallen kan zo’n onderscheid aan de orde zijn. Het in antwoord 1 vermelde WODC-onderzoek verkent de mate waarin het wettelijk kader bestendigd kan worden en het handelingsperspectief voor alle betrokkenen verstevigd kan worden. De uitkomsten van dit onderzoek worden in de zomer van 2025 verwacht en zullen hier naar verwachting aan bijdragen. Mocht dit onderzoek aanleiding geven tot aanpassingen in de wet, dan zal ik deze in overweging nemen.</w:t>
      </w:r>
      <w:r w:rsidRPr="00A03DFD">
        <w:br/>
      </w:r>
    </w:p>
    <w:p w:rsidRPr="00A03DFD" w:rsidR="00790BD2" w:rsidP="00790BD2" w:rsidRDefault="00790BD2" w14:paraId="2ADF71BB" w14:textId="77777777">
      <w:pPr>
        <w:rPr>
          <w:b/>
          <w:bCs/>
        </w:rPr>
      </w:pPr>
      <w:r w:rsidRPr="00A03DFD">
        <w:rPr>
          <w:b/>
          <w:bCs/>
        </w:rPr>
        <w:t>Vraag 8</w:t>
      </w:r>
    </w:p>
    <w:p w:rsidRPr="00A03DFD" w:rsidR="00790BD2" w:rsidP="00790BD2" w:rsidRDefault="00790BD2" w14:paraId="591AEA99" w14:textId="77777777">
      <w:pPr>
        <w:rPr>
          <w:b/>
          <w:bCs/>
        </w:rPr>
      </w:pPr>
      <w:r w:rsidRPr="00A03DFD">
        <w:rPr>
          <w:b/>
          <w:bCs/>
        </w:rPr>
        <w:t>Is de aanname correct dat de wet aangepast dient te worden om vast te leggen dat ook zonder het forceren van deuren sprake kan zijn van braak en daarmee het wederrechtelijk binnendringen van stallen? Zo nee, waarom niet? Zo ja, kunt u technisch uitleggen hoe artikel 138 Sr of een ander wetsartikel aangepast zou moeten worden om te bewerkstelligen dat rechters in de toekomst het wederrechtelijk binnendringen van huizen, erven en stallen ook bewezen kunnen verklaren zonder dat er sprake is van braak? Bent u bereid om na te gaan bij het Openbaar Ministerie waarom zij ervoor hebben gekozen om niet in cassatie te gaan tegen deze uitspraak?</w:t>
      </w:r>
    </w:p>
    <w:p w:rsidRPr="00A03DFD" w:rsidR="00790BD2" w:rsidP="00790BD2" w:rsidRDefault="00790BD2" w14:paraId="78A6DD59" w14:textId="77777777">
      <w:pPr>
        <w:rPr>
          <w:b/>
          <w:bCs/>
        </w:rPr>
      </w:pPr>
    </w:p>
    <w:p w:rsidRPr="00A03DFD" w:rsidR="00790BD2" w:rsidP="00790BD2" w:rsidRDefault="00790BD2" w14:paraId="3486A382" w14:textId="77777777">
      <w:r w:rsidRPr="00A03DFD">
        <w:rPr>
          <w:b/>
          <w:bCs/>
        </w:rPr>
        <w:t>Antwoord op vraag 8</w:t>
      </w:r>
    </w:p>
    <w:p w:rsidRPr="00A03DFD" w:rsidR="00790BD2" w:rsidP="00790BD2" w:rsidRDefault="00790BD2" w14:paraId="2C3B7597" w14:textId="77777777">
      <w:r w:rsidRPr="00A03DFD">
        <w:t xml:space="preserve">Nee, omdat artikel 138 Sr al voorziet in strafbaarstelling van binnendringen zonder braak, acht ik een wetswijziging momenteel niet nodig.  </w:t>
      </w:r>
    </w:p>
    <w:p w:rsidRPr="00A03DFD" w:rsidR="00790BD2" w:rsidP="00790BD2" w:rsidRDefault="00790BD2" w14:paraId="001AE0A6" w14:textId="77777777"/>
    <w:p w:rsidR="00790BD2" w:rsidP="00790BD2" w:rsidRDefault="00790BD2" w14:paraId="2228FC06" w14:textId="77777777">
      <w:r w:rsidRPr="00A03DFD">
        <w:lastRenderedPageBreak/>
        <w:t xml:space="preserve">Het is aan het OM </w:t>
      </w:r>
      <w:proofErr w:type="spellStart"/>
      <w:r w:rsidRPr="00A03DFD">
        <w:t>om</w:t>
      </w:r>
      <w:proofErr w:type="spellEnd"/>
      <w:r w:rsidRPr="00A03DFD">
        <w:t xml:space="preserve"> te bepalen wanneer het cassatie instelt. In algemene zin kan ik zeggen dat in cassatie niet alle inhoudelijke aspecten van een zaak worden beoordeeld, maar enkel of de lagere rechter (rechtbank of gerechtshof) het recht juist heeft toegepast.</w:t>
      </w:r>
    </w:p>
    <w:p w:rsidR="00790BD2" w:rsidP="00790BD2" w:rsidRDefault="00790BD2" w14:paraId="1959431B" w14:textId="77777777"/>
    <w:p w:rsidR="00790BD2" w:rsidP="00790BD2" w:rsidRDefault="00790BD2" w14:paraId="10702B44" w14:textId="77777777"/>
    <w:p w:rsidR="00790BD2" w:rsidP="00790BD2" w:rsidRDefault="00790BD2" w14:paraId="3A389BFB" w14:textId="77777777"/>
    <w:p w:rsidR="00790BD2" w:rsidP="00790BD2" w:rsidRDefault="00790BD2" w14:paraId="28C4C294" w14:textId="77777777"/>
    <w:p w:rsidR="00790BD2" w:rsidP="00790BD2" w:rsidRDefault="00790BD2" w14:paraId="1F696BCE" w14:textId="77777777"/>
    <w:p w:rsidR="002C3023" w:rsidRDefault="002C3023" w14:paraId="2A596E9E" w14:textId="77777777"/>
    <w:sectPr w:rsidR="002C3023" w:rsidSect="00790BD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8281" w14:textId="77777777" w:rsidR="00790BD2" w:rsidRDefault="00790BD2" w:rsidP="00790BD2">
      <w:pPr>
        <w:spacing w:after="0" w:line="240" w:lineRule="auto"/>
      </w:pPr>
      <w:r>
        <w:separator/>
      </w:r>
    </w:p>
  </w:endnote>
  <w:endnote w:type="continuationSeparator" w:id="0">
    <w:p w14:paraId="02E7A076" w14:textId="77777777" w:rsidR="00790BD2" w:rsidRDefault="00790BD2" w:rsidP="0079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7C98" w14:textId="77777777" w:rsidR="00790BD2" w:rsidRPr="00790BD2" w:rsidRDefault="00790BD2" w:rsidP="00790B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D5B" w14:textId="77777777" w:rsidR="00790BD2" w:rsidRPr="00790BD2" w:rsidRDefault="00790BD2" w:rsidP="00790B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A762" w14:textId="77777777" w:rsidR="00790BD2" w:rsidRPr="00790BD2" w:rsidRDefault="00790BD2" w:rsidP="00790B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051B" w14:textId="77777777" w:rsidR="00790BD2" w:rsidRDefault="00790BD2" w:rsidP="00790BD2">
      <w:pPr>
        <w:spacing w:after="0" w:line="240" w:lineRule="auto"/>
      </w:pPr>
      <w:r>
        <w:separator/>
      </w:r>
    </w:p>
  </w:footnote>
  <w:footnote w:type="continuationSeparator" w:id="0">
    <w:p w14:paraId="10653693" w14:textId="77777777" w:rsidR="00790BD2" w:rsidRDefault="00790BD2" w:rsidP="0079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CFD2" w14:textId="77777777" w:rsidR="00790BD2" w:rsidRPr="00790BD2" w:rsidRDefault="00790BD2" w:rsidP="00790B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C402" w14:textId="77777777" w:rsidR="00790BD2" w:rsidRPr="00790BD2" w:rsidRDefault="00790BD2" w:rsidP="00790B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7FD2" w14:textId="77777777" w:rsidR="00790BD2" w:rsidRPr="00790BD2" w:rsidRDefault="00790BD2" w:rsidP="00790B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D2"/>
    <w:rsid w:val="002C3023"/>
    <w:rsid w:val="00790BD2"/>
    <w:rsid w:val="007B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BC0F"/>
  <w15:chartTrackingRefBased/>
  <w15:docId w15:val="{00993CD6-58B7-423D-A334-535380B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B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B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B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B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B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B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B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B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B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B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B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B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B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B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B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BD2"/>
    <w:rPr>
      <w:rFonts w:eastAsiaTheme="majorEastAsia" w:cstheme="majorBidi"/>
      <w:color w:val="272727" w:themeColor="text1" w:themeTint="D8"/>
    </w:rPr>
  </w:style>
  <w:style w:type="paragraph" w:styleId="Titel">
    <w:name w:val="Title"/>
    <w:basedOn w:val="Standaard"/>
    <w:next w:val="Standaard"/>
    <w:link w:val="TitelChar"/>
    <w:uiPriority w:val="10"/>
    <w:qFormat/>
    <w:rsid w:val="0079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B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B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B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B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BD2"/>
    <w:rPr>
      <w:i/>
      <w:iCs/>
      <w:color w:val="404040" w:themeColor="text1" w:themeTint="BF"/>
    </w:rPr>
  </w:style>
  <w:style w:type="paragraph" w:styleId="Lijstalinea">
    <w:name w:val="List Paragraph"/>
    <w:basedOn w:val="Standaard"/>
    <w:uiPriority w:val="34"/>
    <w:qFormat/>
    <w:rsid w:val="00790BD2"/>
    <w:pPr>
      <w:ind w:left="720"/>
      <w:contextualSpacing/>
    </w:pPr>
  </w:style>
  <w:style w:type="character" w:styleId="Intensievebenadrukking">
    <w:name w:val="Intense Emphasis"/>
    <w:basedOn w:val="Standaardalinea-lettertype"/>
    <w:uiPriority w:val="21"/>
    <w:qFormat/>
    <w:rsid w:val="00790BD2"/>
    <w:rPr>
      <w:i/>
      <w:iCs/>
      <w:color w:val="0F4761" w:themeColor="accent1" w:themeShade="BF"/>
    </w:rPr>
  </w:style>
  <w:style w:type="paragraph" w:styleId="Duidelijkcitaat">
    <w:name w:val="Intense Quote"/>
    <w:basedOn w:val="Standaard"/>
    <w:next w:val="Standaard"/>
    <w:link w:val="DuidelijkcitaatChar"/>
    <w:uiPriority w:val="30"/>
    <w:qFormat/>
    <w:rsid w:val="0079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BD2"/>
    <w:rPr>
      <w:i/>
      <w:iCs/>
      <w:color w:val="0F4761" w:themeColor="accent1" w:themeShade="BF"/>
    </w:rPr>
  </w:style>
  <w:style w:type="character" w:styleId="Intensieveverwijzing">
    <w:name w:val="Intense Reference"/>
    <w:basedOn w:val="Standaardalinea-lettertype"/>
    <w:uiPriority w:val="32"/>
    <w:qFormat/>
    <w:rsid w:val="00790BD2"/>
    <w:rPr>
      <w:b/>
      <w:bCs/>
      <w:smallCaps/>
      <w:color w:val="0F4761" w:themeColor="accent1" w:themeShade="BF"/>
      <w:spacing w:val="5"/>
    </w:rPr>
  </w:style>
  <w:style w:type="paragraph" w:styleId="Voettekst">
    <w:name w:val="footer"/>
    <w:basedOn w:val="Standaard"/>
    <w:next w:val="Standaard"/>
    <w:link w:val="VoettekstChar"/>
    <w:rsid w:val="00790BD2"/>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0BD2"/>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90B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0BD2"/>
  </w:style>
  <w:style w:type="paragraph" w:styleId="Geenafstand">
    <w:name w:val="No Spacing"/>
    <w:uiPriority w:val="1"/>
    <w:qFormat/>
    <w:rsid w:val="00790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1515</ap:Words>
  <ap:Characters>8333</ap:Characters>
  <ap:DocSecurity>0</ap:DocSecurity>
  <ap:Lines>69</ap:Lines>
  <ap:Paragraphs>19</ap:Paragraphs>
  <ap:ScaleCrop>false</ap:ScaleCrop>
  <ap:LinksUpToDate>false</ap:LinksUpToDate>
  <ap:CharactersWithSpaces>9829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2025-06-02T12:45:00.0000000Z</dcterms:created>
  <dcterms:modified xsi:type="dcterms:W3CDTF">2025-06-02T12:46:00.0000000Z</dcterms:modified>
  <version/>
  <category/>
</coreProperties>
</file>