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3B9" w:rsidRDefault="00231D67" w14:paraId="1F8A863A" w14:textId="77777777">
      <w:pPr>
        <w:pStyle w:val="StandaardAanhef"/>
      </w:pPr>
      <w:r>
        <w:t>Geachte voorzitter,</w:t>
      </w:r>
    </w:p>
    <w:p w:rsidR="00DC4036" w:rsidRDefault="008F307E" w14:paraId="204C1446" w14:textId="77777777">
      <w:r>
        <w:t>Met deze brief wil ik</w:t>
      </w:r>
      <w:r w:rsidR="00B614D4">
        <w:t xml:space="preserve">, mede namens de Minister van Economische Zaken, </w:t>
      </w:r>
      <w:r w:rsidR="007518AB">
        <w:t xml:space="preserve">uw Kamer </w:t>
      </w:r>
      <w:r>
        <w:t xml:space="preserve">informeren over </w:t>
      </w:r>
      <w:r w:rsidR="00DC4036">
        <w:t xml:space="preserve">een onderzoek </w:t>
      </w:r>
      <w:r w:rsidR="00955972">
        <w:t xml:space="preserve">naar </w:t>
      </w:r>
      <w:r w:rsidR="00DC4036">
        <w:t xml:space="preserve">het opnemen van een definitie van </w:t>
      </w:r>
      <w:r w:rsidR="00723475">
        <w:t>startups</w:t>
      </w:r>
      <w:r w:rsidR="00DC4036">
        <w:t xml:space="preserve"> en </w:t>
      </w:r>
      <w:proofErr w:type="spellStart"/>
      <w:r w:rsidR="00DC4036">
        <w:t>scale</w:t>
      </w:r>
      <w:proofErr w:type="spellEnd"/>
      <w:r w:rsidR="00DC4036">
        <w:t>-ups in de fiscaliteit. Het voornemen is om deze definitie te gebruiken in zowel het wetsvoorstel Wet werkelijk rendement box 3 als in de nieuwe aandelenoptieregeling voor werknemers in de loonheffing</w:t>
      </w:r>
      <w:r w:rsidR="00747B3E">
        <w:t>en</w:t>
      </w:r>
      <w:r w:rsidR="00DC4036">
        <w:t>.</w:t>
      </w:r>
      <w:r w:rsidR="00DC4036">
        <w:rPr>
          <w:rStyle w:val="Voetnootmarkering"/>
        </w:rPr>
        <w:footnoteReference w:id="1"/>
      </w:r>
    </w:p>
    <w:p w:rsidR="00DC4036" w:rsidRDefault="00DC4036" w14:paraId="21B2738F" w14:textId="77777777"/>
    <w:p w:rsidRPr="00DC4036" w:rsidR="00DC4036" w:rsidRDefault="00DC4036" w14:paraId="5607FC48" w14:textId="77777777">
      <w:r>
        <w:rPr>
          <w:b/>
          <w:bCs/>
        </w:rPr>
        <w:t>Aanleiding</w:t>
      </w:r>
    </w:p>
    <w:p w:rsidR="00DC4036" w:rsidP="00A6270E" w:rsidRDefault="008F307E" w14:paraId="0B662D00" w14:textId="77777777">
      <w:r>
        <w:t xml:space="preserve">In het wetsvoorstel </w:t>
      </w:r>
      <w:r w:rsidR="00DC4036">
        <w:t xml:space="preserve">Wet werkelijk rendement box 3 wordt als hoofdregel belasting geheven via de vermogensaanwasbelasting. </w:t>
      </w:r>
      <w:r w:rsidR="00A6270E">
        <w:t xml:space="preserve">Voor onroerende zaken en voor aandelen in </w:t>
      </w:r>
      <w:r w:rsidR="007518AB">
        <w:t xml:space="preserve">en winstbewijzen </w:t>
      </w:r>
      <w:r w:rsidR="004A481A">
        <w:t xml:space="preserve">(hierna: aandelen) </w:t>
      </w:r>
      <w:r w:rsidR="007518AB">
        <w:t xml:space="preserve">van </w:t>
      </w:r>
      <w:r w:rsidR="00723475">
        <w:t>startups</w:t>
      </w:r>
      <w:r w:rsidR="00A6270E">
        <w:t xml:space="preserve"> </w:t>
      </w:r>
      <w:r w:rsidR="00356950">
        <w:t xml:space="preserve">en </w:t>
      </w:r>
      <w:proofErr w:type="spellStart"/>
      <w:r w:rsidR="00356950">
        <w:t>scale</w:t>
      </w:r>
      <w:proofErr w:type="spellEnd"/>
      <w:r w:rsidR="00356950">
        <w:t xml:space="preserve">-ups </w:t>
      </w:r>
      <w:r w:rsidR="00A6270E">
        <w:t xml:space="preserve">geldt echter de vermogenswinstbelasting. Voor deze afwijkende behandeling is in het wetsvoorstel een definitie opgenomen met een aantal criteria waaraan de onderneming moet voldoen, zoals </w:t>
      </w:r>
      <w:r w:rsidR="00DD7838">
        <w:t>bestaansduur</w:t>
      </w:r>
      <w:r w:rsidR="00A6270E">
        <w:t xml:space="preserve"> en een maximum aan </w:t>
      </w:r>
      <w:r w:rsidR="002526AA">
        <w:t>jaar</w:t>
      </w:r>
      <w:r w:rsidR="00A6270E">
        <w:t>omzet.</w:t>
      </w:r>
      <w:r w:rsidRPr="00A6270E" w:rsidR="00A6270E">
        <w:rPr>
          <w:rFonts w:cs="Verdana"/>
          <w:color w:val="auto"/>
          <w:sz w:val="17"/>
          <w:szCs w:val="17"/>
        </w:rPr>
        <w:t xml:space="preserve"> </w:t>
      </w:r>
      <w:r w:rsidRPr="00A6270E" w:rsidR="00A6270E">
        <w:t>Deze definitie sluit echter beperkt aan bij</w:t>
      </w:r>
      <w:r w:rsidR="00A6270E">
        <w:t xml:space="preserve"> </w:t>
      </w:r>
      <w:r w:rsidRPr="00A6270E" w:rsidR="00A6270E">
        <w:t>de specifiek</w:t>
      </w:r>
      <w:r w:rsidR="00ED51CA">
        <w:t>e</w:t>
      </w:r>
      <w:r w:rsidRPr="00A6270E" w:rsidR="00A6270E">
        <w:t xml:space="preserve"> kenmerken van </w:t>
      </w:r>
      <w:r w:rsidRPr="00A6270E" w:rsidR="00723475">
        <w:t>start</w:t>
      </w:r>
      <w:r w:rsidR="00723475">
        <w:t>u</w:t>
      </w:r>
      <w:r w:rsidRPr="00A6270E" w:rsidR="00723475">
        <w:t>ps</w:t>
      </w:r>
      <w:r w:rsidRPr="00A6270E" w:rsidR="00A6270E">
        <w:t xml:space="preserve"> en </w:t>
      </w:r>
      <w:proofErr w:type="spellStart"/>
      <w:r w:rsidRPr="00A6270E" w:rsidR="00A6270E">
        <w:t>scale</w:t>
      </w:r>
      <w:proofErr w:type="spellEnd"/>
      <w:r w:rsidRPr="00A6270E" w:rsidR="00A6270E">
        <w:t>-ups omdat- vanwege</w:t>
      </w:r>
      <w:r w:rsidR="00A6270E">
        <w:t xml:space="preserve"> </w:t>
      </w:r>
      <w:r w:rsidRPr="00A6270E" w:rsidR="00A6270E">
        <w:t>uitvoerbaarheid van de regeling door de Belastingdienst - niet getoetst wordt op</w:t>
      </w:r>
      <w:r w:rsidR="00A6270E">
        <w:t xml:space="preserve"> </w:t>
      </w:r>
      <w:r w:rsidRPr="00A6270E" w:rsidR="00A6270E">
        <w:t>innovatie, schaalbaarheid en liquiditeit van de aandelen.</w:t>
      </w:r>
      <w:r w:rsidRPr="00B15D86" w:rsidR="00A6270E">
        <w:rPr>
          <w:i/>
          <w:iCs/>
        </w:rPr>
        <w:t xml:space="preserve"> </w:t>
      </w:r>
      <w:r w:rsidRPr="00B15D86" w:rsidR="00B15D86">
        <w:t xml:space="preserve">Vanwege het belang van succesvolle startups en </w:t>
      </w:r>
      <w:proofErr w:type="spellStart"/>
      <w:r w:rsidRPr="00B15D86" w:rsidR="00B15D86">
        <w:t>scale</w:t>
      </w:r>
      <w:proofErr w:type="spellEnd"/>
      <w:r w:rsidRPr="00B15D86" w:rsidR="00B15D86">
        <w:t>-ups voor het verdienvermogen en de innovatiekracht van Nederland is i</w:t>
      </w:r>
      <w:r w:rsidRPr="00B15D86" w:rsidR="00A6270E">
        <w:t>n</w:t>
      </w:r>
      <w:r w:rsidR="00A6270E">
        <w:t xml:space="preserve"> samenwerking met het ministerie van Economische Zaken onderzoek gedaan naar een definitie </w:t>
      </w:r>
      <w:proofErr w:type="gramStart"/>
      <w:r w:rsidR="00A6270E">
        <w:t>die</w:t>
      </w:r>
      <w:proofErr w:type="gramEnd"/>
      <w:r w:rsidR="00A6270E">
        <w:t xml:space="preserve"> beter aansluit bij </w:t>
      </w:r>
      <w:r w:rsidR="00ED51CA">
        <w:t xml:space="preserve">de </w:t>
      </w:r>
      <w:r w:rsidRPr="00A6270E" w:rsidR="00A6270E">
        <w:t xml:space="preserve">kenmerken van </w:t>
      </w:r>
      <w:r w:rsidRPr="00A6270E" w:rsidR="00723475">
        <w:t>startups</w:t>
      </w:r>
      <w:r w:rsidRPr="00A6270E" w:rsidR="00A6270E">
        <w:t xml:space="preserve"> en </w:t>
      </w:r>
      <w:proofErr w:type="spellStart"/>
      <w:r w:rsidRPr="00A6270E" w:rsidR="00A6270E">
        <w:t>scale</w:t>
      </w:r>
      <w:proofErr w:type="spellEnd"/>
      <w:r w:rsidRPr="00A6270E" w:rsidR="00A6270E">
        <w:t>-ups en tegelijkertijd werkbaar is voor</w:t>
      </w:r>
      <w:r w:rsidR="00A6270E">
        <w:t xml:space="preserve"> </w:t>
      </w:r>
      <w:r w:rsidRPr="00A6270E" w:rsidR="00A6270E">
        <w:t>de praktijk en uitvoerbaar is voor de Belastingdienst.</w:t>
      </w:r>
      <w:r w:rsidR="00A6270E">
        <w:t xml:space="preserve"> </w:t>
      </w:r>
      <w:r w:rsidRPr="00B15D86" w:rsidR="00B15D86">
        <w:t xml:space="preserve">Op deze wijze wordt bereikt dat de box 3 heffing op investeringen in aandelen van startups en </w:t>
      </w:r>
      <w:proofErr w:type="spellStart"/>
      <w:r w:rsidRPr="00B15D86" w:rsidR="00B15D86">
        <w:t>scale</w:t>
      </w:r>
      <w:proofErr w:type="spellEnd"/>
      <w:r w:rsidRPr="00B15D86" w:rsidR="00B15D86">
        <w:t>-ups beter aansluit bij de (vaak volatiele) waardeontwikkeling van deze ondernemingen in de praktijk.</w:t>
      </w:r>
      <w:r w:rsidRPr="00B15D86" w:rsidR="00B15D86">
        <w:rPr>
          <w:i/>
          <w:iCs/>
        </w:rPr>
        <w:t xml:space="preserve"> </w:t>
      </w:r>
      <w:r w:rsidR="00A6270E">
        <w:t>In deze brief informeer ik u over het onderzoek en de vervolgstappen.</w:t>
      </w:r>
      <w:r w:rsidR="00ED51CA">
        <w:t xml:space="preserve"> Omwille van de eenvoud en overzichtelijkheid van het belastingstelsel </w:t>
      </w:r>
      <w:r w:rsidR="00B614D4">
        <w:t xml:space="preserve">is ervoor gekozen </w:t>
      </w:r>
      <w:r w:rsidR="00ED51CA">
        <w:t xml:space="preserve">om één definitie van </w:t>
      </w:r>
      <w:r w:rsidR="00723475">
        <w:t>startups</w:t>
      </w:r>
      <w:r w:rsidR="00ED51CA">
        <w:t xml:space="preserve"> en </w:t>
      </w:r>
      <w:proofErr w:type="spellStart"/>
      <w:r w:rsidR="00ED51CA">
        <w:t>scale</w:t>
      </w:r>
      <w:proofErr w:type="spellEnd"/>
      <w:r w:rsidR="00ED51CA">
        <w:t xml:space="preserve">-ups te hanteren, voor zowel box 3 als de aangekondigde regeling voor aandelen </w:t>
      </w:r>
      <w:r w:rsidR="008F60C6">
        <w:t xml:space="preserve">verkregen uit aandelenopties die worden toegekend aan werknemers van </w:t>
      </w:r>
      <w:r w:rsidR="00723475">
        <w:t>startups</w:t>
      </w:r>
      <w:r w:rsidR="008F60C6">
        <w:t xml:space="preserve"> en </w:t>
      </w:r>
      <w:proofErr w:type="spellStart"/>
      <w:r w:rsidR="008F60C6">
        <w:t>scale</w:t>
      </w:r>
      <w:proofErr w:type="spellEnd"/>
      <w:r w:rsidR="008F60C6">
        <w:t>-ups.</w:t>
      </w:r>
    </w:p>
    <w:p w:rsidR="00DC4036" w:rsidRDefault="00DC4036" w14:paraId="69D9207B" w14:textId="77777777"/>
    <w:p w:rsidR="00B15D86" w:rsidRDefault="00B15D86" w14:paraId="49BFF376" w14:textId="77777777">
      <w:pPr>
        <w:rPr>
          <w:b/>
          <w:bCs/>
        </w:rPr>
      </w:pPr>
    </w:p>
    <w:p w:rsidR="00B15D86" w:rsidRDefault="00B15D86" w14:paraId="63EBDB78" w14:textId="77777777">
      <w:pPr>
        <w:rPr>
          <w:b/>
          <w:bCs/>
        </w:rPr>
      </w:pPr>
    </w:p>
    <w:p w:rsidR="00E630D7" w:rsidRDefault="002526AA" w14:paraId="6A4F701F" w14:textId="77777777">
      <w:r>
        <w:rPr>
          <w:b/>
          <w:bCs/>
        </w:rPr>
        <w:lastRenderedPageBreak/>
        <w:t>Contouren van de voorgestelde definitie</w:t>
      </w:r>
    </w:p>
    <w:p w:rsidR="00C97CB7" w:rsidRDefault="00723475" w14:paraId="048D33D3" w14:textId="77777777">
      <w:r>
        <w:t>Startups</w:t>
      </w:r>
      <w:r w:rsidR="00224D7C">
        <w:t xml:space="preserve"> verschillen van andere ondernemingen</w:t>
      </w:r>
      <w:r w:rsidR="00DE0141">
        <w:t>.</w:t>
      </w:r>
      <w:r w:rsidR="00224D7C">
        <w:t xml:space="preserve"> </w:t>
      </w:r>
      <w:r w:rsidR="00DE0141">
        <w:t>Het zijn</w:t>
      </w:r>
      <w:r w:rsidR="00224D7C">
        <w:t xml:space="preserve"> jonge innovatie</w:t>
      </w:r>
      <w:r w:rsidR="00DE0141">
        <w:t>ve</w:t>
      </w:r>
      <w:r w:rsidR="00224D7C">
        <w:t xml:space="preserve">, </w:t>
      </w:r>
      <w:r w:rsidR="002526AA">
        <w:t>technologie</w:t>
      </w:r>
      <w:r w:rsidR="006700C3">
        <w:t>-</w:t>
      </w:r>
      <w:r w:rsidR="002526AA">
        <w:t>gedreven</w:t>
      </w:r>
      <w:r w:rsidR="00224D7C">
        <w:t xml:space="preserve"> bedrijven </w:t>
      </w:r>
      <w:r w:rsidR="00DE0141">
        <w:t>die</w:t>
      </w:r>
      <w:r w:rsidR="00224D7C">
        <w:t xml:space="preserve"> werken aan een schaalbaar verdienmodel </w:t>
      </w:r>
      <w:r w:rsidR="00C97CB7">
        <w:t>dat</w:t>
      </w:r>
      <w:r w:rsidR="00224D7C">
        <w:t xml:space="preserve"> gepaard gaat met een internationale groeiambitie. </w:t>
      </w:r>
      <w:r w:rsidR="00E85F96">
        <w:t>Tijdens de</w:t>
      </w:r>
      <w:r w:rsidR="00224D7C">
        <w:t xml:space="preserve"> </w:t>
      </w:r>
      <w:r w:rsidR="00E85F96">
        <w:t xml:space="preserve">start- en groeifase van dit soort ondernemingen zijn de </w:t>
      </w:r>
      <w:r w:rsidR="00DD7838">
        <w:t xml:space="preserve">investeringen in </w:t>
      </w:r>
      <w:r w:rsidR="00E85F96">
        <w:t>aandelen van deze bedrijven vaak</w:t>
      </w:r>
      <w:r w:rsidR="00B02C32">
        <w:t xml:space="preserve"> </w:t>
      </w:r>
      <w:r w:rsidR="002526AA">
        <w:t xml:space="preserve">zeer </w:t>
      </w:r>
      <w:r w:rsidR="009B0FE2">
        <w:t xml:space="preserve">risicovol, </w:t>
      </w:r>
      <w:r w:rsidR="00B02C32">
        <w:t>nog</w:t>
      </w:r>
      <w:r w:rsidR="00E85F96">
        <w:t xml:space="preserve"> niet liquide en </w:t>
      </w:r>
      <w:r w:rsidR="00B02C32">
        <w:t xml:space="preserve">nog </w:t>
      </w:r>
      <w:r w:rsidR="00E85F96">
        <w:t>niet waardevast</w:t>
      </w:r>
      <w:r w:rsidR="009B0FE2">
        <w:t>. Dat komt</w:t>
      </w:r>
      <w:r w:rsidR="00E85F96">
        <w:t xml:space="preserve"> </w:t>
      </w:r>
      <w:r>
        <w:t xml:space="preserve">mede </w:t>
      </w:r>
      <w:r w:rsidR="00E85F96">
        <w:t xml:space="preserve">omdat dit soort ondernemingen vaak </w:t>
      </w:r>
      <w:r>
        <w:t xml:space="preserve">nog </w:t>
      </w:r>
      <w:r w:rsidR="00E85F96">
        <w:t xml:space="preserve">niet of nauwelijks </w:t>
      </w:r>
      <w:r w:rsidR="00624DC7">
        <w:t xml:space="preserve">winst </w:t>
      </w:r>
      <w:r w:rsidR="00E85F96">
        <w:t xml:space="preserve">genereren. </w:t>
      </w:r>
    </w:p>
    <w:p w:rsidR="00C97CB7" w:rsidRDefault="00C97CB7" w14:paraId="3809E1F8" w14:textId="77777777"/>
    <w:p w:rsidR="00AD4CF4" w:rsidP="002526AA" w:rsidRDefault="00C97CB7" w14:paraId="6E2EC966" w14:textId="77777777">
      <w:r>
        <w:t>De</w:t>
      </w:r>
      <w:r w:rsidR="00B02C32">
        <w:t xml:space="preserve"> </w:t>
      </w:r>
      <w:r w:rsidR="002526AA">
        <w:t xml:space="preserve">contouren van een </w:t>
      </w:r>
      <w:r w:rsidR="00B02C32">
        <w:t xml:space="preserve">nieuwe definitie </w:t>
      </w:r>
      <w:r>
        <w:t xml:space="preserve">van </w:t>
      </w:r>
      <w:r w:rsidR="00624DC7">
        <w:t>startups</w:t>
      </w:r>
      <w:r>
        <w:t xml:space="preserve"> houd</w:t>
      </w:r>
      <w:r w:rsidR="00723475">
        <w:t>en</w:t>
      </w:r>
      <w:r>
        <w:t xml:space="preserve"> </w:t>
      </w:r>
      <w:r w:rsidR="00B02C32">
        <w:t xml:space="preserve">rekening met de atypische aspecten van </w:t>
      </w:r>
      <w:r w:rsidR="00624DC7">
        <w:t>startups</w:t>
      </w:r>
      <w:r w:rsidR="009B0FE2">
        <w:t xml:space="preserve">. In plaats van een toets op </w:t>
      </w:r>
      <w:r w:rsidR="00DD7838">
        <w:t>bestaansduur</w:t>
      </w:r>
      <w:r w:rsidR="009B0FE2">
        <w:t xml:space="preserve"> en </w:t>
      </w:r>
      <w:r w:rsidR="00AD4CF4">
        <w:t>jaar</w:t>
      </w:r>
      <w:r w:rsidR="009B0FE2">
        <w:t xml:space="preserve">omzet </w:t>
      </w:r>
      <w:r w:rsidR="00AD4CF4">
        <w:t>word</w:t>
      </w:r>
      <w:r w:rsidR="00723475">
        <w:t>t</w:t>
      </w:r>
      <w:r w:rsidR="00AD4CF4">
        <w:t xml:space="preserve"> getoetst</w:t>
      </w:r>
      <w:r w:rsidR="00B02C32">
        <w:t xml:space="preserve"> op innovatie, schaalbaarheid en liquiditeit van de onderneming.</w:t>
      </w:r>
      <w:r>
        <w:t xml:space="preserve"> </w:t>
      </w:r>
      <w:r w:rsidR="002526AA">
        <w:t xml:space="preserve">Om de uitvoering van de regeling door de Belastingdienst zoveel mogelijk te ontlasten </w:t>
      </w:r>
      <w:r w:rsidR="00AD4CF4">
        <w:t xml:space="preserve">zal de Rijksdienst voor Ondernemend Nederland (RVO) een belangrijke rol spelen in de toetsing van deze definitie. De </w:t>
      </w:r>
      <w:r w:rsidR="009B0FE2">
        <w:t>RVO heeft</w:t>
      </w:r>
      <w:r w:rsidR="00387DE0">
        <w:t xml:space="preserve"> ervaring met </w:t>
      </w:r>
      <w:r w:rsidR="00A6521E">
        <w:t xml:space="preserve">de beoordeling van </w:t>
      </w:r>
      <w:r w:rsidR="00723475">
        <w:t>startups</w:t>
      </w:r>
      <w:r w:rsidR="00387DE0">
        <w:t xml:space="preserve">, omdat ze </w:t>
      </w:r>
      <w:r w:rsidR="002526AA">
        <w:t>een vergelijkbare toets uitvoeren</w:t>
      </w:r>
      <w:r w:rsidR="00387DE0">
        <w:t xml:space="preserve"> voor de Immigratie en Naturalisatiedienst voor de aanvraag van een verblijfsvergunning voor essentieel </w:t>
      </w:r>
      <w:r w:rsidR="00723475">
        <w:t>startup</w:t>
      </w:r>
      <w:r w:rsidR="00387DE0">
        <w:t xml:space="preserve"> personeel.</w:t>
      </w:r>
      <w:r w:rsidR="00AD4CF4">
        <w:rPr>
          <w:rStyle w:val="Voetnootmarkering"/>
        </w:rPr>
        <w:footnoteReference w:id="2"/>
      </w:r>
      <w:r w:rsidR="00AD4CF4">
        <w:t xml:space="preserve"> </w:t>
      </w:r>
    </w:p>
    <w:p w:rsidR="00AD4CF4" w:rsidP="002526AA" w:rsidRDefault="00AD4CF4" w14:paraId="13F133E3" w14:textId="77777777"/>
    <w:p w:rsidRPr="002526AA" w:rsidR="002526AA" w:rsidP="002526AA" w:rsidRDefault="00A6521E" w14:paraId="2760393F" w14:textId="77777777">
      <w:r>
        <w:t xml:space="preserve">In de nieuwe definitie </w:t>
      </w:r>
      <w:r w:rsidRPr="002526AA" w:rsidR="002526AA">
        <w:t xml:space="preserve">is sprake van een </w:t>
      </w:r>
      <w:r w:rsidRPr="002526AA" w:rsidR="00723475">
        <w:t>startup</w:t>
      </w:r>
      <w:r w:rsidRPr="002526AA" w:rsidR="002526AA">
        <w:t xml:space="preserve"> of </w:t>
      </w:r>
      <w:proofErr w:type="spellStart"/>
      <w:r w:rsidRPr="002526AA" w:rsidR="002526AA">
        <w:t>scale</w:t>
      </w:r>
      <w:proofErr w:type="spellEnd"/>
      <w:r w:rsidRPr="002526AA" w:rsidR="002526AA">
        <w:t>-up als</w:t>
      </w:r>
      <w:r w:rsidR="007518AB">
        <w:t xml:space="preserve"> </w:t>
      </w:r>
      <w:r w:rsidRPr="007518AB" w:rsidR="007518AB">
        <w:t>aan de volgende vier cumulatieve voorwaarden is voldaan</w:t>
      </w:r>
      <w:r w:rsidRPr="002526AA" w:rsidR="002526AA">
        <w:t>:</w:t>
      </w:r>
    </w:p>
    <w:p w:rsidR="002526AA" w:rsidP="002526AA" w:rsidRDefault="002526AA" w14:paraId="3180FF0D" w14:textId="77777777">
      <w:pPr>
        <w:pStyle w:val="Lijstalinea"/>
        <w:numPr>
          <w:ilvl w:val="0"/>
          <w:numId w:val="8"/>
        </w:numPr>
      </w:pPr>
      <w:r w:rsidRPr="002526AA">
        <w:t>De onderneming innovatief is en er sprake is van schaalbare</w:t>
      </w:r>
      <w:r>
        <w:t xml:space="preserve"> </w:t>
      </w:r>
      <w:r w:rsidRPr="002526AA">
        <w:t>bedrijfsactiviteiten.</w:t>
      </w:r>
    </w:p>
    <w:p w:rsidR="002526AA" w:rsidP="002526AA" w:rsidRDefault="002526AA" w14:paraId="3CC57568" w14:textId="77777777">
      <w:pPr>
        <w:pStyle w:val="Lijstalinea"/>
        <w:numPr>
          <w:ilvl w:val="0"/>
          <w:numId w:val="8"/>
        </w:numPr>
      </w:pPr>
      <w:r w:rsidRPr="002526AA">
        <w:t>De onderneming kan aantonen welke stappen nodig zijn om deze</w:t>
      </w:r>
      <w:r w:rsidR="00AD4CF4">
        <w:t xml:space="preserve"> </w:t>
      </w:r>
      <w:r w:rsidRPr="002526AA">
        <w:t>schaalbare activiteiten en groei te realiseren middels een groeiplan.</w:t>
      </w:r>
    </w:p>
    <w:p w:rsidR="002526AA" w:rsidP="002526AA" w:rsidRDefault="002526AA" w14:paraId="7E35EEE5" w14:textId="77777777">
      <w:pPr>
        <w:pStyle w:val="Lijstalinea"/>
        <w:numPr>
          <w:ilvl w:val="0"/>
          <w:numId w:val="8"/>
        </w:numPr>
      </w:pPr>
      <w:r w:rsidRPr="002526AA">
        <w:t xml:space="preserve">De </w:t>
      </w:r>
      <w:r w:rsidR="00AB6072">
        <w:t>onderneming wordt gedreven als een besloten vennootschap, naamloze vennootschap of een vergelijkbare Europese rechtsvorm.</w:t>
      </w:r>
    </w:p>
    <w:p w:rsidR="002526AA" w:rsidP="002D5E0E" w:rsidRDefault="002526AA" w14:paraId="761AB868" w14:textId="77777777">
      <w:pPr>
        <w:pStyle w:val="Lijstalinea"/>
        <w:numPr>
          <w:ilvl w:val="0"/>
          <w:numId w:val="8"/>
        </w:numPr>
      </w:pPr>
      <w:r w:rsidRPr="002526AA">
        <w:t>De onderneming niet in surseance of faillissement verkeert en beschikt</w:t>
      </w:r>
      <w:r>
        <w:t xml:space="preserve"> </w:t>
      </w:r>
      <w:r w:rsidRPr="002526AA">
        <w:t>over een passende solvabiliteit en liquiditeit voor een innovatieve onderneming met schaalbare bedrijfsactiviteiten.</w:t>
      </w:r>
    </w:p>
    <w:p w:rsidR="00BF0A74" w:rsidRDefault="00BF0A74" w14:paraId="7A21594D" w14:textId="77777777"/>
    <w:p w:rsidR="00E02515" w:rsidRDefault="00AD4CF4" w14:paraId="6C6BD1FC" w14:textId="77777777">
      <w:r>
        <w:t xml:space="preserve">De onderneming dient bij de RVO een aanvraag in en verstrekt hiervoor de benodigde documenten. Na een positieve beoordeling geeft de RVO een beschikking af aan de onderneming. </w:t>
      </w:r>
      <w:r w:rsidR="00E02515">
        <w:t xml:space="preserve">De onderneming informeert haar aandeelhouders. </w:t>
      </w:r>
      <w:r>
        <w:t xml:space="preserve">De aandeelhouders (natuurlijke personen) van de onderneming geven in de aangifte inkomstenbelasting </w:t>
      </w:r>
      <w:r w:rsidR="00E02515">
        <w:t xml:space="preserve">de aandelen in de </w:t>
      </w:r>
      <w:r w:rsidR="00E85D85">
        <w:t>startup</w:t>
      </w:r>
      <w:r w:rsidR="00E02515">
        <w:t xml:space="preserve"> aan onder het regime van de vermogenswinstbelasting in box 3.</w:t>
      </w:r>
      <w:r w:rsidR="00E02515">
        <w:rPr>
          <w:rStyle w:val="Voetnootmarkering"/>
        </w:rPr>
        <w:footnoteReference w:id="3"/>
      </w:r>
      <w:r w:rsidR="00E02515">
        <w:t xml:space="preserve"> </w:t>
      </w:r>
      <w:r w:rsidR="00BF0A74">
        <w:t xml:space="preserve">De beschikking </w:t>
      </w:r>
      <w:r w:rsidR="0051723B">
        <w:t xml:space="preserve">van de RVO voor </w:t>
      </w:r>
      <w:r w:rsidR="00E85D85">
        <w:t>startups</w:t>
      </w:r>
      <w:r w:rsidR="0051723B">
        <w:t xml:space="preserve"> </w:t>
      </w:r>
      <w:r w:rsidR="00BF0A74">
        <w:t xml:space="preserve">heeft in </w:t>
      </w:r>
      <w:r w:rsidR="0051723B">
        <w:t>eerste instantie</w:t>
      </w:r>
      <w:r w:rsidR="00BF0A74">
        <w:t xml:space="preserve"> een looptijd van acht jaren, waarna </w:t>
      </w:r>
      <w:r w:rsidR="0051723B">
        <w:t xml:space="preserve">de beschikking </w:t>
      </w:r>
      <w:r w:rsidR="00BF0A74">
        <w:t xml:space="preserve">in termijnen van vijf jaren </w:t>
      </w:r>
      <w:r w:rsidR="00CD71CB">
        <w:t xml:space="preserve">na hertoetsing </w:t>
      </w:r>
      <w:r w:rsidR="00BF0A74">
        <w:t>verlengd kan worden.</w:t>
      </w:r>
      <w:r w:rsidR="0061650F">
        <w:t xml:space="preserve"> </w:t>
      </w:r>
    </w:p>
    <w:p w:rsidR="00E02515" w:rsidRDefault="00E02515" w14:paraId="7F63A9DA" w14:textId="77777777"/>
    <w:p w:rsidR="00BF0A74" w:rsidRDefault="00BF0A74" w14:paraId="2D781365" w14:textId="77777777">
      <w:r>
        <w:t xml:space="preserve">De aandelen verlaten </w:t>
      </w:r>
      <w:r w:rsidR="00E02515">
        <w:t>in box 3 het regime van de vermogenswinstbelasting</w:t>
      </w:r>
      <w:r>
        <w:t xml:space="preserve"> </w:t>
      </w:r>
      <w:r w:rsidR="00B02C32">
        <w:t xml:space="preserve">als de </w:t>
      </w:r>
      <w:r w:rsidR="00CD71CB">
        <w:t xml:space="preserve">termijn van de </w:t>
      </w:r>
      <w:r w:rsidR="00B02C32">
        <w:t>beschikking afloopt of als</w:t>
      </w:r>
      <w:r w:rsidR="0061650F">
        <w:t xml:space="preserve"> er </w:t>
      </w:r>
      <w:r w:rsidR="007518AB">
        <w:t xml:space="preserve">(gedurende die termijn) </w:t>
      </w:r>
      <w:r w:rsidR="00194129">
        <w:t>sprake is van een van de volgende situaties</w:t>
      </w:r>
      <w:r w:rsidR="0061650F">
        <w:t>:</w:t>
      </w:r>
    </w:p>
    <w:p w:rsidR="00B02C32" w:rsidP="00B02C32" w:rsidRDefault="00B02C32" w14:paraId="728CE5A0" w14:textId="77777777">
      <w:pPr>
        <w:pStyle w:val="Lijstalinea"/>
        <w:numPr>
          <w:ilvl w:val="0"/>
          <w:numId w:val="7"/>
        </w:numPr>
      </w:pPr>
      <w:r>
        <w:t xml:space="preserve">Het is mogelijk om als aandeelhouder 70% of meer (hoofdzakelijk) van </w:t>
      </w:r>
      <w:r w:rsidR="007518AB">
        <w:t xml:space="preserve">de aandelen van </w:t>
      </w:r>
      <w:r>
        <w:t xml:space="preserve">het eigen aandelenpakket in het bedrijf aan te bieden voor inkoop door de </w:t>
      </w:r>
      <w:r w:rsidR="00E85D85">
        <w:t>startup</w:t>
      </w:r>
      <w:r>
        <w:t xml:space="preserve"> tegen de waarde in het economisch verkeer</w:t>
      </w:r>
      <w:r w:rsidR="007518AB">
        <w:t>.</w:t>
      </w:r>
    </w:p>
    <w:p w:rsidR="00B02C32" w:rsidP="00B02C32" w:rsidRDefault="00B02C32" w14:paraId="22522676" w14:textId="77777777">
      <w:pPr>
        <w:pStyle w:val="Lijstalinea"/>
        <w:numPr>
          <w:ilvl w:val="0"/>
          <w:numId w:val="7"/>
        </w:numPr>
        <w:rPr>
          <w:color w:val="000000" w:themeColor="text1"/>
        </w:rPr>
      </w:pPr>
      <w:r>
        <w:t xml:space="preserve">Het is mogelijk om als aandeelhouder 70% of meer (hoofdzakelijk) van </w:t>
      </w:r>
      <w:r w:rsidR="007518AB">
        <w:t xml:space="preserve">de aandelen van </w:t>
      </w:r>
      <w:r>
        <w:t>het eigen aandelenpakket in het bedrijf aan te bieden aan een andere (rechts)persoon tegen de waarde in het economisch verkeer;</w:t>
      </w:r>
    </w:p>
    <w:p w:rsidR="00B02C32" w:rsidP="00B02C32" w:rsidRDefault="00B02C32" w14:paraId="449A2FBE" w14:textId="77777777">
      <w:pPr>
        <w:pStyle w:val="Lijstalinea"/>
        <w:numPr>
          <w:ilvl w:val="0"/>
          <w:numId w:val="7"/>
        </w:numPr>
      </w:pPr>
      <w:r>
        <w:t>Er is sprake van een beursgang.</w:t>
      </w:r>
    </w:p>
    <w:p w:rsidR="00387DE0" w:rsidRDefault="00387DE0" w14:paraId="6A2672AC" w14:textId="77777777"/>
    <w:p w:rsidR="00E02515" w:rsidRDefault="00E02515" w14:paraId="600A2AD7" w14:textId="77777777">
      <w:r>
        <w:lastRenderedPageBreak/>
        <w:t xml:space="preserve">Als de aandelen </w:t>
      </w:r>
      <w:r w:rsidR="00A07FD9">
        <w:t xml:space="preserve">in box 3 </w:t>
      </w:r>
      <w:r>
        <w:t xml:space="preserve">het regime van de vermogenswinstbelasting verlaten zal </w:t>
      </w:r>
      <w:r w:rsidR="000C666D">
        <w:t xml:space="preserve">in dat jaar </w:t>
      </w:r>
      <w:r w:rsidR="00747B3E">
        <w:t>belasting</w:t>
      </w:r>
      <w:r>
        <w:t xml:space="preserve">heffing plaatsvinden over het verschil tussen de waarde in het economische verkeer op dat moment en </w:t>
      </w:r>
      <w:r w:rsidR="00A07FD9">
        <w:t xml:space="preserve">de oorspronkelijke </w:t>
      </w:r>
      <w:r w:rsidR="00CD71CB">
        <w:t>verkrijgings</w:t>
      </w:r>
      <w:r w:rsidR="00A07FD9">
        <w:t>prijs</w:t>
      </w:r>
      <w:r w:rsidR="002F0054">
        <w:rPr>
          <w:rStyle w:val="Voetnootmarkering"/>
        </w:rPr>
        <w:footnoteReference w:id="4"/>
      </w:r>
      <w:r w:rsidR="00CD71CB">
        <w:t xml:space="preserve"> van de aandelen</w:t>
      </w:r>
      <w:r w:rsidR="00A07FD9">
        <w:t>.</w:t>
      </w:r>
    </w:p>
    <w:p w:rsidR="00B614D4" w:rsidRDefault="00B614D4" w14:paraId="011A6BB3" w14:textId="77777777"/>
    <w:p w:rsidRPr="002D5E0E" w:rsidR="00E02515" w:rsidRDefault="00E02515" w14:paraId="6DA27396" w14:textId="77777777">
      <w:pPr>
        <w:rPr>
          <w:b/>
          <w:bCs/>
        </w:rPr>
      </w:pPr>
      <w:r>
        <w:rPr>
          <w:b/>
          <w:bCs/>
        </w:rPr>
        <w:t>Vervolgproces voor box 3</w:t>
      </w:r>
    </w:p>
    <w:p w:rsidR="000C666D" w:rsidP="00805F89" w:rsidRDefault="000C666D" w14:paraId="0C393F3A" w14:textId="77777777">
      <w:r>
        <w:t>Beoogd is om de nieuwe definitie via een nota van wijziging te verwerken in het wetsvoorstel.</w:t>
      </w:r>
      <w:r w:rsidR="00B614D4">
        <w:t xml:space="preserve"> </w:t>
      </w:r>
      <w:r w:rsidR="00747B3E">
        <w:t>De</w:t>
      </w:r>
      <w:r w:rsidR="00295D42">
        <w:t xml:space="preserve"> nieuwe definitie </w:t>
      </w:r>
      <w:r w:rsidR="00747B3E">
        <w:t>wordt in lagere regelgeving nader</w:t>
      </w:r>
      <w:r w:rsidR="00295D42">
        <w:t xml:space="preserve"> </w:t>
      </w:r>
      <w:r w:rsidR="00231927">
        <w:t xml:space="preserve">uitgewerkt en </w:t>
      </w:r>
      <w:r w:rsidR="00295D42">
        <w:t>toegelicht</w:t>
      </w:r>
      <w:r w:rsidR="00231927">
        <w:t xml:space="preserve">. </w:t>
      </w:r>
      <w:r w:rsidR="00747B3E">
        <w:t>Daarnaast</w:t>
      </w:r>
      <w:r>
        <w:t xml:space="preserve"> moeten </w:t>
      </w:r>
      <w:r w:rsidR="00B614D4">
        <w:t xml:space="preserve">nog een aantal </w:t>
      </w:r>
      <w:r>
        <w:t xml:space="preserve">zaken nader onderzocht worden, zoals de uitvoeringsgevolgen voor de Belastingdienst en de RVO. </w:t>
      </w:r>
      <w:r w:rsidR="00805F89">
        <w:t xml:space="preserve">Voor de Belastingdienst zal onder andere gekeken worden naar de ICT-aspecten en de effecten op het toezicht en de handhaving. </w:t>
      </w:r>
      <w:r>
        <w:t xml:space="preserve">Specifiek </w:t>
      </w:r>
      <w:r w:rsidR="00805F89">
        <w:t>ten aanzien van</w:t>
      </w:r>
      <w:r>
        <w:t xml:space="preserve"> de RVO moeten afspraken worden gemaakt </w:t>
      </w:r>
      <w:r w:rsidRPr="000C666D">
        <w:t>over de</w:t>
      </w:r>
      <w:r>
        <w:t xml:space="preserve"> </w:t>
      </w:r>
      <w:r w:rsidRPr="000C666D">
        <w:t>wijze van financiering,</w:t>
      </w:r>
      <w:r w:rsidR="00CD71CB">
        <w:t xml:space="preserve"> moeten</w:t>
      </w:r>
      <w:r w:rsidRPr="000C666D">
        <w:t xml:space="preserve"> richtlijnen </w:t>
      </w:r>
      <w:r w:rsidR="00805F89">
        <w:t xml:space="preserve">worden vastgesteld </w:t>
      </w:r>
      <w:r w:rsidRPr="000C666D">
        <w:t xml:space="preserve">voor het beoordelingsbeleid en </w:t>
      </w:r>
      <w:r w:rsidR="00CD71CB">
        <w:t xml:space="preserve">zal de grondslag voor de </w:t>
      </w:r>
      <w:r w:rsidRPr="000C666D">
        <w:t>gegevenslevering tussen de RVO en de Belastingdienst</w:t>
      </w:r>
      <w:r w:rsidR="00805F89">
        <w:t xml:space="preserve"> ingericht worden</w:t>
      </w:r>
      <w:r w:rsidRPr="000C666D">
        <w:t xml:space="preserve">. </w:t>
      </w:r>
      <w:r w:rsidR="00805F89">
        <w:t>De uitvoeringsgevolgen voor beide organisaties zullen uiteindelijk</w:t>
      </w:r>
      <w:r w:rsidR="00CD71CB">
        <w:t xml:space="preserve"> worden opgenomen</w:t>
      </w:r>
      <w:r w:rsidR="00805F89">
        <w:t xml:space="preserve"> in een uitvoeringstoets. </w:t>
      </w:r>
      <w:r w:rsidRPr="007563E9" w:rsidR="007563E9">
        <w:t xml:space="preserve">Op basis van de beschikbare informatie is de verwachting dat de nieuwe definitie niet tot wijzigingen in de geraamde budgettaire opbrengst leidt. De definitie past daarmee binnen het uitgangspunt van budgetneutraliteit. </w:t>
      </w:r>
    </w:p>
    <w:p w:rsidR="00C56BC7" w:rsidRDefault="00C56BC7" w14:paraId="0B3B4B25" w14:textId="77777777"/>
    <w:p w:rsidR="00E02515" w:rsidRDefault="00E02515" w14:paraId="7CBE9152" w14:textId="77777777">
      <w:r w:rsidRPr="00E02515">
        <w:rPr>
          <w:b/>
          <w:bCs/>
        </w:rPr>
        <w:t xml:space="preserve">Samenloop met </w:t>
      </w:r>
      <w:r w:rsidRPr="002D5E0E">
        <w:rPr>
          <w:b/>
          <w:bCs/>
        </w:rPr>
        <w:t>aandelenoptieregeling in de loonheffingen</w:t>
      </w:r>
    </w:p>
    <w:p w:rsidR="00184D1B" w:rsidP="00805F89" w:rsidRDefault="00805F89" w14:paraId="35D9F08C" w14:textId="77777777">
      <w:r w:rsidRPr="00805F89">
        <w:t>Voor de beleidsmatige consistentie</w:t>
      </w:r>
      <w:r>
        <w:t>, herkenbaarheid</w:t>
      </w:r>
      <w:r w:rsidRPr="00805F89">
        <w:t xml:space="preserve"> en uitvoerbaarheid </w:t>
      </w:r>
      <w:r>
        <w:t>is het wenselijk dat de beoogde nieuwe definitie voor</w:t>
      </w:r>
      <w:r w:rsidR="00624DC7">
        <w:t xml:space="preserve"> startups en </w:t>
      </w:r>
      <w:proofErr w:type="spellStart"/>
      <w:r w:rsidR="00624DC7">
        <w:t>scale</w:t>
      </w:r>
      <w:proofErr w:type="spellEnd"/>
      <w:r w:rsidR="00624DC7">
        <w:t>-ups in</w:t>
      </w:r>
      <w:r>
        <w:t xml:space="preserve"> box 3 ook gaat gelden voor de nieuwe </w:t>
      </w:r>
      <w:r w:rsidRPr="00805F89">
        <w:t xml:space="preserve">aandelenoptieregeling </w:t>
      </w:r>
      <w:r>
        <w:t xml:space="preserve">voor werknemers </w:t>
      </w:r>
      <w:r w:rsidRPr="00805F89">
        <w:t>in de loonheffing</w:t>
      </w:r>
      <w:r w:rsidR="00747B3E">
        <w:t>en</w:t>
      </w:r>
      <w:r w:rsidRPr="00805F89">
        <w:t>.</w:t>
      </w:r>
      <w:r w:rsidR="008F60C6">
        <w:t xml:space="preserve"> Om te worden toegelaten tot de aandelenoptieregeling voor </w:t>
      </w:r>
      <w:r w:rsidR="00624DC7">
        <w:t>startups</w:t>
      </w:r>
      <w:r w:rsidR="008F60C6">
        <w:t xml:space="preserve"> en </w:t>
      </w:r>
      <w:proofErr w:type="spellStart"/>
      <w:r w:rsidR="008F60C6">
        <w:t>scale</w:t>
      </w:r>
      <w:proofErr w:type="spellEnd"/>
      <w:r w:rsidR="008F60C6">
        <w:t xml:space="preserve">-ups in de loonbelasting, zal de </w:t>
      </w:r>
      <w:r w:rsidR="00624DC7">
        <w:t>startup</w:t>
      </w:r>
      <w:r w:rsidR="008F60C6">
        <w:t>/</w:t>
      </w:r>
      <w:proofErr w:type="spellStart"/>
      <w:r w:rsidR="008F60C6">
        <w:t>scale</w:t>
      </w:r>
      <w:proofErr w:type="spellEnd"/>
      <w:r w:rsidR="008F60C6">
        <w:t xml:space="preserve">-up op het moment van </w:t>
      </w:r>
      <w:r w:rsidRPr="0075014B" w:rsidR="008F60C6">
        <w:t>toekenning van de aandelenopties dienen</w:t>
      </w:r>
      <w:r w:rsidR="008F60C6">
        <w:t xml:space="preserve"> te beschikken over een positieve beschikking van de RVO.</w:t>
      </w:r>
      <w:r w:rsidR="00876389">
        <w:t xml:space="preserve"> </w:t>
      </w:r>
      <w:r w:rsidRPr="008C745D" w:rsidR="008C745D">
        <w:t>Bij de uitwerking van de nieuwe regeling zal nog worden be</w:t>
      </w:r>
      <w:r w:rsidR="002621EE">
        <w:t>sloten</w:t>
      </w:r>
      <w:r w:rsidRPr="008C745D" w:rsidR="008C745D">
        <w:t xml:space="preserve"> of en in hoeverre in overgangsrecht zal worden voorzien voor aandelenopties die al voor inwerkingtreding van de nieuwe regeling zijn/worden toegekend</w:t>
      </w:r>
      <w:r w:rsidR="008C745D">
        <w:t xml:space="preserve">. </w:t>
      </w:r>
      <w:r w:rsidRPr="00034584" w:rsidR="00034584">
        <w:t xml:space="preserve">Het kabinet is op dit </w:t>
      </w:r>
      <w:r w:rsidR="00184D1B">
        <w:t xml:space="preserve">moment </w:t>
      </w:r>
      <w:r w:rsidRPr="00034584" w:rsidR="00034584">
        <w:t>voornemens de aandelenoptieregeling in de loonbelasting te introduceren per 2027 voorafgaand aan de introductie van het nieuwe box 3-stelsel per 2028.</w:t>
      </w:r>
    </w:p>
    <w:p w:rsidRPr="00E02515" w:rsidR="00184D1B" w:rsidP="00805F89" w:rsidRDefault="00184D1B" w14:paraId="04EE0B25" w14:textId="77777777"/>
    <w:p w:rsidR="006A73B9" w:rsidP="00034584" w:rsidRDefault="00231D67" w14:paraId="3B2E4D94" w14:textId="77777777">
      <w:r>
        <w:t>Hoogachtend,</w:t>
      </w:r>
    </w:p>
    <w:p w:rsidR="006A73B9" w:rsidRDefault="006A73B9" w14:paraId="7A62F70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A73B9" w14:paraId="3033FC6B" w14:textId="77777777">
        <w:tc>
          <w:tcPr>
            <w:tcW w:w="3592" w:type="dxa"/>
          </w:tcPr>
          <w:p w:rsidR="006A73B9" w:rsidP="007E1E6E" w:rsidRDefault="00231D67" w14:paraId="41AB1C89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  <w:t>T. van Oostenbrug</w:t>
            </w:r>
            <w:r w:rsidR="00A1542E">
              <w:t>gen</w:t>
            </w:r>
          </w:p>
        </w:tc>
        <w:tc>
          <w:tcPr>
            <w:tcW w:w="3892" w:type="dxa"/>
          </w:tcPr>
          <w:p w:rsidR="006A73B9" w:rsidRDefault="006A73B9" w14:paraId="5C7283B7" w14:textId="77777777"/>
        </w:tc>
      </w:tr>
      <w:tr w:rsidR="006A73B9" w14:paraId="6764A259" w14:textId="77777777">
        <w:tc>
          <w:tcPr>
            <w:tcW w:w="3592" w:type="dxa"/>
          </w:tcPr>
          <w:p w:rsidR="006A73B9" w:rsidRDefault="006A73B9" w14:paraId="55674ECA" w14:textId="77777777"/>
        </w:tc>
        <w:tc>
          <w:tcPr>
            <w:tcW w:w="3892" w:type="dxa"/>
          </w:tcPr>
          <w:p w:rsidR="006A73B9" w:rsidRDefault="006A73B9" w14:paraId="774684E1" w14:textId="77777777"/>
        </w:tc>
      </w:tr>
      <w:tr w:rsidR="006A73B9" w14:paraId="4D3A2F3E" w14:textId="77777777">
        <w:tc>
          <w:tcPr>
            <w:tcW w:w="3592" w:type="dxa"/>
          </w:tcPr>
          <w:p w:rsidR="006A73B9" w:rsidRDefault="006A73B9" w14:paraId="1AB51EDB" w14:textId="77777777"/>
        </w:tc>
        <w:tc>
          <w:tcPr>
            <w:tcW w:w="3892" w:type="dxa"/>
          </w:tcPr>
          <w:p w:rsidR="006A73B9" w:rsidRDefault="006A73B9" w14:paraId="316D67F7" w14:textId="77777777"/>
        </w:tc>
      </w:tr>
      <w:tr w:rsidR="006A73B9" w14:paraId="2E96D1EB" w14:textId="77777777">
        <w:tc>
          <w:tcPr>
            <w:tcW w:w="3592" w:type="dxa"/>
          </w:tcPr>
          <w:p w:rsidR="006A73B9" w:rsidRDefault="006A73B9" w14:paraId="4C33466C" w14:textId="77777777"/>
        </w:tc>
        <w:tc>
          <w:tcPr>
            <w:tcW w:w="3892" w:type="dxa"/>
          </w:tcPr>
          <w:p w:rsidR="006A73B9" w:rsidRDefault="006A73B9" w14:paraId="66218276" w14:textId="77777777"/>
        </w:tc>
      </w:tr>
      <w:tr w:rsidR="006A73B9" w14:paraId="1BEF0A4D" w14:textId="77777777">
        <w:tc>
          <w:tcPr>
            <w:tcW w:w="3592" w:type="dxa"/>
          </w:tcPr>
          <w:p w:rsidR="006A73B9" w:rsidRDefault="006A73B9" w14:paraId="6AFFF12C" w14:textId="77777777"/>
        </w:tc>
        <w:tc>
          <w:tcPr>
            <w:tcW w:w="3892" w:type="dxa"/>
          </w:tcPr>
          <w:p w:rsidR="006A73B9" w:rsidRDefault="006A73B9" w14:paraId="77D405CA" w14:textId="77777777"/>
        </w:tc>
      </w:tr>
    </w:tbl>
    <w:p w:rsidR="006A73B9" w:rsidP="00B15D86" w:rsidRDefault="006A73B9" w14:paraId="3C6ADF73" w14:textId="77777777">
      <w:pPr>
        <w:pStyle w:val="Verdana7"/>
      </w:pPr>
    </w:p>
    <w:sectPr w:rsidR="006A73B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C701" w14:textId="77777777" w:rsidR="005F50C5" w:rsidRDefault="005F50C5">
      <w:pPr>
        <w:spacing w:line="240" w:lineRule="auto"/>
      </w:pPr>
      <w:r>
        <w:separator/>
      </w:r>
    </w:p>
  </w:endnote>
  <w:endnote w:type="continuationSeparator" w:id="0">
    <w:p w14:paraId="330692F9" w14:textId="77777777" w:rsidR="005F50C5" w:rsidRDefault="005F5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9AAE" w14:textId="77777777" w:rsidR="005F50C5" w:rsidRDefault="005F50C5">
      <w:pPr>
        <w:spacing w:line="240" w:lineRule="auto"/>
      </w:pPr>
      <w:r>
        <w:separator/>
      </w:r>
    </w:p>
  </w:footnote>
  <w:footnote w:type="continuationSeparator" w:id="0">
    <w:p w14:paraId="7E2B96A7" w14:textId="77777777" w:rsidR="005F50C5" w:rsidRDefault="005F50C5">
      <w:pPr>
        <w:spacing w:line="240" w:lineRule="auto"/>
      </w:pPr>
      <w:r>
        <w:continuationSeparator/>
      </w:r>
    </w:p>
  </w:footnote>
  <w:footnote w:id="1">
    <w:p w14:paraId="0D4A6446" w14:textId="77777777" w:rsidR="00DC4036" w:rsidRPr="002D5E0E" w:rsidRDefault="00DC4036">
      <w:pPr>
        <w:pStyle w:val="Voetnoottekst"/>
        <w:rPr>
          <w:sz w:val="16"/>
          <w:szCs w:val="16"/>
        </w:rPr>
      </w:pPr>
      <w:r w:rsidRPr="002D5E0E">
        <w:rPr>
          <w:rStyle w:val="Voetnootmarkering"/>
          <w:sz w:val="16"/>
          <w:szCs w:val="16"/>
        </w:rPr>
        <w:footnoteRef/>
      </w:r>
      <w:r w:rsidRPr="002D5E0E">
        <w:rPr>
          <w:sz w:val="16"/>
          <w:szCs w:val="16"/>
        </w:rPr>
        <w:t xml:space="preserve"> </w:t>
      </w:r>
      <w:proofErr w:type="spellStart"/>
      <w:r w:rsidRPr="002D5E0E">
        <w:rPr>
          <w:sz w:val="16"/>
          <w:szCs w:val="16"/>
        </w:rPr>
        <w:t>Kamerstuk</w:t>
      </w:r>
      <w:r w:rsidR="0020337F">
        <w:rPr>
          <w:sz w:val="16"/>
          <w:szCs w:val="16"/>
        </w:rPr>
        <w:t>en</w:t>
      </w:r>
      <w:proofErr w:type="spellEnd"/>
      <w:r w:rsidR="0020337F">
        <w:rPr>
          <w:sz w:val="16"/>
          <w:szCs w:val="16"/>
        </w:rPr>
        <w:t xml:space="preserve"> II 2024/25, 36725, nr. 1, p. 35.</w:t>
      </w:r>
    </w:p>
  </w:footnote>
  <w:footnote w:id="2">
    <w:p w14:paraId="79F5825B" w14:textId="77777777" w:rsidR="00AD4CF4" w:rsidRDefault="00AD4CF4">
      <w:pPr>
        <w:pStyle w:val="Voetnoottekst"/>
      </w:pPr>
      <w:r w:rsidRPr="002D5E0E">
        <w:rPr>
          <w:rStyle w:val="Voetnootmarkering"/>
          <w:sz w:val="16"/>
          <w:szCs w:val="16"/>
        </w:rPr>
        <w:footnoteRef/>
      </w:r>
      <w:r w:rsidRPr="002D5E0E">
        <w:rPr>
          <w:sz w:val="16"/>
          <w:szCs w:val="16"/>
        </w:rPr>
        <w:t xml:space="preserve"> </w:t>
      </w:r>
      <w:r w:rsidR="00BC0E8B" w:rsidRPr="00BC0E8B">
        <w:rPr>
          <w:sz w:val="16"/>
          <w:szCs w:val="16"/>
        </w:rPr>
        <w:t>Kamerstukken II, 2020/21, 30573, nr. 184</w:t>
      </w:r>
    </w:p>
  </w:footnote>
  <w:footnote w:id="3">
    <w:p w14:paraId="5A96CE59" w14:textId="77777777" w:rsidR="00E02515" w:rsidRPr="002D5E0E" w:rsidRDefault="00E02515">
      <w:pPr>
        <w:pStyle w:val="Voetnoottekst"/>
        <w:rPr>
          <w:sz w:val="16"/>
          <w:szCs w:val="16"/>
        </w:rPr>
      </w:pPr>
      <w:r w:rsidRPr="002D5E0E">
        <w:rPr>
          <w:rStyle w:val="Voetnootmarkering"/>
          <w:sz w:val="16"/>
          <w:szCs w:val="16"/>
        </w:rPr>
        <w:footnoteRef/>
      </w:r>
      <w:r w:rsidRPr="002D5E0E">
        <w:rPr>
          <w:sz w:val="16"/>
          <w:szCs w:val="16"/>
        </w:rPr>
        <w:t xml:space="preserve"> Uiteraard voor</w:t>
      </w:r>
      <w:r w:rsidR="000E0D4F">
        <w:rPr>
          <w:sz w:val="16"/>
          <w:szCs w:val="16"/>
        </w:rPr>
        <w:t xml:space="preserve"> </w:t>
      </w:r>
      <w:r w:rsidRPr="002D5E0E">
        <w:rPr>
          <w:sz w:val="16"/>
          <w:szCs w:val="16"/>
        </w:rPr>
        <w:t>zover de aandelen als bezitting in box 3 kwalificeren. Bij een aandelenbelang van 5% of meer is sprake van een aanmerkelijk belang in box 2.</w:t>
      </w:r>
    </w:p>
  </w:footnote>
  <w:footnote w:id="4">
    <w:p w14:paraId="66771EBF" w14:textId="77777777" w:rsidR="002F0054" w:rsidRPr="004A481A" w:rsidRDefault="002F0054">
      <w:pPr>
        <w:pStyle w:val="Voetnoottekst"/>
        <w:rPr>
          <w:sz w:val="16"/>
          <w:szCs w:val="16"/>
        </w:rPr>
      </w:pPr>
      <w:r w:rsidRPr="002F0054">
        <w:rPr>
          <w:rStyle w:val="Voetnootmarkering"/>
          <w:sz w:val="16"/>
          <w:szCs w:val="16"/>
        </w:rPr>
        <w:footnoteRef/>
      </w:r>
      <w:r w:rsidRPr="002F0054">
        <w:rPr>
          <w:sz w:val="16"/>
          <w:szCs w:val="16"/>
        </w:rPr>
        <w:t xml:space="preserve"> Als de aandelen in de startup bij inwerkingtreding van het nieuwe box 3-stelsel al in bezit zijn, wordt de verkrijgingsprijs niet gesteld op de oorspronkelijke verkrijgingsprijs, maar op de waarde in het economische verkeer op 1 januari 2028. </w:t>
      </w:r>
      <w:r w:rsidR="004A481A">
        <w:rPr>
          <w:sz w:val="16"/>
          <w:szCs w:val="16"/>
        </w:rPr>
        <w:t>Wanneer</w:t>
      </w:r>
      <w:r w:rsidRPr="002F0054">
        <w:rPr>
          <w:sz w:val="16"/>
          <w:szCs w:val="16"/>
        </w:rPr>
        <w:t xml:space="preserve"> een onderneming op een later moment gaat kwalificeren als een startup</w:t>
      </w:r>
      <w:r w:rsidR="004A481A">
        <w:rPr>
          <w:sz w:val="16"/>
          <w:szCs w:val="16"/>
        </w:rPr>
        <w:t xml:space="preserve"> </w:t>
      </w:r>
      <w:r w:rsidRPr="002F0054">
        <w:rPr>
          <w:sz w:val="16"/>
          <w:szCs w:val="16"/>
        </w:rPr>
        <w:t>wordt de verkrijgingprijs van de aandelen gesteld op de waarde in het economische verkeer ten tijde van de overgang</w:t>
      </w:r>
      <w:r w:rsidR="004A481A">
        <w:rPr>
          <w:sz w:val="16"/>
          <w:szCs w:val="16"/>
        </w:rPr>
        <w:t xml:space="preserve"> naar het regime van de vermogenswinstbelasting</w:t>
      </w:r>
      <w:r w:rsidRPr="002F005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7614" w14:textId="77777777" w:rsidR="006A73B9" w:rsidRDefault="00231D6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F0D930F" wp14:editId="56CF817D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28D8E" w14:textId="77777777" w:rsidR="006A73B9" w:rsidRDefault="00231D67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35D7CF8" w14:textId="77777777" w:rsidR="006A73B9" w:rsidRDefault="006A73B9">
                          <w:pPr>
                            <w:pStyle w:val="WitregelW1"/>
                          </w:pPr>
                        </w:p>
                        <w:p w14:paraId="249014A8" w14:textId="77777777" w:rsidR="006A73B9" w:rsidRDefault="00231D6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6752D59" w14:textId="77777777" w:rsidR="005F6292" w:rsidRDefault="00FE761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2025-0000149927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0D930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9E28D8E" w14:textId="77777777" w:rsidR="006A73B9" w:rsidRDefault="00231D67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35D7CF8" w14:textId="77777777" w:rsidR="006A73B9" w:rsidRDefault="006A73B9">
                    <w:pPr>
                      <w:pStyle w:val="WitregelW1"/>
                    </w:pPr>
                  </w:p>
                  <w:p w14:paraId="249014A8" w14:textId="77777777" w:rsidR="006A73B9" w:rsidRDefault="00231D6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6752D59" w14:textId="77777777" w:rsidR="005F6292" w:rsidRDefault="00FE761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2025-0000149927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1A77D7C" wp14:editId="4185FF8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5000B" w14:textId="77777777" w:rsidR="005F6292" w:rsidRDefault="00FE76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A77D7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F35000B" w14:textId="77777777" w:rsidR="005F6292" w:rsidRDefault="00FE76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CA88CB9" wp14:editId="792B754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AB05F" w14:textId="77777777" w:rsidR="005F6292" w:rsidRDefault="00FE76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A88CB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70AB05F" w14:textId="77777777" w:rsidR="005F6292" w:rsidRDefault="00FE76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6F63" w14:textId="77777777" w:rsidR="006A73B9" w:rsidRDefault="00231D6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33E864D" wp14:editId="60B2EE4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AAB0B" w14:textId="77777777" w:rsidR="006A73B9" w:rsidRDefault="00231D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53C71E" wp14:editId="6D0A8CA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3E864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60AAB0B" w14:textId="77777777" w:rsidR="006A73B9" w:rsidRDefault="00231D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53C71E" wp14:editId="6D0A8CA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B6CA789" wp14:editId="2264090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4A687" w14:textId="77777777" w:rsidR="00231D67" w:rsidRDefault="00231D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6CA78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1D4A687" w14:textId="77777777" w:rsidR="00231D67" w:rsidRDefault="00231D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BA948C" wp14:editId="7AE1C49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7F3C9" w14:textId="77777777" w:rsidR="006A73B9" w:rsidRDefault="00231D67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05705BBC" w14:textId="77777777" w:rsidR="006A73B9" w:rsidRDefault="006A73B9">
                          <w:pPr>
                            <w:pStyle w:val="WitregelW1"/>
                          </w:pPr>
                        </w:p>
                        <w:p w14:paraId="427BFC7C" w14:textId="77777777" w:rsidR="006A73B9" w:rsidRDefault="00231D6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991FBF0" w14:textId="77777777" w:rsidR="006A73B9" w:rsidRDefault="00231D6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07AE653" w14:textId="77777777" w:rsidR="006A73B9" w:rsidRDefault="00231D6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5E2EA92" w14:textId="77777777" w:rsidR="006A73B9" w:rsidRDefault="00231D6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D4DDCDF" w14:textId="77777777" w:rsidR="006A73B9" w:rsidRDefault="00231D67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F1F3E30" w14:textId="77777777" w:rsidR="006A73B9" w:rsidRDefault="006A73B9">
                          <w:pPr>
                            <w:pStyle w:val="WitregelW2"/>
                          </w:pPr>
                        </w:p>
                        <w:p w14:paraId="2CA195D9" w14:textId="77777777" w:rsidR="006A73B9" w:rsidRDefault="00231D6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DFE7A93" w14:textId="77777777" w:rsidR="005F6292" w:rsidRDefault="00FE761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2025-0000149927</w:t>
                          </w:r>
                          <w:r>
                            <w:fldChar w:fldCharType="end"/>
                          </w:r>
                        </w:p>
                        <w:p w14:paraId="36B143F4" w14:textId="77777777" w:rsidR="006A73B9" w:rsidRDefault="006A73B9">
                          <w:pPr>
                            <w:pStyle w:val="WitregelW1"/>
                          </w:pPr>
                        </w:p>
                        <w:p w14:paraId="4988A65B" w14:textId="77777777" w:rsidR="006A73B9" w:rsidRDefault="00231D6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A62CC2D" w14:textId="77777777" w:rsidR="005F6292" w:rsidRDefault="00FE761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B3F8907" w14:textId="77777777" w:rsidR="006A73B9" w:rsidRDefault="006A73B9">
                          <w:pPr>
                            <w:pStyle w:val="WitregelW1"/>
                          </w:pPr>
                        </w:p>
                        <w:p w14:paraId="2F78B19A" w14:textId="77777777" w:rsidR="006A73B9" w:rsidRDefault="00231D6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442358A" w14:textId="77777777" w:rsidR="006A73B9" w:rsidRDefault="00231D67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BA948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997F3C9" w14:textId="77777777" w:rsidR="006A73B9" w:rsidRDefault="00231D67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05705BBC" w14:textId="77777777" w:rsidR="006A73B9" w:rsidRDefault="006A73B9">
                    <w:pPr>
                      <w:pStyle w:val="WitregelW1"/>
                    </w:pPr>
                  </w:p>
                  <w:p w14:paraId="427BFC7C" w14:textId="77777777" w:rsidR="006A73B9" w:rsidRDefault="00231D6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991FBF0" w14:textId="77777777" w:rsidR="006A73B9" w:rsidRDefault="00231D6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07AE653" w14:textId="77777777" w:rsidR="006A73B9" w:rsidRDefault="00231D6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5E2EA92" w14:textId="77777777" w:rsidR="006A73B9" w:rsidRDefault="00231D6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D4DDCDF" w14:textId="77777777" w:rsidR="006A73B9" w:rsidRDefault="00231D67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F1F3E30" w14:textId="77777777" w:rsidR="006A73B9" w:rsidRDefault="006A73B9">
                    <w:pPr>
                      <w:pStyle w:val="WitregelW2"/>
                    </w:pPr>
                  </w:p>
                  <w:p w14:paraId="2CA195D9" w14:textId="77777777" w:rsidR="006A73B9" w:rsidRDefault="00231D6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DFE7A93" w14:textId="77777777" w:rsidR="005F6292" w:rsidRDefault="00FE761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2025-0000149927</w:t>
                    </w:r>
                    <w:r>
                      <w:fldChar w:fldCharType="end"/>
                    </w:r>
                  </w:p>
                  <w:p w14:paraId="36B143F4" w14:textId="77777777" w:rsidR="006A73B9" w:rsidRDefault="006A73B9">
                    <w:pPr>
                      <w:pStyle w:val="WitregelW1"/>
                    </w:pPr>
                  </w:p>
                  <w:p w14:paraId="4988A65B" w14:textId="77777777" w:rsidR="006A73B9" w:rsidRDefault="00231D6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A62CC2D" w14:textId="77777777" w:rsidR="005F6292" w:rsidRDefault="00FE761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B3F8907" w14:textId="77777777" w:rsidR="006A73B9" w:rsidRDefault="006A73B9">
                    <w:pPr>
                      <w:pStyle w:val="WitregelW1"/>
                    </w:pPr>
                  </w:p>
                  <w:p w14:paraId="2F78B19A" w14:textId="77777777" w:rsidR="006A73B9" w:rsidRDefault="00231D6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442358A" w14:textId="77777777" w:rsidR="006A73B9" w:rsidRDefault="00231D67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4050FD" wp14:editId="386FDC4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12557" w14:textId="77777777" w:rsidR="006A73B9" w:rsidRDefault="00231D6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4050F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4F12557" w14:textId="77777777" w:rsidR="006A73B9" w:rsidRDefault="00231D6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62EFAE" wp14:editId="0C91B62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2481E" w14:textId="77777777" w:rsidR="005F6292" w:rsidRDefault="00FE76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3857160" w14:textId="77777777" w:rsidR="006A73B9" w:rsidRDefault="00231D6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2EFA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5B2481E" w14:textId="77777777" w:rsidR="005F6292" w:rsidRDefault="00FE76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3857160" w14:textId="77777777" w:rsidR="006A73B9" w:rsidRDefault="00231D6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D061577" wp14:editId="7D72568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525EAE" w14:textId="77777777" w:rsidR="005F6292" w:rsidRDefault="00FE76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6157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9525EAE" w14:textId="77777777" w:rsidR="005F6292" w:rsidRDefault="00FE76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6DC917" wp14:editId="5CC8479A">
              <wp:simplePos x="0" y="0"/>
              <wp:positionH relativeFrom="page">
                <wp:posOffset>1009650</wp:posOffset>
              </wp:positionH>
              <wp:positionV relativeFrom="page">
                <wp:posOffset>3381375</wp:posOffset>
              </wp:positionV>
              <wp:extent cx="4105275" cy="1012825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12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A73B9" w14:paraId="394FB5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671FD6D" w14:textId="77777777" w:rsidR="006A73B9" w:rsidRDefault="006A73B9"/>
                            </w:tc>
                            <w:tc>
                              <w:tcPr>
                                <w:tcW w:w="5400" w:type="dxa"/>
                              </w:tcPr>
                              <w:p w14:paraId="0E143C08" w14:textId="77777777" w:rsidR="006A73B9" w:rsidRDefault="006A73B9"/>
                            </w:tc>
                          </w:tr>
                          <w:tr w:rsidR="006A73B9" w14:paraId="4D998ED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E2A69E" w14:textId="77777777" w:rsidR="006A73B9" w:rsidRDefault="00231D6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1ED9E2" w14:textId="130E6A99" w:rsidR="006A73B9" w:rsidRDefault="00FE7616">
                                <w:r>
                                  <w:t>2 juni 2025</w:t>
                                </w:r>
                              </w:p>
                            </w:tc>
                          </w:tr>
                          <w:tr w:rsidR="006A73B9" w14:paraId="1960196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08A7FE" w14:textId="77777777" w:rsidR="006A73B9" w:rsidRDefault="00231D6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217A5D" w14:textId="77777777" w:rsidR="00BC1658" w:rsidRDefault="002D5E0E">
                                <w:r>
                                  <w:t xml:space="preserve">Onderzoek naar </w:t>
                                </w:r>
                                <w:r w:rsidR="00A5326E">
                                  <w:t xml:space="preserve">een nieuwe </w:t>
                                </w:r>
                                <w:r>
                                  <w:t xml:space="preserve">definitie </w:t>
                                </w:r>
                                <w:r w:rsidR="00723475">
                                  <w:t>startups</w:t>
                                </w:r>
                                <w:r>
                                  <w:t xml:space="preserve"> </w:t>
                                </w:r>
                                <w:r w:rsidR="00F27480">
                                  <w:t>in Wet werkelijk rendement box 3</w:t>
                                </w:r>
                                <w:r>
                                  <w:t xml:space="preserve"> en aandelenoptieregeling voor werknemers in de loonheffingen</w:t>
                                </w:r>
                              </w:p>
                            </w:tc>
                          </w:tr>
                          <w:tr w:rsidR="006A73B9" w14:paraId="4C915FA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BA5EAE" w14:textId="77777777" w:rsidR="006A73B9" w:rsidRDefault="006A73B9"/>
                            </w:tc>
                            <w:tc>
                              <w:tcPr>
                                <w:tcW w:w="4738" w:type="dxa"/>
                              </w:tcPr>
                              <w:p w14:paraId="06CEF4C8" w14:textId="77777777" w:rsidR="006A73B9" w:rsidRDefault="006A73B9"/>
                            </w:tc>
                          </w:tr>
                        </w:tbl>
                        <w:p w14:paraId="000EFF42" w14:textId="77777777" w:rsidR="00231D67" w:rsidRDefault="00231D6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DC917" id="bd4aaf7a-03a6-11ee-8f29-0242ac130005" o:spid="_x0000_s1035" type="#_x0000_t202" style="position:absolute;margin-left:79.5pt;margin-top:266.25pt;width:323.25pt;height:79.7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A73B9" w14:paraId="394FB5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671FD6D" w14:textId="77777777" w:rsidR="006A73B9" w:rsidRDefault="006A73B9"/>
                      </w:tc>
                      <w:tc>
                        <w:tcPr>
                          <w:tcW w:w="5400" w:type="dxa"/>
                        </w:tcPr>
                        <w:p w14:paraId="0E143C08" w14:textId="77777777" w:rsidR="006A73B9" w:rsidRDefault="006A73B9"/>
                      </w:tc>
                    </w:tr>
                    <w:tr w:rsidR="006A73B9" w14:paraId="4D998ED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E2A69E" w14:textId="77777777" w:rsidR="006A73B9" w:rsidRDefault="00231D6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1ED9E2" w14:textId="130E6A99" w:rsidR="006A73B9" w:rsidRDefault="00FE7616">
                          <w:r>
                            <w:t>2 juni 2025</w:t>
                          </w:r>
                        </w:p>
                      </w:tc>
                    </w:tr>
                    <w:tr w:rsidR="006A73B9" w14:paraId="1960196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08A7FE" w14:textId="77777777" w:rsidR="006A73B9" w:rsidRDefault="00231D6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217A5D" w14:textId="77777777" w:rsidR="00BC1658" w:rsidRDefault="002D5E0E">
                          <w:r>
                            <w:t xml:space="preserve">Onderzoek naar </w:t>
                          </w:r>
                          <w:r w:rsidR="00A5326E">
                            <w:t xml:space="preserve">een nieuwe </w:t>
                          </w:r>
                          <w:r>
                            <w:t xml:space="preserve">definitie </w:t>
                          </w:r>
                          <w:r w:rsidR="00723475">
                            <w:t>startups</w:t>
                          </w:r>
                          <w:r>
                            <w:t xml:space="preserve"> </w:t>
                          </w:r>
                          <w:r w:rsidR="00F27480">
                            <w:t>in Wet werkelijk rendement box 3</w:t>
                          </w:r>
                          <w:r>
                            <w:t xml:space="preserve"> en aandelenoptieregeling voor werknemers in de loonheffingen</w:t>
                          </w:r>
                        </w:p>
                      </w:tc>
                    </w:tr>
                    <w:tr w:rsidR="006A73B9" w14:paraId="4C915FA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BA5EAE" w14:textId="77777777" w:rsidR="006A73B9" w:rsidRDefault="006A73B9"/>
                      </w:tc>
                      <w:tc>
                        <w:tcPr>
                          <w:tcW w:w="4738" w:type="dxa"/>
                        </w:tcPr>
                        <w:p w14:paraId="06CEF4C8" w14:textId="77777777" w:rsidR="006A73B9" w:rsidRDefault="006A73B9"/>
                      </w:tc>
                    </w:tr>
                  </w:tbl>
                  <w:p w14:paraId="000EFF42" w14:textId="77777777" w:rsidR="00231D67" w:rsidRDefault="00231D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A6FCD65" wp14:editId="7E27452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9363D" w14:textId="77777777" w:rsidR="005F6292" w:rsidRDefault="00FE76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FCD6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A59363D" w14:textId="77777777" w:rsidR="005F6292" w:rsidRDefault="00FE76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393C79F" wp14:editId="175E074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35E94" w14:textId="77777777" w:rsidR="00231D67" w:rsidRDefault="00231D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93C79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C935E94" w14:textId="77777777" w:rsidR="00231D67" w:rsidRDefault="00231D6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5BED8"/>
    <w:multiLevelType w:val="multilevel"/>
    <w:tmpl w:val="208DE2E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70A75"/>
    <w:multiLevelType w:val="hybridMultilevel"/>
    <w:tmpl w:val="F732C7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07A03"/>
    <w:multiLevelType w:val="multilevel"/>
    <w:tmpl w:val="6EAC518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F50AF6"/>
    <w:multiLevelType w:val="multilevel"/>
    <w:tmpl w:val="5085E25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E6E505"/>
    <w:multiLevelType w:val="multilevel"/>
    <w:tmpl w:val="BDA282E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E9595F"/>
    <w:multiLevelType w:val="multilevel"/>
    <w:tmpl w:val="0C88340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AE232C8"/>
    <w:multiLevelType w:val="hybridMultilevel"/>
    <w:tmpl w:val="D3D2B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76947"/>
    <w:multiLevelType w:val="multilevel"/>
    <w:tmpl w:val="3A4584C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98226441">
    <w:abstractNumId w:val="2"/>
  </w:num>
  <w:num w:numId="2" w16cid:durableId="552161082">
    <w:abstractNumId w:val="4"/>
  </w:num>
  <w:num w:numId="3" w16cid:durableId="2118022931">
    <w:abstractNumId w:val="7"/>
  </w:num>
  <w:num w:numId="4" w16cid:durableId="379591969">
    <w:abstractNumId w:val="5"/>
  </w:num>
  <w:num w:numId="5" w16cid:durableId="1188130924">
    <w:abstractNumId w:val="3"/>
  </w:num>
  <w:num w:numId="6" w16cid:durableId="1228491924">
    <w:abstractNumId w:val="0"/>
  </w:num>
  <w:num w:numId="7" w16cid:durableId="1301766284">
    <w:abstractNumId w:val="1"/>
  </w:num>
  <w:num w:numId="8" w16cid:durableId="285240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B9"/>
    <w:rsid w:val="000240BD"/>
    <w:rsid w:val="00034584"/>
    <w:rsid w:val="00080F13"/>
    <w:rsid w:val="000A4E48"/>
    <w:rsid w:val="000C666D"/>
    <w:rsid w:val="000E0D4F"/>
    <w:rsid w:val="000F0381"/>
    <w:rsid w:val="00151E85"/>
    <w:rsid w:val="00152BEF"/>
    <w:rsid w:val="001569D3"/>
    <w:rsid w:val="00184D1B"/>
    <w:rsid w:val="0019023E"/>
    <w:rsid w:val="00194129"/>
    <w:rsid w:val="001A166D"/>
    <w:rsid w:val="001A3AFC"/>
    <w:rsid w:val="0020337F"/>
    <w:rsid w:val="00205F5B"/>
    <w:rsid w:val="00224D7C"/>
    <w:rsid w:val="00231927"/>
    <w:rsid w:val="00231D67"/>
    <w:rsid w:val="002526AA"/>
    <w:rsid w:val="002621EE"/>
    <w:rsid w:val="0026243E"/>
    <w:rsid w:val="002630F9"/>
    <w:rsid w:val="002631D1"/>
    <w:rsid w:val="00267039"/>
    <w:rsid w:val="00285300"/>
    <w:rsid w:val="002878BD"/>
    <w:rsid w:val="00291BC5"/>
    <w:rsid w:val="00295D42"/>
    <w:rsid w:val="002D5E0E"/>
    <w:rsid w:val="002F0054"/>
    <w:rsid w:val="00330663"/>
    <w:rsid w:val="003317DF"/>
    <w:rsid w:val="00355264"/>
    <w:rsid w:val="00356950"/>
    <w:rsid w:val="00364463"/>
    <w:rsid w:val="00387DE0"/>
    <w:rsid w:val="003D25D6"/>
    <w:rsid w:val="003E7D13"/>
    <w:rsid w:val="004A481A"/>
    <w:rsid w:val="005161BA"/>
    <w:rsid w:val="0051723B"/>
    <w:rsid w:val="00532355"/>
    <w:rsid w:val="005A250A"/>
    <w:rsid w:val="005D4E0E"/>
    <w:rsid w:val="005D5F79"/>
    <w:rsid w:val="005F50C5"/>
    <w:rsid w:val="005F6292"/>
    <w:rsid w:val="0061650F"/>
    <w:rsid w:val="006238D4"/>
    <w:rsid w:val="00624DC7"/>
    <w:rsid w:val="00665033"/>
    <w:rsid w:val="006700C3"/>
    <w:rsid w:val="006A73B9"/>
    <w:rsid w:val="006D77F5"/>
    <w:rsid w:val="006F6071"/>
    <w:rsid w:val="00723475"/>
    <w:rsid w:val="0073703E"/>
    <w:rsid w:val="00746CA5"/>
    <w:rsid w:val="00747B3E"/>
    <w:rsid w:val="0075014B"/>
    <w:rsid w:val="007518AB"/>
    <w:rsid w:val="007527F8"/>
    <w:rsid w:val="007563E9"/>
    <w:rsid w:val="007725BE"/>
    <w:rsid w:val="007775EC"/>
    <w:rsid w:val="007A6FE9"/>
    <w:rsid w:val="007B1ABF"/>
    <w:rsid w:val="007B4BC5"/>
    <w:rsid w:val="007C7CD8"/>
    <w:rsid w:val="007E1E6E"/>
    <w:rsid w:val="007E5969"/>
    <w:rsid w:val="007E64B8"/>
    <w:rsid w:val="00805F89"/>
    <w:rsid w:val="00831A7B"/>
    <w:rsid w:val="008502CF"/>
    <w:rsid w:val="00876389"/>
    <w:rsid w:val="00882DB3"/>
    <w:rsid w:val="00891C9C"/>
    <w:rsid w:val="008A54ED"/>
    <w:rsid w:val="008C745D"/>
    <w:rsid w:val="008D3D31"/>
    <w:rsid w:val="008F307E"/>
    <w:rsid w:val="008F60C6"/>
    <w:rsid w:val="00921C80"/>
    <w:rsid w:val="00941BA6"/>
    <w:rsid w:val="00955972"/>
    <w:rsid w:val="00991576"/>
    <w:rsid w:val="009A2258"/>
    <w:rsid w:val="009A6D31"/>
    <w:rsid w:val="009B0FE2"/>
    <w:rsid w:val="009B2759"/>
    <w:rsid w:val="00A07FD9"/>
    <w:rsid w:val="00A1542E"/>
    <w:rsid w:val="00A5326E"/>
    <w:rsid w:val="00A57E64"/>
    <w:rsid w:val="00A6006D"/>
    <w:rsid w:val="00A6270E"/>
    <w:rsid w:val="00A6521E"/>
    <w:rsid w:val="00A6623A"/>
    <w:rsid w:val="00AA1F1C"/>
    <w:rsid w:val="00AB6072"/>
    <w:rsid w:val="00AD4CF4"/>
    <w:rsid w:val="00AD512C"/>
    <w:rsid w:val="00AF39B2"/>
    <w:rsid w:val="00B02C32"/>
    <w:rsid w:val="00B15D86"/>
    <w:rsid w:val="00B25DBE"/>
    <w:rsid w:val="00B272FC"/>
    <w:rsid w:val="00B4122E"/>
    <w:rsid w:val="00B51409"/>
    <w:rsid w:val="00B614D4"/>
    <w:rsid w:val="00BB678D"/>
    <w:rsid w:val="00BC0E8B"/>
    <w:rsid w:val="00BC1658"/>
    <w:rsid w:val="00BF0A74"/>
    <w:rsid w:val="00C55C7B"/>
    <w:rsid w:val="00C56BC7"/>
    <w:rsid w:val="00C97CB7"/>
    <w:rsid w:val="00CB4618"/>
    <w:rsid w:val="00CC6953"/>
    <w:rsid w:val="00CD71CB"/>
    <w:rsid w:val="00CF3287"/>
    <w:rsid w:val="00CF3F9C"/>
    <w:rsid w:val="00D710B7"/>
    <w:rsid w:val="00DC4036"/>
    <w:rsid w:val="00DD7838"/>
    <w:rsid w:val="00DE0141"/>
    <w:rsid w:val="00DF5A11"/>
    <w:rsid w:val="00E02515"/>
    <w:rsid w:val="00E12D2F"/>
    <w:rsid w:val="00E630D7"/>
    <w:rsid w:val="00E6426C"/>
    <w:rsid w:val="00E65A8E"/>
    <w:rsid w:val="00E664FE"/>
    <w:rsid w:val="00E85D85"/>
    <w:rsid w:val="00E85F96"/>
    <w:rsid w:val="00E965BA"/>
    <w:rsid w:val="00EC0490"/>
    <w:rsid w:val="00EC1D1C"/>
    <w:rsid w:val="00ED51CA"/>
    <w:rsid w:val="00F123FD"/>
    <w:rsid w:val="00F27480"/>
    <w:rsid w:val="00F93764"/>
    <w:rsid w:val="00FE7616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A5795"/>
  <w15:docId w15:val="{790492C6-C21A-4685-9D59-2D15A27D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F30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307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F30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307E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B02C32"/>
    <w:pPr>
      <w:spacing w:line="240" w:lineRule="exact"/>
      <w:ind w:left="720"/>
      <w:contextualSpacing/>
    </w:pPr>
  </w:style>
  <w:style w:type="paragraph" w:styleId="Revisie">
    <w:name w:val="Revision"/>
    <w:hidden/>
    <w:uiPriority w:val="99"/>
    <w:semiHidden/>
    <w:rsid w:val="00DE014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E014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E014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E014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01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E014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E014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01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0141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4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1150</ap:Words>
  <ap:Characters>6327</ap:Characters>
  <ap:DocSecurity>0</ap:DocSecurity>
  <ap:Lines>52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Wijziging definitie start-ups</vt:lpstr>
    </vt:vector>
  </ap:TitlesOfParts>
  <ap:LinksUpToDate>false</ap:LinksUpToDate>
  <ap:CharactersWithSpaces>7463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2025-04-14T12:27:00.0000000Z</lastPrinted>
  <dcterms:created xsi:type="dcterms:W3CDTF">2025-06-02T13:54:00.0000000Z</dcterms:created>
  <dcterms:modified xsi:type="dcterms:W3CDTF">2025-06-02T13:54:00.0000000Z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Wijziging definitie start-ups 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3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2025-0000149927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Wijziging definitie start-ups 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2025-04-03T09:42:22Z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258b62a4-1609-45ca-bd3d-06f40d515622</vt:lpwstr>
  </property>
  <property fmtid="{D5CDD505-2E9C-101B-9397-08002B2CF9AE}" pid="37" name="MSIP_Label_b2aa6e22-2c82-48c6-bf24-1790f4b9c128_ContentBits">
    <vt:lpwstr>0</vt:lpwstr>
  </property>
</Properties>
</file>