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1995" w:rsidR="006D1995" w:rsidP="006D1995" w:rsidRDefault="006D1995" w14:paraId="76EB03DB" w14:textId="65B75B0C">
      <w:pPr>
        <w:pStyle w:val="Geenafstand"/>
        <w:rPr>
          <w:b/>
          <w:bCs/>
        </w:rPr>
      </w:pPr>
      <w:r w:rsidRPr="006D1995">
        <w:rPr>
          <w:b/>
          <w:bCs/>
        </w:rPr>
        <w:t>AH 2351</w:t>
      </w:r>
    </w:p>
    <w:p w:rsidR="006D1995" w:rsidP="006D1995" w:rsidRDefault="006D1995" w14:paraId="3D248C35" w14:textId="52642CF7">
      <w:pPr>
        <w:pStyle w:val="Geenafstand"/>
        <w:rPr>
          <w:b/>
          <w:bCs/>
        </w:rPr>
      </w:pPr>
      <w:r w:rsidRPr="006D1995">
        <w:rPr>
          <w:b/>
          <w:bCs/>
        </w:rPr>
        <w:t>2025Z08160</w:t>
      </w:r>
    </w:p>
    <w:p w:rsidRPr="006D1995" w:rsidR="006D1995" w:rsidP="006D1995" w:rsidRDefault="006D1995" w14:paraId="6BDFBBAD" w14:textId="77777777">
      <w:pPr>
        <w:pStyle w:val="Geenafstand"/>
        <w:rPr>
          <w:b/>
          <w:bCs/>
        </w:rPr>
      </w:pPr>
    </w:p>
    <w:p w:rsidR="006D1995" w:rsidP="006D1995" w:rsidRDefault="006D1995" w14:paraId="5FC57E74" w14:textId="46D49D38">
      <w:pPr>
        <w:rPr>
          <w:sz w:val="24"/>
          <w:szCs w:val="24"/>
        </w:rPr>
      </w:pPr>
      <w:r w:rsidRPr="009B5FE1">
        <w:rPr>
          <w:sz w:val="24"/>
          <w:szCs w:val="24"/>
        </w:rPr>
        <w:t>Antwoord van staatssecretaris Jansen (Infrastructuur en Waterstaat)</w:t>
      </w:r>
      <w:r>
        <w:rPr>
          <w:sz w:val="24"/>
          <w:szCs w:val="24"/>
        </w:rPr>
        <w:t xml:space="preserve">, mede namens de </w:t>
      </w:r>
      <w:r w:rsidRPr="00D31852">
        <w:rPr>
          <w:rFonts w:ascii="Times New Roman" w:hAnsi="Times New Roman"/>
          <w:sz w:val="24"/>
          <w:szCs w:val="24"/>
        </w:rPr>
        <w:t>staatssecretaris van Financiën</w:t>
      </w:r>
      <w:r>
        <w:rPr>
          <w:rFonts w:ascii="Times New Roman" w:hAnsi="Times New Roman"/>
          <w:sz w:val="24"/>
          <w:szCs w:val="24"/>
        </w:rPr>
        <w:t xml:space="preserve"> </w:t>
      </w:r>
      <w:r w:rsidRPr="009B5FE1">
        <w:rPr>
          <w:sz w:val="24"/>
          <w:szCs w:val="24"/>
        </w:rPr>
        <w:t>(ontvangen</w:t>
      </w:r>
      <w:r>
        <w:rPr>
          <w:sz w:val="24"/>
          <w:szCs w:val="24"/>
        </w:rPr>
        <w:t xml:space="preserve"> 2 juni 2025)</w:t>
      </w:r>
    </w:p>
    <w:p w:rsidRPr="006D1995" w:rsidR="006D1995" w:rsidP="006D1995" w:rsidRDefault="006D1995" w14:paraId="5161A18A" w14:textId="77777777">
      <w:pPr>
        <w:rPr>
          <w:rFonts w:ascii="Times New Roman" w:hAnsi="Times New Roman"/>
          <w:sz w:val="24"/>
          <w:szCs w:val="24"/>
        </w:rPr>
      </w:pPr>
    </w:p>
    <w:p w:rsidRPr="00F13B8E" w:rsidR="006D1995" w:rsidP="006D1995" w:rsidRDefault="006D1995" w14:paraId="30FFD07C" w14:textId="77777777">
      <w:pPr>
        <w:numPr>
          <w:ilvl w:val="0"/>
          <w:numId w:val="1"/>
        </w:numPr>
        <w:spacing w:after="0" w:line="240" w:lineRule="atLeast"/>
        <w:ind w:left="363"/>
        <w:rPr>
          <w:b/>
          <w:bCs/>
        </w:rPr>
      </w:pPr>
      <w:r w:rsidRPr="00F13B8E">
        <w:rPr>
          <w:b/>
          <w:bCs/>
        </w:rPr>
        <w:t xml:space="preserve">Bent u bekend met het bericht ‘Bedrijven als IKEA, Bol, </w:t>
      </w:r>
      <w:proofErr w:type="spellStart"/>
      <w:r w:rsidRPr="00F13B8E">
        <w:rPr>
          <w:b/>
          <w:bCs/>
        </w:rPr>
        <w:t>Strukton</w:t>
      </w:r>
      <w:proofErr w:type="spellEnd"/>
      <w:r w:rsidRPr="00F13B8E">
        <w:rPr>
          <w:b/>
          <w:bCs/>
        </w:rPr>
        <w:t xml:space="preserve"> en Zeeman waarschuwen: overheid is te passief, de circulaire economie staat stil’</w:t>
      </w:r>
      <w:r>
        <w:rPr>
          <w:rStyle w:val="Voetnootmarkering"/>
          <w:b/>
          <w:bCs/>
        </w:rPr>
        <w:footnoteReference w:id="1"/>
      </w:r>
      <w:r>
        <w:rPr>
          <w:b/>
          <w:bCs/>
        </w:rPr>
        <w:t xml:space="preserve"> </w:t>
      </w:r>
      <w:r w:rsidRPr="00F13B8E">
        <w:rPr>
          <w:b/>
          <w:bCs/>
        </w:rPr>
        <w:t>en ‘Circulaire economie heeft impuls nodig, helpt het om de btw te schrappen?’</w:t>
      </w:r>
      <w:r>
        <w:rPr>
          <w:rStyle w:val="Voetnootmarkering"/>
          <w:b/>
          <w:bCs/>
        </w:rPr>
        <w:footnoteReference w:id="2"/>
      </w:r>
      <w:r w:rsidRPr="00F13B8E">
        <w:rPr>
          <w:b/>
          <w:bCs/>
        </w:rPr>
        <w:t>?</w:t>
      </w:r>
    </w:p>
    <w:p w:rsidRPr="007737F5" w:rsidR="006D1995" w:rsidP="006D1995" w:rsidRDefault="006D1995" w14:paraId="60EDFC7D" w14:textId="77777777">
      <w:pPr>
        <w:ind w:left="360"/>
      </w:pPr>
    </w:p>
    <w:p w:rsidRPr="007737F5" w:rsidR="006D1995" w:rsidP="006D1995" w:rsidRDefault="006D1995" w14:paraId="24FC2047" w14:textId="77777777">
      <w:pPr>
        <w:ind w:left="360"/>
      </w:pPr>
      <w:r w:rsidRPr="007737F5">
        <w:t xml:space="preserve">Ja, het kabinet is bekend met deze berichten. De zorgen van het bedrijfsleven over het huidige tempo van de circulaire transitie zijn bekend en worden serieus genomen. </w:t>
      </w:r>
      <w:r w:rsidRPr="007737F5">
        <w:br/>
      </w:r>
    </w:p>
    <w:p w:rsidRPr="00F13B8E" w:rsidR="006D1995" w:rsidP="006D1995" w:rsidRDefault="006D1995" w14:paraId="776F079A" w14:textId="77777777">
      <w:pPr>
        <w:numPr>
          <w:ilvl w:val="0"/>
          <w:numId w:val="1"/>
        </w:numPr>
        <w:spacing w:after="0" w:line="240" w:lineRule="atLeast"/>
        <w:ind w:left="363"/>
        <w:rPr>
          <w:b/>
          <w:bCs/>
        </w:rPr>
      </w:pPr>
      <w:r w:rsidRPr="00F13B8E">
        <w:rPr>
          <w:b/>
          <w:bCs/>
        </w:rPr>
        <w:t>Hoe kijkt u naar de noodkreet van een deel van het bedrijfsleven dat er momenteel sprake is van een ‘circulaire impasse’?</w:t>
      </w:r>
      <w:r w:rsidRPr="00F13B8E">
        <w:rPr>
          <w:b/>
          <w:bCs/>
        </w:rPr>
        <w:br/>
      </w:r>
    </w:p>
    <w:p w:rsidRPr="007737F5" w:rsidR="006D1995" w:rsidP="006D1995" w:rsidRDefault="006D1995" w14:paraId="7983878B" w14:textId="77777777">
      <w:pPr>
        <w:ind w:left="360"/>
      </w:pPr>
      <w:r w:rsidRPr="007737F5">
        <w:t>De signalen onderstrepen de urgentie om de transitie naar een circulaire economie te versnellen. De recente Integrale Circulaire Economie Rapportage (ICER) van het Planbureau voor de Leefomgeving</w:t>
      </w:r>
      <w:r>
        <w:t xml:space="preserve"> (PBL)</w:t>
      </w:r>
      <w:r w:rsidRPr="007737F5">
        <w:t xml:space="preserve"> bevestigt dat de voortgang onvoldoende is om de doelen voor 2030 te behalen</w:t>
      </w:r>
      <w:r>
        <w:t xml:space="preserve"> en dat dit </w:t>
      </w:r>
      <w:r w:rsidRPr="007737F5">
        <w:t>vraagt om aanvullende maatregelen en intensievere samenwerking tussen overheid en bedrijfsleven</w:t>
      </w:r>
      <w:r>
        <w:t>. T</w:t>
      </w:r>
      <w:r w:rsidRPr="007737F5">
        <w:t xml:space="preserve">egelijkertijd zijn de beschikbare middelen beperkt, dus moeten </w:t>
      </w:r>
      <w:r>
        <w:t>er</w:t>
      </w:r>
      <w:r w:rsidRPr="007737F5">
        <w:t xml:space="preserve"> slimme keuzes </w:t>
      </w:r>
      <w:r>
        <w:t>worden ge</w:t>
      </w:r>
      <w:r w:rsidRPr="007737F5">
        <w:t>m</w:t>
      </w:r>
      <w:r>
        <w:t>a</w:t>
      </w:r>
      <w:r w:rsidRPr="007737F5">
        <w:t>ak</w:t>
      </w:r>
      <w:r>
        <w:t>t</w:t>
      </w:r>
      <w:r w:rsidRPr="007737F5">
        <w:t>. In de actualisatie van het Nationaal Programma Circulaire Economie, die na de zomer aan de Kamer zal worden verzonden</w:t>
      </w:r>
      <w:r>
        <w:t>,</w:t>
      </w:r>
      <w:r w:rsidRPr="007737F5">
        <w:t xml:space="preserve"> </w:t>
      </w:r>
      <w:r>
        <w:t xml:space="preserve">worden </w:t>
      </w:r>
      <w:r w:rsidRPr="007737F5">
        <w:t xml:space="preserve">deze keuzes opgenomen. </w:t>
      </w:r>
      <w:r w:rsidRPr="007737F5">
        <w:rPr>
          <w:rFonts w:ascii="Arial" w:hAnsi="Arial" w:cs="Arial"/>
        </w:rPr>
        <w:t>​</w:t>
      </w:r>
    </w:p>
    <w:p w:rsidRPr="007737F5" w:rsidR="006D1995" w:rsidP="006D1995" w:rsidRDefault="006D1995" w14:paraId="45F3CF37" w14:textId="77777777">
      <w:pPr>
        <w:ind w:left="360"/>
      </w:pPr>
    </w:p>
    <w:p w:rsidRPr="00F13B8E" w:rsidR="006D1995" w:rsidP="006D1995" w:rsidRDefault="006D1995" w14:paraId="3561443A" w14:textId="77777777">
      <w:pPr>
        <w:numPr>
          <w:ilvl w:val="0"/>
          <w:numId w:val="1"/>
        </w:numPr>
        <w:spacing w:after="0" w:line="240" w:lineRule="atLeast"/>
        <w:ind w:left="363"/>
        <w:rPr>
          <w:b/>
          <w:bCs/>
        </w:rPr>
      </w:pPr>
      <w:r w:rsidRPr="00F13B8E">
        <w:rPr>
          <w:b/>
          <w:bCs/>
        </w:rPr>
        <w:t>Hoe kijkt u naar de oproep van onder andere de bovengenoemde bedrijven om dringend maatregelen te nemen ter versnelling van de transitie naar de circulaire economie?</w:t>
      </w:r>
      <w:r w:rsidRPr="00F13B8E">
        <w:rPr>
          <w:b/>
          <w:bCs/>
        </w:rPr>
        <w:br/>
      </w:r>
    </w:p>
    <w:p w:rsidRPr="007737F5" w:rsidR="006D1995" w:rsidP="006D1995" w:rsidRDefault="006D1995" w14:paraId="6F833757" w14:textId="77777777">
      <w:pPr>
        <w:ind w:left="360"/>
      </w:pPr>
      <w:r w:rsidRPr="007737F5">
        <w:t>Het kabinet waardeert de betrokkenheid van het bedrijfsleven en zie</w:t>
      </w:r>
      <w:r>
        <w:t>t</w:t>
      </w:r>
      <w:r w:rsidRPr="007737F5">
        <w:t xml:space="preserve"> hun oproep </w:t>
      </w:r>
      <w:r>
        <w:t xml:space="preserve">als </w:t>
      </w:r>
      <w:r w:rsidRPr="007737F5">
        <w:t xml:space="preserve">een ondersteuning van de conclusies van het PBL en </w:t>
      </w:r>
      <w:r>
        <w:t>een</w:t>
      </w:r>
      <w:r w:rsidRPr="007737F5">
        <w:t xml:space="preserve"> onderbouw</w:t>
      </w:r>
      <w:r>
        <w:t>ing van</w:t>
      </w:r>
      <w:r w:rsidRPr="007737F5">
        <w:t xml:space="preserve"> de noodzaak om in te zetten op een circulaire economie. Het kabinet werkt intensief samen met het bedrijfsleven </w:t>
      </w:r>
      <w:bookmarkStart w:name="_Hlk198732403" w:id="0"/>
      <w:r w:rsidRPr="007737F5">
        <w:t xml:space="preserve">en </w:t>
      </w:r>
      <w:r>
        <w:t xml:space="preserve">gaat graag </w:t>
      </w:r>
      <w:r w:rsidRPr="007737F5">
        <w:t xml:space="preserve">in </w:t>
      </w:r>
      <w:r w:rsidRPr="007737F5">
        <w:lastRenderedPageBreak/>
        <w:t>gesprek met de opstellers van het manifest over hun oproep om de circulaire transitie te versnellen.</w:t>
      </w:r>
    </w:p>
    <w:bookmarkEnd w:id="0"/>
    <w:p w:rsidRPr="007737F5" w:rsidR="006D1995" w:rsidP="006D1995" w:rsidRDefault="006D1995" w14:paraId="17EEEF62" w14:textId="77777777"/>
    <w:p w:rsidRPr="00F13B8E" w:rsidR="006D1995" w:rsidP="006D1995" w:rsidRDefault="006D1995" w14:paraId="44622FEF" w14:textId="77777777">
      <w:pPr>
        <w:numPr>
          <w:ilvl w:val="0"/>
          <w:numId w:val="1"/>
        </w:numPr>
        <w:spacing w:after="0" w:line="240" w:lineRule="atLeast"/>
        <w:ind w:left="363"/>
        <w:rPr>
          <w:b/>
          <w:bCs/>
        </w:rPr>
      </w:pPr>
      <w:r w:rsidRPr="00F13B8E">
        <w:rPr>
          <w:b/>
          <w:bCs/>
        </w:rPr>
        <w:t>Beaamt u dat schaalvergroting lastig te realiseren is zolang bedrijven slechts een samenwerkingsnetwerk of een losse tool aangeboden krijgen vanuit het kabinet ter invulling van circulair beleid? Deelt u de opvatting dat het voor bedrijven vaak moeilijk is om te concurreren tegen lineaire businesscases?</w:t>
      </w:r>
    </w:p>
    <w:p w:rsidRPr="007737F5" w:rsidR="006D1995" w:rsidP="006D1995" w:rsidRDefault="006D1995" w14:paraId="05D5B98C" w14:textId="77777777">
      <w:pPr>
        <w:ind w:left="360"/>
      </w:pPr>
    </w:p>
    <w:p w:rsidRPr="007737F5" w:rsidR="006D1995" w:rsidP="006D1995" w:rsidRDefault="006D1995" w14:paraId="733BDB8A" w14:textId="77777777">
      <w:pPr>
        <w:ind w:left="360"/>
      </w:pPr>
      <w:r w:rsidRPr="007737F5">
        <w:t xml:space="preserve">Het kabinet erkent dat het lastig is </w:t>
      </w:r>
      <w:r>
        <w:t xml:space="preserve">voor </w:t>
      </w:r>
      <w:r w:rsidRPr="007737F5">
        <w:t>bedrijven met een circulaire business</w:t>
      </w:r>
      <w:r>
        <w:t>model</w:t>
      </w:r>
      <w:r w:rsidRPr="007737F5">
        <w:t>. Het is daarom noodzakelijk om circulaire businesscases economisch aantrekkelijker te maken. Het kabinet doet dat onder meer door samen te werken met de financiële sector</w:t>
      </w:r>
      <w:r>
        <w:t>,</w:t>
      </w:r>
      <w:r w:rsidRPr="007737F5">
        <w:t xml:space="preserve"> waarbij </w:t>
      </w:r>
      <w:proofErr w:type="spellStart"/>
      <w:r w:rsidRPr="007737F5">
        <w:t>Invest</w:t>
      </w:r>
      <w:proofErr w:type="spellEnd"/>
      <w:r w:rsidRPr="007737F5">
        <w:t xml:space="preserve">-NL een belangrijk rol speelt. </w:t>
      </w:r>
    </w:p>
    <w:p w:rsidRPr="007737F5" w:rsidR="006D1995" w:rsidP="006D1995" w:rsidRDefault="006D1995" w14:paraId="5A62395D" w14:textId="77777777">
      <w:pPr>
        <w:ind w:left="360"/>
      </w:pPr>
    </w:p>
    <w:p w:rsidRPr="00F13B8E" w:rsidR="006D1995" w:rsidP="006D1995" w:rsidRDefault="006D1995" w14:paraId="053F84EC" w14:textId="77777777">
      <w:pPr>
        <w:numPr>
          <w:ilvl w:val="0"/>
          <w:numId w:val="1"/>
        </w:numPr>
        <w:spacing w:after="0" w:line="240" w:lineRule="atLeast"/>
        <w:ind w:left="363"/>
        <w:rPr>
          <w:b/>
          <w:bCs/>
        </w:rPr>
      </w:pPr>
      <w:r w:rsidRPr="00F13B8E">
        <w:rPr>
          <w:b/>
          <w:bCs/>
        </w:rPr>
        <w:t>Bent u bereid om in gesprek te gaan met de bedrijven onder het manifest om van hen rechtstreeks input te krijgen over wat zij nodig achten om op grotere schaal in circulaire businesscases te investeren?</w:t>
      </w:r>
    </w:p>
    <w:p w:rsidRPr="007737F5" w:rsidR="006D1995" w:rsidP="006D1995" w:rsidRDefault="006D1995" w14:paraId="70DB06EE" w14:textId="77777777">
      <w:pPr>
        <w:ind w:left="360"/>
      </w:pPr>
    </w:p>
    <w:p w:rsidRPr="007737F5" w:rsidR="006D1995" w:rsidP="006D1995" w:rsidRDefault="006D1995" w14:paraId="1DA5D751" w14:textId="77777777">
      <w:pPr>
        <w:ind w:left="360" w:firstLine="3"/>
      </w:pPr>
      <w:r w:rsidRPr="007737F5">
        <w:t xml:space="preserve">Ja, het kabinet </w:t>
      </w:r>
      <w:r>
        <w:t xml:space="preserve">gaat graag in </w:t>
      </w:r>
      <w:r w:rsidRPr="007737F5">
        <w:t xml:space="preserve">gesprek met de opstellers van het manifest. </w:t>
      </w:r>
    </w:p>
    <w:p w:rsidRPr="007737F5" w:rsidR="006D1995" w:rsidP="006D1995" w:rsidRDefault="006D1995" w14:paraId="7E4205D4" w14:textId="77777777">
      <w:pPr>
        <w:ind w:left="360"/>
      </w:pPr>
    </w:p>
    <w:p w:rsidRPr="00F13B8E" w:rsidR="006D1995" w:rsidP="006D1995" w:rsidRDefault="006D1995" w14:paraId="45E69A30" w14:textId="77777777">
      <w:pPr>
        <w:numPr>
          <w:ilvl w:val="0"/>
          <w:numId w:val="1"/>
        </w:numPr>
        <w:spacing w:after="0" w:line="240" w:lineRule="atLeast"/>
        <w:ind w:left="363"/>
        <w:rPr>
          <w:b/>
          <w:bCs/>
        </w:rPr>
      </w:pPr>
      <w:r w:rsidRPr="00F13B8E">
        <w:rPr>
          <w:b/>
          <w:bCs/>
        </w:rPr>
        <w:t>Bent u van mening dat de overheid een voorbeeldfunctie heeft bij het aanjagen van de circulaire economie? Zo nee, waarom niet? Zo ja, gaat u zich inzetten voor een circulair inkoop- en aanbestedingsbeleid?</w:t>
      </w:r>
    </w:p>
    <w:p w:rsidRPr="007737F5" w:rsidR="006D1995" w:rsidP="006D1995" w:rsidRDefault="006D1995" w14:paraId="3AB60D29" w14:textId="77777777">
      <w:pPr>
        <w:ind w:left="357"/>
      </w:pPr>
      <w:r w:rsidRPr="007737F5">
        <w:br/>
      </w:r>
      <w:r>
        <w:t>H</w:t>
      </w:r>
      <w:r w:rsidRPr="007737F5">
        <w:t>et kabinet zi</w:t>
      </w:r>
      <w:r>
        <w:t>et</w:t>
      </w:r>
      <w:r w:rsidRPr="007737F5">
        <w:t xml:space="preserve"> inkopen en aanbesteden door de Rijkoverheid en medeoverheden </w:t>
      </w:r>
      <w:r>
        <w:t xml:space="preserve">als </w:t>
      </w:r>
      <w:r w:rsidRPr="007737F5">
        <w:t xml:space="preserve">een belangrijke </w:t>
      </w:r>
      <w:r>
        <w:t>stimulans</w:t>
      </w:r>
      <w:r w:rsidRPr="007737F5">
        <w:t xml:space="preserve"> voor het bereiken van een circulaire economie. De overheid heeft een belangrijke voorbeeldrol en </w:t>
      </w:r>
      <w:r>
        <w:t xml:space="preserve">gebruikt </w:t>
      </w:r>
      <w:r w:rsidRPr="007737F5">
        <w:t xml:space="preserve">haar inkoopkracht </w:t>
      </w:r>
      <w:r>
        <w:t xml:space="preserve">om </w:t>
      </w:r>
      <w:r w:rsidRPr="007737F5">
        <w:t xml:space="preserve">de markt </w:t>
      </w:r>
      <w:r>
        <w:t xml:space="preserve">te </w:t>
      </w:r>
      <w:r w:rsidRPr="007737F5">
        <w:t>helpen versnellen naar een circulaire economie.</w:t>
      </w:r>
      <w:r>
        <w:t xml:space="preserve"> Circulair inkopen is onderdeel van het Nationaal Plan Maatschappelijk Verantwoordelijk Inkopen, dat dit jaar wordt herzien, z</w:t>
      </w:r>
      <w:r w:rsidRPr="007737F5">
        <w:t xml:space="preserve">oals uiteengezet in de Voortgangsbrief Nationaal </w:t>
      </w:r>
      <w:r>
        <w:t>P</w:t>
      </w:r>
      <w:r w:rsidRPr="007737F5">
        <w:t>lan Maatschappelijk Verantwoord Inkopen 2021-2025</w:t>
      </w:r>
      <w:r w:rsidRPr="007737F5">
        <w:rPr>
          <w:vertAlign w:val="superscript"/>
        </w:rPr>
        <w:t>1</w:t>
      </w:r>
      <w:r>
        <w:rPr>
          <w:vertAlign w:val="superscript"/>
        </w:rPr>
        <w:t xml:space="preserve"> </w:t>
      </w:r>
      <w:r>
        <w:t>. S</w:t>
      </w:r>
      <w:r w:rsidRPr="007737F5">
        <w:t xml:space="preserve">pecifiek ten aanzien van Rijksinkoop, zal het Ministerie van BZK dit jaar de actualisatie van de </w:t>
      </w:r>
      <w:proofErr w:type="spellStart"/>
      <w:r w:rsidRPr="007737F5">
        <w:t>Rijksinkoopstrategie</w:t>
      </w:r>
      <w:proofErr w:type="spellEnd"/>
      <w:r w:rsidRPr="007737F5">
        <w:t xml:space="preserve"> “Inkopen met Impact” starten.</w:t>
      </w:r>
      <w:r>
        <w:t xml:space="preserve"> Met deze acties</w:t>
      </w:r>
      <w:r w:rsidRPr="007737F5">
        <w:t xml:space="preserve"> worden de kansen voor hogere ambities ten aanzien van circulariteit onderzocht en meegenomen. Verder hebben het Rijk en de koepels van de medeoverheden op 20 maart jl. de overeenkomst Krachtenbundeling Circulaire Economie ondertekend</w:t>
      </w:r>
      <w:r>
        <w:rPr>
          <w:rStyle w:val="Voetnootmarkering"/>
        </w:rPr>
        <w:footnoteReference w:id="3"/>
      </w:r>
      <w:r w:rsidRPr="007737F5">
        <w:t xml:space="preserve">. </w:t>
      </w:r>
      <w:r w:rsidRPr="007737F5">
        <w:lastRenderedPageBreak/>
        <w:t>Eén van de afspraken is dat alle overheidslagen zich inspannen om hun capaciteit, kennis en netwerken over circulair inkopen te delen en circulair inkopen op uniforme wijze toe te passen.</w:t>
      </w:r>
    </w:p>
    <w:p w:rsidRPr="007737F5" w:rsidR="006D1995" w:rsidP="006D1995" w:rsidRDefault="006D1995" w14:paraId="7523C30B" w14:textId="77777777">
      <w:pPr>
        <w:spacing w:line="240" w:lineRule="auto"/>
        <w:ind w:left="360"/>
      </w:pPr>
    </w:p>
    <w:p w:rsidRPr="00F13B8E" w:rsidR="006D1995" w:rsidP="006D1995" w:rsidRDefault="006D1995" w14:paraId="77FE8570" w14:textId="77777777">
      <w:pPr>
        <w:numPr>
          <w:ilvl w:val="0"/>
          <w:numId w:val="1"/>
        </w:numPr>
        <w:spacing w:after="0" w:line="240" w:lineRule="atLeast"/>
        <w:ind w:left="363"/>
        <w:rPr>
          <w:b/>
          <w:bCs/>
        </w:rPr>
      </w:pPr>
      <w:r w:rsidRPr="00F13B8E">
        <w:rPr>
          <w:b/>
          <w:bCs/>
        </w:rPr>
        <w:t>Wat is uw reactie op de zes actiepunten</w:t>
      </w:r>
      <w:r>
        <w:rPr>
          <w:rStyle w:val="Voetnootmarkering"/>
          <w:b/>
          <w:bCs/>
        </w:rPr>
        <w:footnoteReference w:id="4"/>
      </w:r>
      <w:r w:rsidRPr="00F13B8E">
        <w:rPr>
          <w:b/>
          <w:bCs/>
        </w:rPr>
        <w:t xml:space="preserve"> gepresenteerd door de coalitie van de betreffende acht bedrijven? Kunt u op alle zes de punten individueel reflecteren?</w:t>
      </w:r>
    </w:p>
    <w:p w:rsidRPr="007737F5" w:rsidR="006D1995" w:rsidP="006D1995" w:rsidRDefault="006D1995" w14:paraId="7A52110C" w14:textId="77777777">
      <w:pPr>
        <w:ind w:left="360"/>
      </w:pPr>
    </w:p>
    <w:p w:rsidRPr="007737F5" w:rsidR="006D1995" w:rsidP="006D1995" w:rsidRDefault="006D1995" w14:paraId="3964E0D6" w14:textId="77777777">
      <w:pPr>
        <w:ind w:left="360"/>
      </w:pPr>
      <w:r w:rsidRPr="007737F5">
        <w:t xml:space="preserve">Voor een inhoudelijke reactie op de zes actiepunten </w:t>
      </w:r>
      <w:r>
        <w:t xml:space="preserve">wordt verwezen </w:t>
      </w:r>
      <w:r w:rsidRPr="007737F5">
        <w:t xml:space="preserve">naar de gelijktijdig aangeboden Kamerbrief die is opgesteld naar aanleiding van het verzoek om reactie op het Manifest door het lid </w:t>
      </w:r>
      <w:proofErr w:type="spellStart"/>
      <w:r w:rsidRPr="007737F5">
        <w:t>Kostic</w:t>
      </w:r>
      <w:proofErr w:type="spellEnd"/>
      <w:r w:rsidRPr="007737F5">
        <w:t xml:space="preserve">. </w:t>
      </w:r>
    </w:p>
    <w:p w:rsidRPr="007737F5" w:rsidR="006D1995" w:rsidP="006D1995" w:rsidRDefault="006D1995" w14:paraId="6E1245BC" w14:textId="77777777">
      <w:pPr>
        <w:ind w:left="360"/>
      </w:pPr>
    </w:p>
    <w:p w:rsidRPr="00F13B8E" w:rsidR="006D1995" w:rsidP="006D1995" w:rsidRDefault="006D1995" w14:paraId="4E0A2EE3" w14:textId="77777777">
      <w:pPr>
        <w:numPr>
          <w:ilvl w:val="0"/>
          <w:numId w:val="1"/>
        </w:numPr>
        <w:spacing w:after="0" w:line="240" w:lineRule="atLeast"/>
        <w:ind w:left="363"/>
        <w:rPr>
          <w:b/>
          <w:bCs/>
        </w:rPr>
      </w:pPr>
      <w:r w:rsidRPr="00F13B8E">
        <w:rPr>
          <w:b/>
          <w:bCs/>
        </w:rPr>
        <w:t>Hoe verklaart u het dat het grondstoffengebruik alleen maar toeneemt ondanks het feit dat het kabinet tot doel heeft dat het aandeel abiotische grondstoffen dat jaarlijks wordt gebruikt in Nederland gehalveerd moet zijn in 2030 ten opzichte van het jaar 2019?</w:t>
      </w:r>
    </w:p>
    <w:p w:rsidRPr="007737F5" w:rsidR="006D1995" w:rsidP="006D1995" w:rsidRDefault="006D1995" w14:paraId="77B5A263" w14:textId="77777777">
      <w:pPr>
        <w:ind w:left="-360" w:firstLine="720"/>
      </w:pPr>
    </w:p>
    <w:p w:rsidRPr="007737F5" w:rsidR="006D1995" w:rsidP="006D1995" w:rsidRDefault="006D1995" w14:paraId="0E23ADB3" w14:textId="77777777">
      <w:pPr>
        <w:ind w:left="360"/>
      </w:pPr>
      <w:r w:rsidRPr="007737F5">
        <w:t xml:space="preserve">Het PBL concludeert in de ICER dat het grondstoffengebruik van de Nederlandse economie tussen 2020 en 2022 (de meest actuele cijfers) met 3 procent gestegen is. Dit wordt verklaard doordat de aanschaf van consumentengoederen is toegenomen en </w:t>
      </w:r>
      <w:r>
        <w:t>door</w:t>
      </w:r>
      <w:r w:rsidRPr="007737F5">
        <w:t xml:space="preserve">dat het realiseren van extra woningen en de verduurzaming van bestaande woningen veel extra grondstoffen vragen. </w:t>
      </w:r>
    </w:p>
    <w:p w:rsidRPr="007737F5" w:rsidR="006D1995" w:rsidP="006D1995" w:rsidRDefault="006D1995" w14:paraId="09CB57B7" w14:textId="77777777">
      <w:pPr>
        <w:ind w:left="360"/>
      </w:pPr>
    </w:p>
    <w:p w:rsidRPr="007737F5" w:rsidR="006D1995" w:rsidP="006D1995" w:rsidRDefault="006D1995" w14:paraId="58F0B6FC" w14:textId="77777777">
      <w:pPr>
        <w:ind w:left="360"/>
      </w:pPr>
      <w:r w:rsidRPr="007737F5">
        <w:t xml:space="preserve">Over </w:t>
      </w:r>
      <w:r>
        <w:t>een</w:t>
      </w:r>
      <w:r w:rsidRPr="007737F5">
        <w:t xml:space="preserve"> langere termijn</w:t>
      </w:r>
      <w:r>
        <w:t xml:space="preserve"> terugkijkend</w:t>
      </w:r>
      <w:r w:rsidRPr="007737F5">
        <w:t>, tussen 2016 en 2022</w:t>
      </w:r>
      <w:r>
        <w:t>,</w:t>
      </w:r>
      <w:r w:rsidRPr="007737F5">
        <w:t xml:space="preserve"> is het grondstoffengebruik wel afgenomen, met 10 procent. Deze daling is volgens de ICER echter waarschijnlijk niet snel genoeg om het doel van 2030 te halen. </w:t>
      </w:r>
    </w:p>
    <w:p w:rsidRPr="007737F5" w:rsidR="006D1995" w:rsidP="006D1995" w:rsidRDefault="006D1995" w14:paraId="25A8C188" w14:textId="77777777">
      <w:pPr>
        <w:ind w:left="-360" w:firstLine="720"/>
      </w:pPr>
    </w:p>
    <w:p w:rsidRPr="007737F5" w:rsidR="006D1995" w:rsidP="006D1995" w:rsidRDefault="006D1995" w14:paraId="56154C08" w14:textId="77777777">
      <w:pPr>
        <w:ind w:left="360"/>
      </w:pPr>
      <w:r w:rsidRPr="007737F5">
        <w:t xml:space="preserve">Overigens betreft de 2030 doelstelling een halvering van </w:t>
      </w:r>
      <w:r>
        <w:t xml:space="preserve">het </w:t>
      </w:r>
      <w:r w:rsidRPr="007737F5">
        <w:t>primair abiotische grondstoffengebruik</w:t>
      </w:r>
      <w:r>
        <w:t xml:space="preserve">, de specificering primair zorgt voor onderscheid met secundair (gerecycled) materiaal. Voor de volledigheid, het referentiejaar is </w:t>
      </w:r>
      <w:r w:rsidRPr="007737F5">
        <w:t>2016</w:t>
      </w:r>
      <w:r>
        <w:t xml:space="preserve"> en niet 2019</w:t>
      </w:r>
      <w:r w:rsidRPr="007737F5">
        <w:t>.</w:t>
      </w:r>
    </w:p>
    <w:p w:rsidRPr="007737F5" w:rsidR="006D1995" w:rsidP="006D1995" w:rsidRDefault="006D1995" w14:paraId="0A12AFA4" w14:textId="77777777">
      <w:pPr>
        <w:ind w:firstLine="360"/>
      </w:pPr>
    </w:p>
    <w:p w:rsidRPr="00F13B8E" w:rsidR="006D1995" w:rsidP="006D1995" w:rsidRDefault="006D1995" w14:paraId="09E8ED2A" w14:textId="77777777">
      <w:pPr>
        <w:numPr>
          <w:ilvl w:val="0"/>
          <w:numId w:val="1"/>
        </w:numPr>
        <w:spacing w:after="0" w:line="240" w:lineRule="atLeast"/>
        <w:ind w:left="363"/>
        <w:rPr>
          <w:b/>
          <w:bCs/>
        </w:rPr>
      </w:pPr>
      <w:r w:rsidRPr="00F13B8E">
        <w:rPr>
          <w:b/>
          <w:bCs/>
        </w:rPr>
        <w:lastRenderedPageBreak/>
        <w:t xml:space="preserve">Hoe staat het met de uitvoering van de aangenomen motie van het lid </w:t>
      </w:r>
      <w:proofErr w:type="spellStart"/>
      <w:r w:rsidRPr="00F13B8E">
        <w:rPr>
          <w:b/>
          <w:bCs/>
        </w:rPr>
        <w:t>Gabriëls</w:t>
      </w:r>
      <w:proofErr w:type="spellEnd"/>
      <w:r>
        <w:rPr>
          <w:rStyle w:val="Voetnootmarkering"/>
          <w:b/>
          <w:bCs/>
        </w:rPr>
        <w:footnoteReference w:id="5"/>
      </w:r>
      <w:r w:rsidRPr="00F13B8E">
        <w:rPr>
          <w:b/>
          <w:bCs/>
        </w:rPr>
        <w:t>, die de regering verzoekt om op korte termijn met aanvullende maatregelen te komen om op koers te raken richting de circulaire-economiedoelen voor 2030?</w:t>
      </w:r>
    </w:p>
    <w:p w:rsidRPr="007737F5" w:rsidR="006D1995" w:rsidP="006D1995" w:rsidRDefault="006D1995" w14:paraId="47DF1BC8" w14:textId="77777777">
      <w:pPr>
        <w:ind w:left="360"/>
      </w:pPr>
    </w:p>
    <w:p w:rsidRPr="007737F5" w:rsidR="006D1995" w:rsidP="006D1995" w:rsidRDefault="006D1995" w14:paraId="553991FC" w14:textId="77777777">
      <w:pPr>
        <w:ind w:left="357"/>
      </w:pPr>
      <w:r w:rsidRPr="007737F5">
        <w:t xml:space="preserve">De uitvoering van de motie is in gang gezet. </w:t>
      </w:r>
      <w:r>
        <w:t>Er is gestart met</w:t>
      </w:r>
      <w:r w:rsidRPr="007737F5">
        <w:t xml:space="preserve"> het ontwikkelen van aanvullende maatregelen</w:t>
      </w:r>
      <w:r>
        <w:t>. D</w:t>
      </w:r>
      <w:r w:rsidRPr="007737F5">
        <w:t xml:space="preserve">e Kamer </w:t>
      </w:r>
      <w:r>
        <w:t xml:space="preserve">wordt </w:t>
      </w:r>
      <w:r w:rsidRPr="007737F5">
        <w:t xml:space="preserve">hierover </w:t>
      </w:r>
      <w:r>
        <w:t>geï</w:t>
      </w:r>
      <w:r w:rsidRPr="007737F5">
        <w:t>nforme</w:t>
      </w:r>
      <w:r>
        <w:t>e</w:t>
      </w:r>
      <w:r w:rsidRPr="007737F5">
        <w:t>r</w:t>
      </w:r>
      <w:r>
        <w:t>d</w:t>
      </w:r>
      <w:r w:rsidRPr="007737F5">
        <w:t xml:space="preserve"> via de actualisatie van het Nationaal Programma Circulaire Economie, die na de zomer aan de Kamer zal worden verzonden. </w:t>
      </w:r>
      <w:r w:rsidRPr="007737F5">
        <w:rPr>
          <w:rFonts w:ascii="Arial" w:hAnsi="Arial" w:cs="Arial"/>
        </w:rPr>
        <w:t>​</w:t>
      </w:r>
    </w:p>
    <w:p w:rsidRPr="007737F5" w:rsidR="006D1995" w:rsidP="006D1995" w:rsidRDefault="006D1995" w14:paraId="1CA25195" w14:textId="77777777">
      <w:pPr>
        <w:ind w:left="360"/>
      </w:pPr>
    </w:p>
    <w:p w:rsidRPr="00F13B8E" w:rsidR="006D1995" w:rsidP="006D1995" w:rsidRDefault="006D1995" w14:paraId="1A207D39" w14:textId="77777777">
      <w:pPr>
        <w:numPr>
          <w:ilvl w:val="0"/>
          <w:numId w:val="1"/>
        </w:numPr>
        <w:spacing w:after="0" w:line="240" w:lineRule="atLeast"/>
        <w:ind w:left="363"/>
        <w:rPr>
          <w:b/>
          <w:bCs/>
        </w:rPr>
      </w:pPr>
      <w:r w:rsidRPr="00F13B8E">
        <w:rPr>
          <w:b/>
          <w:bCs/>
        </w:rPr>
        <w:t>Hoe kijkt u naar de conclusies onder hoofdstuk 2.5 in het rapport van CE Delft</w:t>
      </w:r>
      <w:r>
        <w:rPr>
          <w:rStyle w:val="Voetnootmarkering"/>
          <w:b/>
          <w:bCs/>
        </w:rPr>
        <w:footnoteReference w:id="6"/>
      </w:r>
      <w:r>
        <w:rPr>
          <w:b/>
          <w:bCs/>
        </w:rPr>
        <w:t xml:space="preserve"> </w:t>
      </w:r>
      <w:r w:rsidRPr="00F13B8E">
        <w:rPr>
          <w:b/>
          <w:bCs/>
        </w:rPr>
        <w:t>over circulaire beleidsinstrumenten en de te verwachten effecten? Hoe staat het specifiek met de verkenning, zoals genoemd in het tweede punt uit de conclusies? En wat gaat u doen met de aanbevelingen in hoofdstuk 6.1 uit het rapport?</w:t>
      </w:r>
      <w:r w:rsidRPr="00F13B8E">
        <w:rPr>
          <w:b/>
          <w:bCs/>
        </w:rPr>
        <w:br/>
      </w:r>
    </w:p>
    <w:p w:rsidRPr="007737F5" w:rsidR="006D1995" w:rsidP="006D1995" w:rsidRDefault="006D1995" w14:paraId="6B70C11B" w14:textId="77777777">
      <w:pPr>
        <w:ind w:left="360"/>
      </w:pPr>
      <w:r w:rsidRPr="007737F5">
        <w:t xml:space="preserve">Het betreffende CE-rapport is opgesteld in opdracht van het PBL. Het PBL heeft de conclusies en aanbevelingen meegenomen bij het opstellen van de eerder genoemde ICER. De in de ICER opgenomen aanbevelingen </w:t>
      </w:r>
      <w:r>
        <w:t>worden</w:t>
      </w:r>
      <w:r w:rsidRPr="007737F5">
        <w:t xml:space="preserve"> zoals eerder gesteld</w:t>
      </w:r>
      <w:r>
        <w:t>,</w:t>
      </w:r>
      <w:r w:rsidRPr="007737F5">
        <w:t xml:space="preserve"> mee</w:t>
      </w:r>
      <w:r>
        <w:t>genomen</w:t>
      </w:r>
      <w:r w:rsidRPr="007737F5">
        <w:t xml:space="preserve"> in de actualisatie van het Nationaal Programma Circulaire Economie, die na de zomer aan de Kamer zal worden gestuurd. </w:t>
      </w:r>
    </w:p>
    <w:p w:rsidRPr="007737F5" w:rsidR="006D1995" w:rsidP="006D1995" w:rsidRDefault="006D1995" w14:paraId="5FAD1AFF" w14:textId="77777777">
      <w:pPr>
        <w:ind w:left="360"/>
      </w:pPr>
    </w:p>
    <w:p w:rsidRPr="00F13B8E" w:rsidR="006D1995" w:rsidP="006D1995" w:rsidRDefault="006D1995" w14:paraId="0EF1A1F3" w14:textId="77777777">
      <w:pPr>
        <w:numPr>
          <w:ilvl w:val="0"/>
          <w:numId w:val="1"/>
        </w:numPr>
        <w:spacing w:after="0" w:line="240" w:lineRule="atLeast"/>
        <w:ind w:left="363"/>
        <w:rPr>
          <w:b/>
          <w:bCs/>
        </w:rPr>
      </w:pPr>
      <w:r w:rsidRPr="00F13B8E">
        <w:rPr>
          <w:b/>
          <w:bCs/>
        </w:rPr>
        <w:t>Onderschrijft u dat het noodzakelijk is dat de economie circulair en daarmee toekomstbestendig wordt? Zo nee, kunt u dan uiteenzetten op welke manier de economie toekomstbestendig gemaakt kan worden, gegeven het feit dat veel grondstoffen die nu gebruikt worden niet oneindig voorradig zijn? Hoe verhoudt uw antwoord zich tot de in het Hoofdlijnenakkoord opgenomen stellingname dat het noodzakelijk is dat de economie gezond is en dat bedrijven kunnen floreren om een welvarend Nederland te waarborgen?</w:t>
      </w:r>
      <w:r w:rsidRPr="00F13B8E">
        <w:rPr>
          <w:b/>
          <w:bCs/>
        </w:rPr>
        <w:br/>
      </w:r>
    </w:p>
    <w:p w:rsidRPr="007737F5" w:rsidR="006D1995" w:rsidP="006D1995" w:rsidRDefault="006D1995" w14:paraId="66DE9DAC" w14:textId="77777777">
      <w:pPr>
        <w:ind w:left="360"/>
      </w:pPr>
      <w:r w:rsidRPr="007737F5">
        <w:t xml:space="preserve">Ja, </w:t>
      </w:r>
      <w:r>
        <w:t>het kabinet</w:t>
      </w:r>
      <w:r w:rsidRPr="007737F5">
        <w:t xml:space="preserve"> onderschrij</w:t>
      </w:r>
      <w:r>
        <w:t>ft</w:t>
      </w:r>
      <w:r w:rsidRPr="007737F5">
        <w:t xml:space="preserve"> dat een circulaire economie essentieel is voor toekomstbestendigheid. Het huidige gebruik van grondstoffen is niet houdbaar op </w:t>
      </w:r>
      <w:r>
        <w:t xml:space="preserve">de </w:t>
      </w:r>
      <w:r w:rsidRPr="007737F5">
        <w:t>lange termijn</w:t>
      </w:r>
      <w:r>
        <w:t xml:space="preserve">. Circulaire economie biedt kansen voor ons toekomstig verdienvermogen, onze strategische autonomie en de bescherming van onze leefomgeving. </w:t>
      </w:r>
      <w:r w:rsidRPr="007737F5">
        <w:t xml:space="preserve">Daarmee is de ambitie om te komen tot een circulaire economie goed verenigbaar met de inzet van het kabinet </w:t>
      </w:r>
      <w:r w:rsidRPr="007737F5">
        <w:lastRenderedPageBreak/>
        <w:t xml:space="preserve">dat bedrijven in Nederland kunnen verduurzamen, een toekomst kunnen hebben en concurrerend kunnen zijn. </w:t>
      </w:r>
    </w:p>
    <w:p w:rsidRPr="007737F5" w:rsidR="006D1995" w:rsidP="006D1995" w:rsidRDefault="006D1995" w14:paraId="0553CABF" w14:textId="77777777"/>
    <w:p w:rsidRPr="00F13B8E" w:rsidR="006D1995" w:rsidP="006D1995" w:rsidRDefault="006D1995" w14:paraId="7A95AD24" w14:textId="77777777">
      <w:pPr>
        <w:numPr>
          <w:ilvl w:val="0"/>
          <w:numId w:val="1"/>
        </w:numPr>
        <w:spacing w:after="0" w:line="240" w:lineRule="atLeast"/>
        <w:ind w:left="363"/>
        <w:rPr>
          <w:b/>
          <w:bCs/>
        </w:rPr>
      </w:pPr>
      <w:r w:rsidRPr="00F13B8E">
        <w:rPr>
          <w:b/>
          <w:bCs/>
        </w:rPr>
        <w:t>Hoe gaat u eraan bijdragen dat de circulaire-economiedoelen wél gehaald gaan worden? Bent u bereid het fiscale beleid hierop aan te passen door effectiever te beprijzen?</w:t>
      </w:r>
    </w:p>
    <w:p w:rsidR="006D1995" w:rsidP="006D1995" w:rsidRDefault="006D1995" w14:paraId="5B204147" w14:textId="77777777">
      <w:pPr>
        <w:ind w:left="360"/>
      </w:pPr>
    </w:p>
    <w:p w:rsidRPr="007737F5" w:rsidR="006D1995" w:rsidP="006D1995" w:rsidRDefault="006D1995" w14:paraId="7F751CBA" w14:textId="77777777">
      <w:pPr>
        <w:ind w:left="360"/>
      </w:pPr>
      <w:r w:rsidRPr="007737F5">
        <w:t>In het Nationaal Programma Circulaire Economie (NPCE) staat een veelheid aan maatregelen die bijdragen aan de transitie. Naast stimuleren en normeren vormt beprijzen een onderdeel van de instrumentenmix. Het fiscale beleid wordt jaarlijks aangepast, rekening houdend met belangrijke maatschappelijke opgaven zoals de circulaire economie.</w:t>
      </w:r>
      <w:r>
        <w:t xml:space="preserve"> </w:t>
      </w:r>
      <w:bookmarkStart w:name="_Hlk198739640" w:id="1"/>
      <w:r w:rsidRPr="00335F6C">
        <w:t>Het kabinet benadrukt dat normering</w:t>
      </w:r>
      <w:r>
        <w:t xml:space="preserve"> </w:t>
      </w:r>
      <w:r w:rsidRPr="00335F6C">
        <w:t xml:space="preserve">en </w:t>
      </w:r>
      <w:proofErr w:type="spellStart"/>
      <w:r>
        <w:t>beprijzing</w:t>
      </w:r>
      <w:proofErr w:type="spellEnd"/>
      <w:r w:rsidRPr="00335F6C">
        <w:t xml:space="preserve"> bij voorkeur op Europees niveau moeten worden ingevoerd om een gelijk speelveld te waarborgen voor bedrijven binnen de EU. Dit voorkomt marktverstoring en versterkt de concurrentiepositie van Nederlandse circulaire bedrijven.</w:t>
      </w:r>
      <w:r>
        <w:t xml:space="preserve"> </w:t>
      </w:r>
      <w:r w:rsidRPr="004C2D90">
        <w:t>Daar waar nationale maatregelen worden getroffen is het van belang om deze zo goed mogelijk te laten aansluiten bij Europese wetgeving om een gelijk speelveld zo goed mogelijk te borgen</w:t>
      </w:r>
      <w:r>
        <w:t>.</w:t>
      </w:r>
      <w:r w:rsidRPr="005C5FBB">
        <w:t xml:space="preserve"> </w:t>
      </w:r>
      <w:bookmarkEnd w:id="1"/>
      <w:r w:rsidRPr="007737F5">
        <w:t xml:space="preserve">Op concrete maatregelen wordt ingegaan bij vraag 13. </w:t>
      </w:r>
    </w:p>
    <w:p w:rsidRPr="007737F5" w:rsidR="006D1995" w:rsidP="006D1995" w:rsidRDefault="006D1995" w14:paraId="4ADC06E7" w14:textId="77777777">
      <w:pPr>
        <w:ind w:left="360"/>
      </w:pPr>
    </w:p>
    <w:p w:rsidRPr="00F13B8E" w:rsidR="006D1995" w:rsidP="006D1995" w:rsidRDefault="006D1995" w14:paraId="7601A528" w14:textId="77777777">
      <w:pPr>
        <w:numPr>
          <w:ilvl w:val="0"/>
          <w:numId w:val="1"/>
        </w:numPr>
        <w:autoSpaceDN w:val="0"/>
        <w:spacing w:after="0" w:line="240" w:lineRule="atLeast"/>
        <w:ind w:left="360"/>
        <w:textAlignment w:val="baseline"/>
        <w:rPr>
          <w:b/>
          <w:bCs/>
        </w:rPr>
      </w:pPr>
      <w:r w:rsidRPr="00F13B8E">
        <w:rPr>
          <w:b/>
          <w:bCs/>
        </w:rPr>
        <w:t>Welke fiscale maatregelen worden er al getroffen om de circulaire economie te bevorderen? Welke fiscale maatregelen bent u nog van plan om te treffen?</w:t>
      </w:r>
      <w:r w:rsidRPr="00F13B8E">
        <w:rPr>
          <w:b/>
          <w:bCs/>
        </w:rPr>
        <w:br/>
      </w:r>
    </w:p>
    <w:p w:rsidRPr="007737F5" w:rsidR="006D1995" w:rsidP="006D1995" w:rsidRDefault="006D1995" w14:paraId="3829D62F" w14:textId="77777777">
      <w:pPr>
        <w:ind w:left="360"/>
        <w:rPr>
          <w:rFonts w:eastAsia="Times New Roman" w:cs="Times New Roman"/>
          <w:szCs w:val="24"/>
        </w:rPr>
      </w:pPr>
      <w:r w:rsidRPr="007737F5">
        <w:rPr>
          <w:rFonts w:eastAsia="Times New Roman" w:cs="Times New Roman"/>
          <w:szCs w:val="24"/>
        </w:rPr>
        <w:t xml:space="preserve">In het hoofdlijnenakkoord is afgesproken om per 2028 een circulaire polymerenheffing in te voeren. In het Regeerprogramma is afgesproken om deze heffing bij de Voorjaarsnota 2025 te wegen in samenhang met de circulaire plasticnorm, met oog voor economische effecten. </w:t>
      </w:r>
      <w:bookmarkStart w:name="_Hlk198739662" w:id="2"/>
      <w:r w:rsidRPr="00740966">
        <w:t xml:space="preserve">De </w:t>
      </w:r>
      <w:proofErr w:type="spellStart"/>
      <w:r w:rsidRPr="00740966">
        <w:t>circulaireplasticnorm</w:t>
      </w:r>
      <w:proofErr w:type="spellEnd"/>
      <w:r w:rsidRPr="00740966">
        <w:t xml:space="preserve"> gaat niet door in de huidige vorm. De voorziene polymerenheffing gaat ook niet door. </w:t>
      </w:r>
      <w:bookmarkEnd w:id="2"/>
      <w:r w:rsidRPr="007737F5">
        <w:rPr>
          <w:rFonts w:eastAsia="Times New Roman" w:cs="Times New Roman"/>
          <w:szCs w:val="24"/>
        </w:rPr>
        <w:t>Omdat dit leidt tot een budgettaire derving van 567 mln. vanaf 2028 (prijspeil 2025) neemt het kabinet de volgende alternatieve maatregelen:</w:t>
      </w:r>
    </w:p>
    <w:p w:rsidRPr="007737F5" w:rsidR="006D1995" w:rsidP="006D1995" w:rsidRDefault="006D1995" w14:paraId="380A9D38" w14:textId="77777777"/>
    <w:p w:rsidRPr="007737F5" w:rsidR="006D1995" w:rsidP="006D1995" w:rsidRDefault="006D1995" w14:paraId="0A3E4683" w14:textId="77777777">
      <w:pPr>
        <w:numPr>
          <w:ilvl w:val="0"/>
          <w:numId w:val="2"/>
        </w:numPr>
        <w:autoSpaceDN w:val="0"/>
        <w:spacing w:after="0" w:line="240" w:lineRule="atLeast"/>
        <w:textAlignment w:val="baseline"/>
        <w:rPr>
          <w:b/>
          <w:bCs/>
        </w:rPr>
      </w:pPr>
      <w:r w:rsidRPr="007737F5">
        <w:t>Hervorming afvalstoffenbelasting (met een taakstellende opbrengst): hierbij wordt onder andere gekeken naar verbreding van de grondslag en verhoging van het tarief voor storten met ontheffing. (deze maatregel wordt opgenomen in het pakket Belastingplan 2026);</w:t>
      </w:r>
    </w:p>
    <w:p w:rsidRPr="007737F5" w:rsidR="006D1995" w:rsidP="006D1995" w:rsidRDefault="006D1995" w14:paraId="1223C8EA" w14:textId="77777777">
      <w:pPr>
        <w:numPr>
          <w:ilvl w:val="0"/>
          <w:numId w:val="2"/>
        </w:numPr>
        <w:autoSpaceDN w:val="0"/>
        <w:spacing w:after="0" w:line="240" w:lineRule="atLeast"/>
        <w:textAlignment w:val="baseline"/>
        <w:rPr>
          <w:b/>
          <w:bCs/>
        </w:rPr>
      </w:pPr>
      <w:r w:rsidRPr="007737F5">
        <w:t>Inzetten budgettaire terugsluis opbrengst CO</w:t>
      </w:r>
      <w:r w:rsidRPr="007737F5">
        <w:rPr>
          <w:vertAlign w:val="subscript"/>
        </w:rPr>
        <w:t>2</w:t>
      </w:r>
      <w:r w:rsidRPr="007737F5">
        <w:t>-heffing voor afvalverbrandingsinstallaties;</w:t>
      </w:r>
    </w:p>
    <w:p w:rsidRPr="007737F5" w:rsidR="006D1995" w:rsidP="006D1995" w:rsidRDefault="006D1995" w14:paraId="01DF6AC4" w14:textId="77777777">
      <w:pPr>
        <w:numPr>
          <w:ilvl w:val="0"/>
          <w:numId w:val="2"/>
        </w:numPr>
        <w:autoSpaceDN w:val="0"/>
        <w:spacing w:after="0" w:line="240" w:lineRule="atLeast"/>
        <w:textAlignment w:val="baseline"/>
        <w:rPr>
          <w:b/>
          <w:bCs/>
        </w:rPr>
      </w:pPr>
      <w:r w:rsidRPr="007737F5">
        <w:rPr>
          <w:rFonts w:eastAsia="Aptos" w:cs="Aptos"/>
        </w:rPr>
        <w:lastRenderedPageBreak/>
        <w:t xml:space="preserve">Aan de ‘Plastictafel’ vraagt het kabinet om voorstellen. </w:t>
      </w:r>
      <w:r w:rsidRPr="007737F5">
        <w:t>Voor nu stelt het kabinet als technische invulling voor om de CO</w:t>
      </w:r>
      <w:r w:rsidRPr="007737F5">
        <w:rPr>
          <w:vertAlign w:val="subscript"/>
        </w:rPr>
        <w:t>2</w:t>
      </w:r>
      <w:r w:rsidRPr="007737F5">
        <w:t>-heffing voor afvalverbrandingsinstallaties</w:t>
      </w:r>
      <w:r>
        <w:t xml:space="preserve"> (AVI)</w:t>
      </w:r>
      <w:r w:rsidRPr="007737F5">
        <w:t xml:space="preserve"> aan te scherpen (tarief naar 295 euro/ton CO</w:t>
      </w:r>
      <w:r w:rsidRPr="007737F5">
        <w:rPr>
          <w:vertAlign w:val="subscript"/>
        </w:rPr>
        <w:t>2</w:t>
      </w:r>
      <w:r w:rsidRPr="007737F5">
        <w:t xml:space="preserve"> in 2030, afbouw van de AVI-correctiefactor vanaf 2030 naar 0 in 2033, handel in dispensatierechten wordt beperkt tot afvalverbrandingsinstallaties onderling) en om de afvalstoffenbelasting te verhogen. Beide maatregelen zullen worden opgenomen in het pakket Belastingplan 2026, tenzij de Plastictafel voor aanvang van de augustusbesluitvorming van dit jaar (2025) tot een uitvoerbaar en gedragen alternatief </w:t>
      </w:r>
      <w:proofErr w:type="spellStart"/>
      <w:r w:rsidRPr="007737F5">
        <w:t>beprijzend</w:t>
      </w:r>
      <w:proofErr w:type="spellEnd"/>
      <w:r w:rsidRPr="007737F5">
        <w:t xml:space="preserve"> voorstel is gekomen dat past binnen de gestelde randvoorwaarden en/of een andere dekking binnen het circulaire domein beter passend blijkt.</w:t>
      </w:r>
    </w:p>
    <w:p w:rsidRPr="007737F5" w:rsidR="006D1995" w:rsidP="006D1995" w:rsidRDefault="006D1995" w14:paraId="730F85B1" w14:textId="77777777">
      <w:pPr>
        <w:tabs>
          <w:tab w:val="left" w:pos="2785"/>
          <w:tab w:val="left" w:pos="3206"/>
        </w:tabs>
      </w:pPr>
    </w:p>
    <w:p w:rsidRPr="007737F5" w:rsidR="006D1995" w:rsidP="006D1995" w:rsidRDefault="006D1995" w14:paraId="3588C2C0" w14:textId="77777777">
      <w:pPr>
        <w:ind w:left="360"/>
      </w:pPr>
      <w:r w:rsidRPr="007737F5">
        <w:t xml:space="preserve">Met Prinsjesdag geeft het kabinet een uitgebreidere reflectie over de wijze waarin de circulaire economie met fiscale prikkels kan worden ondersteund. De inzichten van de Plastictafel neemt het kabinet hierin mee. </w:t>
      </w:r>
    </w:p>
    <w:p w:rsidRPr="007737F5" w:rsidR="006D1995" w:rsidP="006D1995" w:rsidRDefault="006D1995" w14:paraId="5AA41C6F" w14:textId="77777777">
      <w:pPr>
        <w:ind w:left="360"/>
      </w:pPr>
    </w:p>
    <w:p w:rsidRPr="00F13B8E" w:rsidR="006D1995" w:rsidP="006D1995" w:rsidRDefault="006D1995" w14:paraId="64E3C29C" w14:textId="77777777">
      <w:pPr>
        <w:numPr>
          <w:ilvl w:val="0"/>
          <w:numId w:val="1"/>
        </w:numPr>
        <w:spacing w:after="0" w:line="240" w:lineRule="atLeast"/>
        <w:ind w:left="360"/>
        <w:rPr>
          <w:b/>
          <w:bCs/>
        </w:rPr>
      </w:pPr>
      <w:r w:rsidRPr="00F13B8E">
        <w:rPr>
          <w:b/>
          <w:bCs/>
        </w:rPr>
        <w:t>Welke concrete beleidsmaatregelen overweegt u om de circulaire economie te stimuleren?</w:t>
      </w:r>
      <w:r w:rsidRPr="00F13B8E">
        <w:rPr>
          <w:b/>
          <w:bCs/>
        </w:rPr>
        <w:br/>
      </w:r>
    </w:p>
    <w:p w:rsidRPr="00380DFB" w:rsidR="006D1995" w:rsidP="006D1995" w:rsidRDefault="006D1995" w14:paraId="10ADD748" w14:textId="77777777">
      <w:pPr>
        <w:ind w:left="360"/>
      </w:pPr>
      <w:r w:rsidRPr="007737F5">
        <w:t>De beleidsmaatregelen die het kabinet zal nemen zullen worden opgenomen in de eerder genoemde actualisatie van het NPCE.</w:t>
      </w:r>
      <w:r>
        <w:t xml:space="preserve"> De Kamer ontvangt deze na de zomer.</w:t>
      </w:r>
    </w:p>
    <w:p w:rsidR="002C3023" w:rsidRDefault="002C3023" w14:paraId="78289B40" w14:textId="77777777"/>
    <w:sectPr w:rsidR="002C3023" w:rsidSect="006D199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75D" w14:textId="77777777" w:rsidR="006D1995" w:rsidRDefault="006D1995" w:rsidP="006D1995">
      <w:pPr>
        <w:spacing w:after="0" w:line="240" w:lineRule="auto"/>
      </w:pPr>
      <w:r>
        <w:separator/>
      </w:r>
    </w:p>
  </w:endnote>
  <w:endnote w:type="continuationSeparator" w:id="0">
    <w:p w14:paraId="08D0DF81" w14:textId="77777777" w:rsidR="006D1995" w:rsidRDefault="006D1995" w:rsidP="006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FAEB" w14:textId="77777777" w:rsidR="006D1995" w:rsidRPr="006D1995" w:rsidRDefault="006D1995" w:rsidP="006D19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1498" w14:textId="77777777" w:rsidR="006D1995" w:rsidRPr="006D1995" w:rsidRDefault="006D1995" w:rsidP="006D19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EDB0" w14:textId="77777777" w:rsidR="006D1995" w:rsidRPr="006D1995" w:rsidRDefault="006D1995" w:rsidP="006D1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065C" w14:textId="77777777" w:rsidR="006D1995" w:rsidRDefault="006D1995" w:rsidP="006D1995">
      <w:pPr>
        <w:spacing w:after="0" w:line="240" w:lineRule="auto"/>
      </w:pPr>
      <w:r>
        <w:separator/>
      </w:r>
    </w:p>
  </w:footnote>
  <w:footnote w:type="continuationSeparator" w:id="0">
    <w:p w14:paraId="2662C7DE" w14:textId="77777777" w:rsidR="006D1995" w:rsidRDefault="006D1995" w:rsidP="006D1995">
      <w:pPr>
        <w:spacing w:after="0" w:line="240" w:lineRule="auto"/>
      </w:pPr>
      <w:r>
        <w:continuationSeparator/>
      </w:r>
    </w:p>
  </w:footnote>
  <w:footnote w:id="1">
    <w:p w14:paraId="066D4B21" w14:textId="77777777" w:rsidR="006D1995" w:rsidRDefault="006D1995" w:rsidP="006D1995">
      <w:pPr>
        <w:pStyle w:val="Voetnoottekst"/>
      </w:pPr>
      <w:r>
        <w:rPr>
          <w:rStyle w:val="Voetnootmarkering"/>
        </w:rPr>
        <w:footnoteRef/>
      </w:r>
      <w:r>
        <w:t xml:space="preserve"> </w:t>
      </w:r>
      <w:r w:rsidRPr="003875FB">
        <w:rPr>
          <w:sz w:val="16"/>
          <w:szCs w:val="16"/>
        </w:rPr>
        <w:t>NRC.nl, 31 maart 2025 (</w:t>
      </w:r>
      <w:hyperlink r:id="rId1" w:history="1">
        <w:r w:rsidRPr="003875FB">
          <w:rPr>
            <w:rStyle w:val="Hyperlink"/>
            <w:sz w:val="16"/>
            <w:szCs w:val="16"/>
          </w:rPr>
          <w:t>https://www.nrc.nl/nieuws/2025/03/31/bedrijven-als-ikea-bol-strukton-en-zeeman-waarschuwen-overheid-is-te-passief-de-circulaire-economie-staat-stil-a4888307</w:t>
        </w:r>
      </w:hyperlink>
    </w:p>
  </w:footnote>
  <w:footnote w:id="2">
    <w:p w14:paraId="29E7EF68" w14:textId="77777777" w:rsidR="006D1995" w:rsidRPr="00380DFB" w:rsidRDefault="006D1995" w:rsidP="006D1995">
      <w:pPr>
        <w:pStyle w:val="Voetnoottekst"/>
        <w:rPr>
          <w:lang w:val="en-US"/>
        </w:rPr>
      </w:pPr>
      <w:r>
        <w:rPr>
          <w:rStyle w:val="Voetnootmarkering"/>
        </w:rPr>
        <w:footnoteRef/>
      </w:r>
      <w:r w:rsidRPr="00380DFB">
        <w:rPr>
          <w:lang w:val="en-US"/>
        </w:rPr>
        <w:t xml:space="preserve"> </w:t>
      </w:r>
      <w:r w:rsidRPr="003875FB">
        <w:rPr>
          <w:sz w:val="16"/>
          <w:szCs w:val="16"/>
          <w:lang w:val="en-US"/>
        </w:rPr>
        <w:t xml:space="preserve">NOS.nl, 1 </w:t>
      </w:r>
      <w:proofErr w:type="spellStart"/>
      <w:r w:rsidRPr="003875FB">
        <w:rPr>
          <w:sz w:val="16"/>
          <w:szCs w:val="16"/>
          <w:lang w:val="en-US"/>
        </w:rPr>
        <w:t>april</w:t>
      </w:r>
      <w:proofErr w:type="spellEnd"/>
      <w:r w:rsidRPr="003875FB">
        <w:rPr>
          <w:sz w:val="16"/>
          <w:szCs w:val="16"/>
          <w:lang w:val="en-US"/>
        </w:rPr>
        <w:t xml:space="preserve"> 2025 (</w:t>
      </w:r>
      <w:hyperlink r:id="rId2" w:history="1">
        <w:r w:rsidRPr="003875FB">
          <w:rPr>
            <w:rStyle w:val="Hyperlink"/>
            <w:sz w:val="16"/>
            <w:szCs w:val="16"/>
            <w:lang w:val="en-US"/>
          </w:rPr>
          <w:t>https://nos.nl/artikel/2561989-circulaire-economie-heeft-impuls-nodig-helpt-het-om-de-btw-te-schrappen</w:t>
        </w:r>
      </w:hyperlink>
    </w:p>
  </w:footnote>
  <w:footnote w:id="3">
    <w:p w14:paraId="41D82805" w14:textId="77777777" w:rsidR="006D1995" w:rsidRPr="00920869" w:rsidRDefault="006D1995" w:rsidP="006D1995">
      <w:pPr>
        <w:pStyle w:val="Voetnoottekst"/>
        <w:rPr>
          <w:lang w:val="en-US"/>
        </w:rPr>
      </w:pPr>
      <w:r>
        <w:rPr>
          <w:rStyle w:val="Voetnootmarkering"/>
        </w:rPr>
        <w:footnoteRef/>
      </w:r>
      <w:r w:rsidRPr="00920869">
        <w:rPr>
          <w:lang w:val="en-US"/>
        </w:rPr>
        <w:t xml:space="preserve"> </w:t>
      </w:r>
      <w:r w:rsidRPr="00920869">
        <w:rPr>
          <w:sz w:val="16"/>
          <w:szCs w:val="16"/>
          <w:lang w:val="en-US"/>
        </w:rPr>
        <w:t>https://www.nederlandcirculairin2050.nl/documenten/2025/03/20/krachtenbundeling-rijk-regio-circulaire-economie-2025-2026</w:t>
      </w:r>
    </w:p>
  </w:footnote>
  <w:footnote w:id="4">
    <w:p w14:paraId="1C842D59" w14:textId="77777777" w:rsidR="006D1995" w:rsidRDefault="006D1995" w:rsidP="006D1995">
      <w:pPr>
        <w:pStyle w:val="Voetnoottekst"/>
      </w:pPr>
      <w:r>
        <w:rPr>
          <w:rStyle w:val="Voetnootmarkering"/>
        </w:rPr>
        <w:footnoteRef/>
      </w:r>
      <w:r>
        <w:t xml:space="preserve"> </w:t>
      </w:r>
      <w:r w:rsidRPr="003875FB">
        <w:rPr>
          <w:sz w:val="16"/>
          <w:szCs w:val="16"/>
        </w:rPr>
        <w:t>Website MVO Nederland, 31 maart 2025 (</w:t>
      </w:r>
      <w:hyperlink r:id="rId3" w:history="1">
        <w:r w:rsidRPr="003875FB">
          <w:rPr>
            <w:rStyle w:val="Hyperlink"/>
            <w:sz w:val="16"/>
            <w:szCs w:val="16"/>
          </w:rPr>
          <w:t>https://www.mvonederland.nl/nieuws-opinie/grote-nederlandse-bedrijven-en-mvo-nederland-roepen-op-tot-opschaling-circulaire-economie</w:t>
        </w:r>
      </w:hyperlink>
      <w:r>
        <w:rPr>
          <w:sz w:val="16"/>
          <w:szCs w:val="16"/>
        </w:rPr>
        <w:t xml:space="preserve"> </w:t>
      </w:r>
    </w:p>
  </w:footnote>
  <w:footnote w:id="5">
    <w:p w14:paraId="15CC6788" w14:textId="77777777" w:rsidR="006D1995" w:rsidRPr="00380DFB" w:rsidRDefault="006D1995" w:rsidP="006D1995">
      <w:pPr>
        <w:pStyle w:val="Voetnoottekst"/>
        <w:rPr>
          <w:sz w:val="16"/>
          <w:szCs w:val="16"/>
        </w:rPr>
      </w:pPr>
      <w:r>
        <w:rPr>
          <w:rStyle w:val="Voetnootmarkering"/>
        </w:rPr>
        <w:footnoteRef/>
      </w:r>
      <w:r>
        <w:t xml:space="preserve"> </w:t>
      </w:r>
      <w:r w:rsidRPr="00380DFB">
        <w:rPr>
          <w:sz w:val="16"/>
          <w:szCs w:val="16"/>
        </w:rPr>
        <w:t>Kamerstukken II 2024-2025, 32852, nr. 346</w:t>
      </w:r>
    </w:p>
  </w:footnote>
  <w:footnote w:id="6">
    <w:p w14:paraId="5DAC88B9" w14:textId="77777777" w:rsidR="006D1995" w:rsidRDefault="006D1995" w:rsidP="006D1995">
      <w:pPr>
        <w:pStyle w:val="Voetnoottekst"/>
      </w:pPr>
      <w:r>
        <w:rPr>
          <w:rStyle w:val="Voetnootmarkering"/>
        </w:rPr>
        <w:footnoteRef/>
      </w:r>
      <w:r>
        <w:t xml:space="preserve"> </w:t>
      </w:r>
      <w:r w:rsidRPr="003875FB">
        <w:rPr>
          <w:sz w:val="16"/>
          <w:szCs w:val="16"/>
        </w:rPr>
        <w:t>CE Delft, 'Circulaire beleidsinstrumenten en te verwachten effecten', september 2024 (</w:t>
      </w:r>
      <w:hyperlink r:id="rId4" w:history="1">
        <w:r w:rsidRPr="003875FB">
          <w:rPr>
            <w:rStyle w:val="Hyperlink"/>
            <w:sz w:val="16"/>
            <w:szCs w:val="16"/>
          </w:rPr>
          <w:t>https://cedelft.eu/wp-content/uploads/sites/2/2025/01/CE_Delft_230499_Circulaire-beleidsinstrumenten-en-te-verwachten-effecten_def.pdf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BC46" w14:textId="77777777" w:rsidR="006D1995" w:rsidRPr="006D1995" w:rsidRDefault="006D1995" w:rsidP="006D19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1B57" w14:textId="77777777" w:rsidR="006D1995" w:rsidRPr="006D1995" w:rsidRDefault="006D1995" w:rsidP="006D19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BD2" w14:textId="77777777" w:rsidR="006D1995" w:rsidRPr="006D1995" w:rsidRDefault="006D1995" w:rsidP="006D19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CCF"/>
    <w:multiLevelType w:val="multilevel"/>
    <w:tmpl w:val="3C62DD42"/>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CD8446B"/>
    <w:multiLevelType w:val="multilevel"/>
    <w:tmpl w:val="E7369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0175740">
    <w:abstractNumId w:val="1"/>
  </w:num>
  <w:num w:numId="2" w16cid:durableId="1839886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95"/>
    <w:rsid w:val="002C3023"/>
    <w:rsid w:val="006D1995"/>
    <w:rsid w:val="00DF7A30"/>
    <w:rsid w:val="00FD6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F94C"/>
  <w15:chartTrackingRefBased/>
  <w15:docId w15:val="{04581FA5-C91E-4597-BF3F-67A876A7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1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1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1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1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1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1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995"/>
    <w:rPr>
      <w:rFonts w:eastAsiaTheme="majorEastAsia" w:cstheme="majorBidi"/>
      <w:color w:val="272727" w:themeColor="text1" w:themeTint="D8"/>
    </w:rPr>
  </w:style>
  <w:style w:type="paragraph" w:styleId="Titel">
    <w:name w:val="Title"/>
    <w:basedOn w:val="Standaard"/>
    <w:next w:val="Standaard"/>
    <w:link w:val="TitelChar"/>
    <w:uiPriority w:val="10"/>
    <w:qFormat/>
    <w:rsid w:val="006D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995"/>
    <w:rPr>
      <w:i/>
      <w:iCs/>
      <w:color w:val="404040" w:themeColor="text1" w:themeTint="BF"/>
    </w:rPr>
  </w:style>
  <w:style w:type="paragraph" w:styleId="Lijstalinea">
    <w:name w:val="List Paragraph"/>
    <w:basedOn w:val="Standaard"/>
    <w:uiPriority w:val="34"/>
    <w:qFormat/>
    <w:rsid w:val="006D1995"/>
    <w:pPr>
      <w:ind w:left="720"/>
      <w:contextualSpacing/>
    </w:pPr>
  </w:style>
  <w:style w:type="character" w:styleId="Intensievebenadrukking">
    <w:name w:val="Intense Emphasis"/>
    <w:basedOn w:val="Standaardalinea-lettertype"/>
    <w:uiPriority w:val="21"/>
    <w:qFormat/>
    <w:rsid w:val="006D1995"/>
    <w:rPr>
      <w:i/>
      <w:iCs/>
      <w:color w:val="0F4761" w:themeColor="accent1" w:themeShade="BF"/>
    </w:rPr>
  </w:style>
  <w:style w:type="paragraph" w:styleId="Duidelijkcitaat">
    <w:name w:val="Intense Quote"/>
    <w:basedOn w:val="Standaard"/>
    <w:next w:val="Standaard"/>
    <w:link w:val="DuidelijkcitaatChar"/>
    <w:uiPriority w:val="30"/>
    <w:qFormat/>
    <w:rsid w:val="006D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995"/>
    <w:rPr>
      <w:i/>
      <w:iCs/>
      <w:color w:val="0F4761" w:themeColor="accent1" w:themeShade="BF"/>
    </w:rPr>
  </w:style>
  <w:style w:type="character" w:styleId="Intensieveverwijzing">
    <w:name w:val="Intense Reference"/>
    <w:basedOn w:val="Standaardalinea-lettertype"/>
    <w:uiPriority w:val="32"/>
    <w:qFormat/>
    <w:rsid w:val="006D1995"/>
    <w:rPr>
      <w:b/>
      <w:bCs/>
      <w:smallCaps/>
      <w:color w:val="0F4761" w:themeColor="accent1" w:themeShade="BF"/>
      <w:spacing w:val="5"/>
    </w:rPr>
  </w:style>
  <w:style w:type="character" w:styleId="Hyperlink">
    <w:name w:val="Hyperlink"/>
    <w:basedOn w:val="Standaardalinea-lettertype"/>
    <w:uiPriority w:val="99"/>
    <w:unhideWhenUsed/>
    <w:rsid w:val="006D1995"/>
    <w:rPr>
      <w:color w:val="467886" w:themeColor="hyperlink"/>
      <w:u w:val="single"/>
    </w:rPr>
  </w:style>
  <w:style w:type="paragraph" w:styleId="Koptekst">
    <w:name w:val="header"/>
    <w:basedOn w:val="Standaard"/>
    <w:link w:val="KoptekstChar"/>
    <w:uiPriority w:val="99"/>
    <w:unhideWhenUsed/>
    <w:rsid w:val="006D19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199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19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19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D19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D19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1995"/>
    <w:rPr>
      <w:vertAlign w:val="superscript"/>
    </w:rPr>
  </w:style>
  <w:style w:type="paragraph" w:styleId="Geenafstand">
    <w:name w:val="No Spacing"/>
    <w:uiPriority w:val="1"/>
    <w:qFormat/>
    <w:rsid w:val="006D1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vonederland.nl/nieuws-opinie/grote-nederlandse-bedrijven-en-mvo-nederland-roepen-op-tot-opschaling-circulaire-economie" TargetMode="External"/><Relationship Id="rId2" Type="http://schemas.openxmlformats.org/officeDocument/2006/relationships/hyperlink" Target="https://nos.nl/artikel/2561989-circulaire-economie-heeft-impuls-nodig-helpt-het-om-de-btw-te-schrappen" TargetMode="External"/><Relationship Id="rId1" Type="http://schemas.openxmlformats.org/officeDocument/2006/relationships/hyperlink" Target="https://www.nrc.nl/nieuws/2025/03/31/bedrijven-als-ikea-bol-strukton-en-zeeman-waarschuwen-overheid-is-te-passief-de-circulaire-economie-staat-stil-a4888307" TargetMode="External"/><Relationship Id="rId4" Type="http://schemas.openxmlformats.org/officeDocument/2006/relationships/hyperlink" Target="https://cedelft.eu/wp-content/uploads/sites/2/2025/01/CE_Delft_230499_Circulaire-beleidsinstrumenten-en-te-verwachten-effecten_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1699</ap:Words>
  <ap:Characters>9350</ap:Characters>
  <ap:DocSecurity>0</ap:DocSecurity>
  <ap:Lines>77</ap:Lines>
  <ap:Paragraphs>22</ap:Paragraphs>
  <ap:ScaleCrop>false</ap:ScaleCrop>
  <ap:LinksUpToDate>false</ap:LinksUpToDate>
  <ap:CharactersWithSpaces>11027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2025-06-03T09:46:00.0000000Z</dcterms:created>
  <dcterms:modified xsi:type="dcterms:W3CDTF">2025-06-03T09:47:00.0000000Z</dcterms:modified>
  <version/>
  <category/>
</coreProperties>
</file>