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1823BA1F" w14:textId="77777777">
        <w:trPr>
          <w:cantSplit/>
        </w:trPr>
        <w:tc>
          <w:tcPr>
            <w:tcW w:w="9142" w:type="dxa"/>
            <w:gridSpan w:val="2"/>
            <w:tcBorders>
              <w:top w:val="nil"/>
              <w:left w:val="nil"/>
              <w:bottom w:val="nil"/>
              <w:right w:val="nil"/>
            </w:tcBorders>
          </w:tcPr>
          <w:p w:rsidRPr="002168F4" w:rsidR="00CB3578" w:rsidRDefault="00CB3578" w14:paraId="6B2C28BD" w14:textId="77777777">
            <w:pPr>
              <w:pStyle w:val="Amendement"/>
              <w:jc w:val="right"/>
              <w:rPr>
                <w:rFonts w:ascii="Times New Roman" w:hAnsi="Times New Roman" w:cs="Times New Roman"/>
              </w:rPr>
            </w:pPr>
          </w:p>
        </w:tc>
      </w:tr>
      <w:tr w:rsidRPr="002168F4" w:rsidR="00CB3578" w:rsidTr="00A11E73" w14:paraId="4D4C15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DA7FAA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0468AEB" w14:textId="77777777">
            <w:pPr>
              <w:tabs>
                <w:tab w:val="left" w:pos="-1440"/>
                <w:tab w:val="left" w:pos="-720"/>
              </w:tabs>
              <w:suppressAutoHyphens/>
              <w:rPr>
                <w:rFonts w:ascii="Times New Roman" w:hAnsi="Times New Roman"/>
                <w:b/>
                <w:bCs/>
              </w:rPr>
            </w:pPr>
          </w:p>
        </w:tc>
      </w:tr>
      <w:tr w:rsidRPr="002168F4" w:rsidR="002A727C" w:rsidTr="00A11E73" w14:paraId="70587A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CB6668" w14:paraId="7AD1E446" w14:textId="14D63CBD">
            <w:pPr>
              <w:rPr>
                <w:rFonts w:ascii="Times New Roman" w:hAnsi="Times New Roman"/>
                <w:b/>
                <w:sz w:val="24"/>
              </w:rPr>
            </w:pPr>
            <w:r>
              <w:rPr>
                <w:rFonts w:ascii="Times New Roman" w:hAnsi="Times New Roman"/>
                <w:b/>
                <w:sz w:val="24"/>
              </w:rPr>
              <w:t>36 757</w:t>
            </w:r>
            <w:r w:rsidR="00F13442">
              <w:rPr>
                <w:rFonts w:ascii="Times New Roman" w:hAnsi="Times New Roman"/>
                <w:b/>
                <w:sz w:val="24"/>
              </w:rPr>
              <w:t xml:space="preserve"> </w:t>
            </w:r>
          </w:p>
        </w:tc>
        <w:tc>
          <w:tcPr>
            <w:tcW w:w="6590" w:type="dxa"/>
            <w:tcBorders>
              <w:top w:val="nil"/>
              <w:left w:val="nil"/>
              <w:bottom w:val="nil"/>
              <w:right w:val="nil"/>
            </w:tcBorders>
          </w:tcPr>
          <w:p w:rsidRPr="00CB6668" w:rsidR="002A727C" w:rsidP="000D5BC4" w:rsidRDefault="00CB6668" w14:paraId="612F5839" w14:textId="78CBF67D">
            <w:pPr>
              <w:rPr>
                <w:rFonts w:ascii="Times New Roman" w:hAnsi="Times New Roman"/>
                <w:b/>
                <w:bCs/>
                <w:sz w:val="24"/>
              </w:rPr>
            </w:pPr>
            <w:r w:rsidRPr="00CB6668">
              <w:rPr>
                <w:rFonts w:ascii="Times New Roman" w:hAnsi="Times New Roman"/>
                <w:b/>
                <w:bCs/>
                <w:sz w:val="24"/>
              </w:rPr>
              <w:t>Wijziging van de begrotingsstaat van het Ministerie van het Mobiliteitsfonds voor het jaar 2025 (Incidentele suppletoire begroting inzake ViA15)</w:t>
            </w:r>
          </w:p>
        </w:tc>
      </w:tr>
      <w:tr w:rsidRPr="002168F4" w:rsidR="00CB3578" w:rsidTr="00A11E73" w14:paraId="01AA3A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D55855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4E85FA6" w14:textId="77777777">
            <w:pPr>
              <w:pStyle w:val="Amendement"/>
              <w:rPr>
                <w:rFonts w:ascii="Times New Roman" w:hAnsi="Times New Roman" w:cs="Times New Roman"/>
              </w:rPr>
            </w:pPr>
          </w:p>
        </w:tc>
      </w:tr>
      <w:tr w:rsidRPr="002168F4" w:rsidR="00CB3578" w:rsidTr="00A11E73" w14:paraId="05BCC9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A8E2AE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B1091F9" w14:textId="77777777">
            <w:pPr>
              <w:pStyle w:val="Amendement"/>
              <w:rPr>
                <w:rFonts w:ascii="Times New Roman" w:hAnsi="Times New Roman" w:cs="Times New Roman"/>
              </w:rPr>
            </w:pPr>
          </w:p>
        </w:tc>
      </w:tr>
      <w:tr w:rsidRPr="002168F4" w:rsidR="00CB3578" w:rsidTr="00A11E73" w14:paraId="19428A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685A856" w14:textId="69528499">
            <w:pPr>
              <w:pStyle w:val="Amendement"/>
              <w:rPr>
                <w:rFonts w:ascii="Times New Roman" w:hAnsi="Times New Roman" w:cs="Times New Roman"/>
              </w:rPr>
            </w:pPr>
            <w:r w:rsidRPr="002168F4">
              <w:rPr>
                <w:rFonts w:ascii="Times New Roman" w:hAnsi="Times New Roman" w:cs="Times New Roman"/>
              </w:rPr>
              <w:t xml:space="preserve">Nr. </w:t>
            </w:r>
            <w:r w:rsidR="00CB6668">
              <w:rPr>
                <w:rFonts w:ascii="Times New Roman" w:hAnsi="Times New Roman" w:cs="Times New Roman"/>
              </w:rPr>
              <w:t>1</w:t>
            </w:r>
          </w:p>
        </w:tc>
        <w:tc>
          <w:tcPr>
            <w:tcW w:w="6590" w:type="dxa"/>
            <w:tcBorders>
              <w:top w:val="nil"/>
              <w:left w:val="nil"/>
              <w:bottom w:val="nil"/>
              <w:right w:val="nil"/>
            </w:tcBorders>
          </w:tcPr>
          <w:p w:rsidRPr="002168F4" w:rsidR="00CB3578" w:rsidRDefault="00CB3578" w14:paraId="4097C3E2"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279A31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28C32D1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2A679C4" w14:textId="77777777">
            <w:pPr>
              <w:pStyle w:val="Amendement"/>
              <w:rPr>
                <w:rFonts w:ascii="Times New Roman" w:hAnsi="Times New Roman" w:cs="Times New Roman"/>
              </w:rPr>
            </w:pPr>
          </w:p>
        </w:tc>
      </w:tr>
    </w:tbl>
    <w:p w:rsidRPr="00CB6668" w:rsidR="00CB6668" w:rsidP="00CB6668" w:rsidRDefault="00CB6668" w14:paraId="19813A13" w14:textId="0E18F3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B6668">
        <w:rPr>
          <w:rFonts w:ascii="Times New Roman" w:hAnsi="Times New Roman"/>
          <w:sz w:val="24"/>
          <w:szCs w:val="20"/>
        </w:rPr>
        <w:t>Wij Willem-Alexander, bij de gratie Gods, Koning der Nederlanden, Prins van Oranje-Nassau, enz. enz. enz.</w:t>
      </w:r>
    </w:p>
    <w:p w:rsidR="00CB6668" w:rsidP="00CB6668" w:rsidRDefault="00CB6668" w14:paraId="58195FE0" w14:textId="77777777">
      <w:pPr>
        <w:tabs>
          <w:tab w:val="left" w:pos="284"/>
          <w:tab w:val="left" w:pos="567"/>
          <w:tab w:val="left" w:pos="851"/>
        </w:tabs>
        <w:ind w:right="-2"/>
        <w:rPr>
          <w:rFonts w:ascii="Times New Roman" w:hAnsi="Times New Roman"/>
          <w:sz w:val="24"/>
          <w:szCs w:val="20"/>
        </w:rPr>
      </w:pPr>
    </w:p>
    <w:p w:rsidRPr="00CB6668" w:rsidR="00CB6668" w:rsidP="00CB6668" w:rsidRDefault="00CB6668" w14:paraId="0D9DB815" w14:textId="607FFC0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B6668">
        <w:rPr>
          <w:rFonts w:ascii="Times New Roman" w:hAnsi="Times New Roman"/>
          <w:sz w:val="24"/>
          <w:szCs w:val="20"/>
        </w:rPr>
        <w:t>Allen, die deze zullen zien of horen lezen, saluut! doen te weten:</w:t>
      </w:r>
    </w:p>
    <w:p w:rsidRPr="00CB6668" w:rsidR="00CB6668" w:rsidP="00CB6668" w:rsidRDefault="00CB6668" w14:paraId="76ABB48C" w14:textId="28F36D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B6668">
        <w:rPr>
          <w:rFonts w:ascii="Times New Roman" w:hAnsi="Times New Roman"/>
          <w:sz w:val="24"/>
          <w:szCs w:val="20"/>
        </w:rPr>
        <w:t>Alzo Wij in overweging genomen hebben, dat de noodzaak is gebleken van een wijziging van de begrotingsstaat van het Mobiliteitsfonds (A) voor het jaar 2025;</w:t>
      </w:r>
    </w:p>
    <w:p w:rsidRPr="00CB6668" w:rsidR="00CB6668" w:rsidP="00CB6668" w:rsidRDefault="00CB6668" w14:paraId="343A6488" w14:textId="1DCA4CF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B6668">
        <w:rPr>
          <w:rFonts w:ascii="Times New Roman" w:hAnsi="Times New Roman"/>
          <w:sz w:val="24"/>
          <w:szCs w:val="20"/>
        </w:rPr>
        <w:t>Zo is het, dat Wij met gemeen overleg der Staten-Generaal, hebben goedgevonden en verstaan, gelijk Wij goedvinden en verstaan bij deze:</w:t>
      </w:r>
    </w:p>
    <w:p w:rsidR="00CB6668" w:rsidP="00CB6668" w:rsidRDefault="00CB6668" w14:paraId="2F98B67F" w14:textId="77777777">
      <w:pPr>
        <w:tabs>
          <w:tab w:val="left" w:pos="284"/>
          <w:tab w:val="left" w:pos="567"/>
          <w:tab w:val="left" w:pos="851"/>
        </w:tabs>
        <w:ind w:right="-2"/>
        <w:rPr>
          <w:rFonts w:ascii="Times New Roman" w:hAnsi="Times New Roman"/>
          <w:b/>
          <w:sz w:val="24"/>
          <w:szCs w:val="20"/>
        </w:rPr>
      </w:pPr>
    </w:p>
    <w:p w:rsidRPr="00CB6668" w:rsidR="00CB6668" w:rsidP="00CB6668" w:rsidRDefault="00CB6668" w14:paraId="3F2F910B" w14:textId="74F67FFB">
      <w:pPr>
        <w:tabs>
          <w:tab w:val="left" w:pos="284"/>
          <w:tab w:val="left" w:pos="567"/>
          <w:tab w:val="left" w:pos="851"/>
        </w:tabs>
        <w:ind w:right="-2"/>
        <w:rPr>
          <w:rFonts w:ascii="Times New Roman" w:hAnsi="Times New Roman"/>
          <w:b/>
          <w:sz w:val="24"/>
          <w:szCs w:val="20"/>
        </w:rPr>
      </w:pPr>
      <w:r w:rsidRPr="00CB6668">
        <w:rPr>
          <w:rFonts w:ascii="Times New Roman" w:hAnsi="Times New Roman"/>
          <w:b/>
          <w:sz w:val="24"/>
          <w:szCs w:val="20"/>
        </w:rPr>
        <w:t>Artikel 1</w:t>
      </w:r>
    </w:p>
    <w:p w:rsidR="00CB6668" w:rsidP="00CB6668" w:rsidRDefault="00CB6668" w14:paraId="175DF7E9" w14:textId="77777777">
      <w:pPr>
        <w:tabs>
          <w:tab w:val="left" w:pos="284"/>
          <w:tab w:val="left" w:pos="567"/>
          <w:tab w:val="left" w:pos="851"/>
        </w:tabs>
        <w:ind w:right="-2"/>
        <w:rPr>
          <w:rFonts w:ascii="Times New Roman" w:hAnsi="Times New Roman"/>
          <w:sz w:val="24"/>
          <w:szCs w:val="20"/>
        </w:rPr>
      </w:pPr>
    </w:p>
    <w:p w:rsidRPr="00CB6668" w:rsidR="00CB6668" w:rsidP="00CB6668" w:rsidRDefault="00CB6668" w14:paraId="1EDC3275" w14:textId="0AFC64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B6668">
        <w:rPr>
          <w:rFonts w:ascii="Times New Roman" w:hAnsi="Times New Roman"/>
          <w:sz w:val="24"/>
          <w:szCs w:val="20"/>
        </w:rPr>
        <w:t>De begrotingsstaat van het Mobiliteitsfonds (A) voor het jaar 2025 wordt gewijzigd, zoals blijkt uit de desbetreffende bij deze wet behorende staat.</w:t>
      </w:r>
    </w:p>
    <w:p w:rsidR="00CB6668" w:rsidP="00CB6668" w:rsidRDefault="00CB6668" w14:paraId="333F1C60" w14:textId="77777777">
      <w:pPr>
        <w:tabs>
          <w:tab w:val="left" w:pos="284"/>
          <w:tab w:val="left" w:pos="567"/>
          <w:tab w:val="left" w:pos="851"/>
        </w:tabs>
        <w:ind w:right="-2"/>
        <w:rPr>
          <w:rFonts w:ascii="Times New Roman" w:hAnsi="Times New Roman"/>
          <w:b/>
          <w:sz w:val="24"/>
          <w:szCs w:val="20"/>
        </w:rPr>
      </w:pPr>
    </w:p>
    <w:p w:rsidRPr="00CB6668" w:rsidR="00CB6668" w:rsidP="00CB6668" w:rsidRDefault="00CB6668" w14:paraId="008875B8" w14:textId="0FAE7805">
      <w:pPr>
        <w:tabs>
          <w:tab w:val="left" w:pos="284"/>
          <w:tab w:val="left" w:pos="567"/>
          <w:tab w:val="left" w:pos="851"/>
        </w:tabs>
        <w:ind w:right="-2"/>
        <w:rPr>
          <w:rFonts w:ascii="Times New Roman" w:hAnsi="Times New Roman"/>
          <w:b/>
          <w:sz w:val="24"/>
          <w:szCs w:val="20"/>
        </w:rPr>
      </w:pPr>
      <w:r w:rsidRPr="00CB6668">
        <w:rPr>
          <w:rFonts w:ascii="Times New Roman" w:hAnsi="Times New Roman"/>
          <w:b/>
          <w:sz w:val="24"/>
          <w:szCs w:val="20"/>
        </w:rPr>
        <w:t>Artikel 2</w:t>
      </w:r>
    </w:p>
    <w:p w:rsidR="00CB6668" w:rsidP="00CB6668" w:rsidRDefault="00CB6668" w14:paraId="385618D5" w14:textId="77777777">
      <w:pPr>
        <w:tabs>
          <w:tab w:val="left" w:pos="284"/>
          <w:tab w:val="left" w:pos="567"/>
          <w:tab w:val="left" w:pos="851"/>
        </w:tabs>
        <w:ind w:right="-2"/>
        <w:rPr>
          <w:rFonts w:ascii="Times New Roman" w:hAnsi="Times New Roman"/>
          <w:sz w:val="24"/>
          <w:szCs w:val="20"/>
        </w:rPr>
      </w:pPr>
    </w:p>
    <w:p w:rsidRPr="00CB6668" w:rsidR="00CB6668" w:rsidP="00CB6668" w:rsidRDefault="00CB6668" w14:paraId="0E18C4B3" w14:textId="5A037A4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B6668">
        <w:rPr>
          <w:rFonts w:ascii="Times New Roman" w:hAnsi="Times New Roman"/>
          <w:sz w:val="24"/>
          <w:szCs w:val="20"/>
        </w:rPr>
        <w:t>De vaststelling van de begrotingsstaat/staten geschiedt in duizenden euro’s.</w:t>
      </w:r>
    </w:p>
    <w:p w:rsidR="00CB6668" w:rsidP="00CB6668" w:rsidRDefault="00CB6668" w14:paraId="4E12141B" w14:textId="77777777">
      <w:pPr>
        <w:tabs>
          <w:tab w:val="left" w:pos="284"/>
          <w:tab w:val="left" w:pos="567"/>
          <w:tab w:val="left" w:pos="851"/>
        </w:tabs>
        <w:ind w:right="-2"/>
        <w:rPr>
          <w:rFonts w:ascii="Times New Roman" w:hAnsi="Times New Roman"/>
          <w:b/>
          <w:sz w:val="24"/>
          <w:szCs w:val="20"/>
        </w:rPr>
      </w:pPr>
    </w:p>
    <w:p w:rsidRPr="00CB6668" w:rsidR="00CB6668" w:rsidP="00CB6668" w:rsidRDefault="00CB6668" w14:paraId="673ECAFD" w14:textId="5277840F">
      <w:pPr>
        <w:tabs>
          <w:tab w:val="left" w:pos="284"/>
          <w:tab w:val="left" w:pos="567"/>
          <w:tab w:val="left" w:pos="851"/>
        </w:tabs>
        <w:ind w:right="-2"/>
        <w:rPr>
          <w:rFonts w:ascii="Times New Roman" w:hAnsi="Times New Roman"/>
          <w:b/>
          <w:sz w:val="24"/>
          <w:szCs w:val="20"/>
        </w:rPr>
      </w:pPr>
      <w:r w:rsidRPr="00CB6668">
        <w:rPr>
          <w:rFonts w:ascii="Times New Roman" w:hAnsi="Times New Roman"/>
          <w:b/>
          <w:sz w:val="24"/>
          <w:szCs w:val="20"/>
        </w:rPr>
        <w:t>Artikel 3</w:t>
      </w:r>
    </w:p>
    <w:p w:rsidR="00CB6668" w:rsidP="00CB6668" w:rsidRDefault="00CB6668" w14:paraId="050E4208" w14:textId="77777777">
      <w:pPr>
        <w:tabs>
          <w:tab w:val="left" w:pos="284"/>
          <w:tab w:val="left" w:pos="567"/>
          <w:tab w:val="left" w:pos="851"/>
        </w:tabs>
        <w:ind w:right="-2"/>
        <w:rPr>
          <w:rFonts w:ascii="Times New Roman" w:hAnsi="Times New Roman"/>
          <w:sz w:val="24"/>
          <w:szCs w:val="20"/>
        </w:rPr>
      </w:pPr>
    </w:p>
    <w:p w:rsidRPr="00CB6668" w:rsidR="00CB6668" w:rsidP="00CB6668" w:rsidRDefault="00CB6668" w14:paraId="6EFE2795" w14:textId="0F07D0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B6668">
        <w:rPr>
          <w:rFonts w:ascii="Times New Roman" w:hAnsi="Times New Roman"/>
          <w:sz w:val="24"/>
          <w:szCs w:val="20"/>
        </w:rPr>
        <w:t>Deze wet treedt in werking met ingang van 1 juli van het onderhavige begrotingsjaar. Indien het Staatsblad waarin deze wet wordt geplaatst, wordt uitgegeven op of na deze datum van1 juli, treedt zij in werking met ingang van de dag na de datum van uitgifte van dat Staatsblad en werkt zij terug tot en met 1 juli.</w:t>
      </w:r>
    </w:p>
    <w:p w:rsidR="00CB6668" w:rsidP="00CB6668" w:rsidRDefault="00CB6668" w14:paraId="747A62FF" w14:textId="77777777">
      <w:pPr>
        <w:tabs>
          <w:tab w:val="left" w:pos="284"/>
          <w:tab w:val="left" w:pos="567"/>
          <w:tab w:val="left" w:pos="851"/>
        </w:tabs>
        <w:ind w:right="-2"/>
        <w:rPr>
          <w:rFonts w:ascii="Times New Roman" w:hAnsi="Times New Roman"/>
          <w:sz w:val="24"/>
          <w:szCs w:val="20"/>
        </w:rPr>
      </w:pPr>
    </w:p>
    <w:p w:rsidR="00CB6668" w:rsidP="00CB6668" w:rsidRDefault="00CB6668" w14:paraId="0117927C" w14:textId="77777777">
      <w:pPr>
        <w:tabs>
          <w:tab w:val="left" w:pos="284"/>
          <w:tab w:val="left" w:pos="567"/>
          <w:tab w:val="left" w:pos="851"/>
        </w:tabs>
        <w:ind w:right="-2"/>
        <w:rPr>
          <w:rFonts w:ascii="Times New Roman" w:hAnsi="Times New Roman"/>
          <w:sz w:val="24"/>
          <w:szCs w:val="20"/>
        </w:rPr>
      </w:pPr>
    </w:p>
    <w:p w:rsidRPr="00CB6668" w:rsidR="00CB6668" w:rsidP="00CB6668" w:rsidRDefault="00CB6668" w14:paraId="27417538" w14:textId="005B3F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B6668">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CB6668" w:rsidR="00CB6668" w:rsidP="00CB6668" w:rsidRDefault="00CB6668" w14:paraId="153AA303" w14:textId="77777777">
      <w:pPr>
        <w:tabs>
          <w:tab w:val="left" w:pos="284"/>
          <w:tab w:val="left" w:pos="567"/>
          <w:tab w:val="left" w:pos="851"/>
        </w:tabs>
        <w:ind w:right="-2"/>
        <w:rPr>
          <w:rFonts w:ascii="Times New Roman" w:hAnsi="Times New Roman"/>
          <w:sz w:val="24"/>
          <w:szCs w:val="20"/>
        </w:rPr>
      </w:pPr>
    </w:p>
    <w:p w:rsidRPr="00CB6668" w:rsidR="00CB6668" w:rsidP="00CB6668" w:rsidRDefault="00CB6668" w14:paraId="058C7060" w14:textId="77777777">
      <w:pPr>
        <w:tabs>
          <w:tab w:val="left" w:pos="284"/>
          <w:tab w:val="left" w:pos="567"/>
          <w:tab w:val="left" w:pos="851"/>
        </w:tabs>
        <w:ind w:right="-2"/>
        <w:rPr>
          <w:rFonts w:ascii="Times New Roman" w:hAnsi="Times New Roman"/>
          <w:sz w:val="24"/>
          <w:szCs w:val="20"/>
        </w:rPr>
      </w:pPr>
      <w:r w:rsidRPr="00CB6668">
        <w:rPr>
          <w:rFonts w:ascii="Times New Roman" w:hAnsi="Times New Roman"/>
          <w:sz w:val="24"/>
          <w:szCs w:val="20"/>
        </w:rPr>
        <w:t>Gegeven</w:t>
      </w:r>
    </w:p>
    <w:p w:rsidR="00CB6668" w:rsidP="00CB6668" w:rsidRDefault="00CB6668" w14:paraId="77BFD4E2" w14:textId="77777777">
      <w:pPr>
        <w:tabs>
          <w:tab w:val="left" w:pos="284"/>
          <w:tab w:val="left" w:pos="567"/>
          <w:tab w:val="left" w:pos="851"/>
        </w:tabs>
        <w:ind w:right="-2"/>
        <w:rPr>
          <w:rFonts w:ascii="Times New Roman" w:hAnsi="Times New Roman"/>
          <w:sz w:val="24"/>
          <w:szCs w:val="20"/>
        </w:rPr>
      </w:pPr>
    </w:p>
    <w:p w:rsidR="00CB6668" w:rsidP="00CB6668" w:rsidRDefault="00CB6668" w14:paraId="3DD8AB3F" w14:textId="77777777">
      <w:pPr>
        <w:tabs>
          <w:tab w:val="left" w:pos="284"/>
          <w:tab w:val="left" w:pos="567"/>
          <w:tab w:val="left" w:pos="851"/>
        </w:tabs>
        <w:ind w:right="-2"/>
        <w:rPr>
          <w:rFonts w:ascii="Times New Roman" w:hAnsi="Times New Roman"/>
          <w:sz w:val="24"/>
          <w:szCs w:val="20"/>
        </w:rPr>
      </w:pPr>
    </w:p>
    <w:p w:rsidR="00CB6668" w:rsidP="00CB6668" w:rsidRDefault="00CB6668" w14:paraId="5C1670AE" w14:textId="77777777">
      <w:pPr>
        <w:tabs>
          <w:tab w:val="left" w:pos="284"/>
          <w:tab w:val="left" w:pos="567"/>
          <w:tab w:val="left" w:pos="851"/>
        </w:tabs>
        <w:ind w:right="-2"/>
        <w:rPr>
          <w:rFonts w:ascii="Times New Roman" w:hAnsi="Times New Roman"/>
          <w:sz w:val="24"/>
          <w:szCs w:val="20"/>
        </w:rPr>
      </w:pPr>
    </w:p>
    <w:p w:rsidR="00CB6668" w:rsidP="00CB6668" w:rsidRDefault="00CB6668" w14:paraId="2FCE14F4" w14:textId="77777777">
      <w:pPr>
        <w:tabs>
          <w:tab w:val="left" w:pos="284"/>
          <w:tab w:val="left" w:pos="567"/>
          <w:tab w:val="left" w:pos="851"/>
        </w:tabs>
        <w:ind w:right="-2"/>
        <w:rPr>
          <w:rFonts w:ascii="Times New Roman" w:hAnsi="Times New Roman"/>
          <w:sz w:val="24"/>
          <w:szCs w:val="20"/>
        </w:rPr>
      </w:pPr>
    </w:p>
    <w:p w:rsidR="00CB6668" w:rsidP="00CB6668" w:rsidRDefault="00CB6668" w14:paraId="6991AB2D" w14:textId="77777777">
      <w:pPr>
        <w:tabs>
          <w:tab w:val="left" w:pos="284"/>
          <w:tab w:val="left" w:pos="567"/>
          <w:tab w:val="left" w:pos="851"/>
        </w:tabs>
        <w:ind w:right="-2"/>
        <w:rPr>
          <w:rFonts w:ascii="Times New Roman" w:hAnsi="Times New Roman"/>
          <w:sz w:val="24"/>
          <w:szCs w:val="20"/>
        </w:rPr>
      </w:pPr>
    </w:p>
    <w:p w:rsidR="00CB6668" w:rsidP="00CB6668" w:rsidRDefault="00CB6668" w14:paraId="5F014B5B" w14:textId="77777777">
      <w:pPr>
        <w:tabs>
          <w:tab w:val="left" w:pos="284"/>
          <w:tab w:val="left" w:pos="567"/>
          <w:tab w:val="left" w:pos="851"/>
        </w:tabs>
        <w:ind w:right="-2"/>
        <w:rPr>
          <w:rFonts w:ascii="Times New Roman" w:hAnsi="Times New Roman"/>
          <w:sz w:val="24"/>
          <w:szCs w:val="20"/>
        </w:rPr>
      </w:pPr>
    </w:p>
    <w:p w:rsidR="00CB6668" w:rsidP="00CB6668" w:rsidRDefault="00CB6668" w14:paraId="65F7BCF0" w14:textId="77777777">
      <w:pPr>
        <w:tabs>
          <w:tab w:val="left" w:pos="284"/>
          <w:tab w:val="left" w:pos="567"/>
          <w:tab w:val="left" w:pos="851"/>
        </w:tabs>
        <w:ind w:right="-2"/>
        <w:rPr>
          <w:rFonts w:ascii="Times New Roman" w:hAnsi="Times New Roman"/>
          <w:sz w:val="24"/>
          <w:szCs w:val="20"/>
        </w:rPr>
      </w:pPr>
    </w:p>
    <w:p w:rsidR="00CB6668" w:rsidP="00CB6668" w:rsidRDefault="00CB6668" w14:paraId="75F8B1E0" w14:textId="77777777">
      <w:pPr>
        <w:tabs>
          <w:tab w:val="left" w:pos="284"/>
          <w:tab w:val="left" w:pos="567"/>
          <w:tab w:val="left" w:pos="851"/>
        </w:tabs>
        <w:ind w:right="-2"/>
        <w:rPr>
          <w:rFonts w:ascii="Times New Roman" w:hAnsi="Times New Roman"/>
          <w:sz w:val="24"/>
          <w:szCs w:val="20"/>
        </w:rPr>
      </w:pPr>
    </w:p>
    <w:p w:rsidRPr="00CB6668" w:rsidR="00CB6668" w:rsidP="00CB6668" w:rsidRDefault="00CB6668" w14:paraId="2A4AD624" w14:textId="77777777">
      <w:pPr>
        <w:tabs>
          <w:tab w:val="left" w:pos="284"/>
          <w:tab w:val="left" w:pos="567"/>
          <w:tab w:val="left" w:pos="851"/>
        </w:tabs>
        <w:ind w:right="-2"/>
        <w:rPr>
          <w:rFonts w:ascii="Times New Roman" w:hAnsi="Times New Roman"/>
          <w:sz w:val="24"/>
          <w:szCs w:val="20"/>
        </w:rPr>
      </w:pPr>
    </w:p>
    <w:p w:rsidR="00CB6668" w:rsidP="00CB6668" w:rsidRDefault="00CB6668" w14:paraId="1556E348" w14:textId="1405EC10">
      <w:pPr>
        <w:tabs>
          <w:tab w:val="left" w:pos="284"/>
          <w:tab w:val="left" w:pos="567"/>
          <w:tab w:val="left" w:pos="851"/>
        </w:tabs>
        <w:ind w:right="-2"/>
        <w:rPr>
          <w:rFonts w:ascii="Times New Roman" w:hAnsi="Times New Roman"/>
          <w:sz w:val="24"/>
          <w:szCs w:val="20"/>
        </w:rPr>
      </w:pPr>
      <w:r w:rsidRPr="00CB6668">
        <w:rPr>
          <w:rFonts w:ascii="Times New Roman" w:hAnsi="Times New Roman"/>
          <w:sz w:val="24"/>
          <w:szCs w:val="20"/>
        </w:rPr>
        <w:lastRenderedPageBreak/>
        <w:t>De Minister van Infrastructuur en Waterstaat</w:t>
      </w:r>
      <w:r>
        <w:rPr>
          <w:rFonts w:ascii="Times New Roman" w:hAnsi="Times New Roman"/>
          <w:sz w:val="24"/>
          <w:szCs w:val="20"/>
        </w:rPr>
        <w:t>,</w:t>
      </w:r>
    </w:p>
    <w:p w:rsidR="00CB6668" w:rsidP="00CB6668" w:rsidRDefault="00CB6668" w14:paraId="599E5E95" w14:textId="77777777">
      <w:pPr>
        <w:tabs>
          <w:tab w:val="left" w:pos="284"/>
          <w:tab w:val="left" w:pos="567"/>
          <w:tab w:val="left" w:pos="851"/>
        </w:tabs>
        <w:ind w:right="-2"/>
        <w:rPr>
          <w:rFonts w:ascii="Times New Roman" w:hAnsi="Times New Roman"/>
          <w:sz w:val="24"/>
          <w:szCs w:val="20"/>
        </w:rPr>
      </w:pPr>
    </w:p>
    <w:p w:rsidR="00CB6668" w:rsidP="00CB6668" w:rsidRDefault="00CB6668" w14:paraId="77B01C38" w14:textId="77777777">
      <w:pPr>
        <w:tabs>
          <w:tab w:val="left" w:pos="284"/>
          <w:tab w:val="left" w:pos="567"/>
          <w:tab w:val="left" w:pos="851"/>
        </w:tabs>
        <w:ind w:right="-2"/>
        <w:rPr>
          <w:rFonts w:ascii="Times New Roman" w:hAnsi="Times New Roman"/>
          <w:sz w:val="24"/>
          <w:szCs w:val="20"/>
        </w:rPr>
      </w:pPr>
    </w:p>
    <w:tbl>
      <w:tblPr>
        <w:tblpPr w:leftFromText="141" w:rightFromText="141" w:vertAnchor="text" w:horzAnchor="margin" w:tblpY="-30"/>
        <w:tblW w:w="5000" w:type="pct"/>
        <w:tblCellMar>
          <w:left w:w="10" w:type="dxa"/>
          <w:right w:w="10" w:type="dxa"/>
        </w:tblCellMar>
        <w:tblLook w:val="04A0" w:firstRow="1" w:lastRow="0" w:firstColumn="1" w:lastColumn="0" w:noHBand="0" w:noVBand="1"/>
      </w:tblPr>
      <w:tblGrid>
        <w:gridCol w:w="506"/>
        <w:gridCol w:w="1648"/>
        <w:gridCol w:w="1357"/>
        <w:gridCol w:w="961"/>
        <w:gridCol w:w="1195"/>
        <w:gridCol w:w="1357"/>
        <w:gridCol w:w="851"/>
        <w:gridCol w:w="1195"/>
      </w:tblGrid>
      <w:tr w:rsidR="00CB6668" w:rsidTr="00CB6668" w14:paraId="30A0B7DA" w14:textId="77777777">
        <w:trPr>
          <w:tblHeader/>
        </w:trPr>
        <w:tc>
          <w:tcPr>
            <w:tcW w:w="5000" w:type="pct"/>
            <w:gridSpan w:val="8"/>
            <w:shd w:val="clear" w:color="auto" w:fill="auto"/>
            <w:tcMar>
              <w:top w:w="22" w:type="dxa"/>
              <w:left w:w="113" w:type="dxa"/>
              <w:bottom w:w="22" w:type="dxa"/>
              <w:right w:w="10" w:type="dxa"/>
            </w:tcMar>
          </w:tcPr>
          <w:p w:rsidR="00CB6668" w:rsidP="00CB6668" w:rsidRDefault="00CB6668" w14:paraId="7EF24DD4" w14:textId="77777777">
            <w:pPr>
              <w:pStyle w:val="kio2-table-title"/>
            </w:pPr>
            <w:r>
              <w:t>Tabel 1 Wijziging begrotingsstaat van het Mobiliteitsfonds voor het jaar 2025 (incidentele suppletoire begroting inzake ViA15) (bedragen x € 1.000)</w:t>
            </w:r>
          </w:p>
        </w:tc>
      </w:tr>
      <w:tr w:rsidRPr="00CB6668" w:rsidR="00CB6668" w:rsidTr="00CB6668" w14:paraId="733AA689" w14:textId="77777777">
        <w:trPr>
          <w:tblHeader/>
        </w:trPr>
        <w:tc>
          <w:tcPr>
            <w:tcW w:w="277" w:type="pct"/>
            <w:tcBorders>
              <w:top w:val="single" w:color="000000" w:sz="2" w:space="0"/>
              <w:bottom w:val="single" w:color="009EE0" w:sz="2" w:space="0"/>
            </w:tcBorders>
            <w:shd w:val="clear" w:color="auto" w:fill="auto"/>
            <w:tcMar>
              <w:top w:w="28" w:type="dxa"/>
              <w:left w:w="10" w:type="dxa"/>
              <w:bottom w:w="28" w:type="dxa"/>
              <w:right w:w="28" w:type="dxa"/>
            </w:tcMar>
          </w:tcPr>
          <w:p w:rsidR="00CB6668" w:rsidP="00CB6668" w:rsidRDefault="00CB6668" w14:paraId="20B9E729" w14:textId="77777777">
            <w:pPr>
              <w:pStyle w:val="p-table"/>
              <w:rPr>
                <w:color w:val="000000"/>
                <w:sz w:val="17"/>
              </w:rPr>
            </w:pPr>
            <w:r>
              <w:rPr>
                <w:color w:val="000000"/>
                <w:sz w:val="17"/>
              </w:rPr>
              <w:t>Art.</w:t>
            </w:r>
          </w:p>
        </w:tc>
        <w:tc>
          <w:tcPr>
            <w:tcW w:w="909" w:type="pct"/>
            <w:tcBorders>
              <w:top w:val="single" w:color="000000" w:sz="2" w:space="0"/>
              <w:bottom w:val="single" w:color="009EE0" w:sz="2" w:space="0"/>
            </w:tcBorders>
            <w:shd w:val="clear" w:color="auto" w:fill="auto"/>
            <w:tcMar>
              <w:top w:w="28" w:type="dxa"/>
              <w:left w:w="28" w:type="dxa"/>
              <w:bottom w:w="28" w:type="dxa"/>
              <w:right w:w="28" w:type="dxa"/>
            </w:tcMar>
          </w:tcPr>
          <w:p w:rsidR="00CB6668" w:rsidP="00CB6668" w:rsidRDefault="00CB6668" w14:paraId="16E5D5E1" w14:textId="77777777">
            <w:pPr>
              <w:pStyle w:val="p-table"/>
              <w:rPr>
                <w:color w:val="000000"/>
                <w:sz w:val="17"/>
              </w:rPr>
            </w:pPr>
            <w:r>
              <w:rPr>
                <w:color w:val="000000"/>
                <w:sz w:val="17"/>
              </w:rPr>
              <w:t>Omschrijving</w:t>
            </w:r>
          </w:p>
        </w:tc>
        <w:tc>
          <w:tcPr>
            <w:tcW w:w="1937"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00CB6668" w:rsidP="00CB6668" w:rsidRDefault="00CB6668" w14:paraId="0A4AE53E" w14:textId="77777777">
            <w:pPr>
              <w:pStyle w:val="p-table"/>
              <w:jc w:val="center"/>
              <w:rPr>
                <w:color w:val="000000"/>
                <w:sz w:val="17"/>
              </w:rPr>
            </w:pPr>
            <w:r>
              <w:rPr>
                <w:color w:val="000000"/>
                <w:sz w:val="17"/>
              </w:rPr>
              <w:t xml:space="preserve">Vastgestelde begroting incl. </w:t>
            </w:r>
            <w:proofErr w:type="spellStart"/>
            <w:r>
              <w:rPr>
                <w:color w:val="000000"/>
                <w:sz w:val="17"/>
              </w:rPr>
              <w:t>NvW</w:t>
            </w:r>
            <w:proofErr w:type="spellEnd"/>
            <w:r>
              <w:rPr>
                <w:color w:val="000000"/>
                <w:sz w:val="17"/>
              </w:rPr>
              <w:t xml:space="preserve"> en amendementen</w:t>
            </w:r>
          </w:p>
        </w:tc>
        <w:tc>
          <w:tcPr>
            <w:tcW w:w="1876"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CB6668" w:rsidR="00CB6668" w:rsidP="00CB6668" w:rsidRDefault="00CB6668" w14:paraId="76494074" w14:textId="77777777">
            <w:pPr>
              <w:pStyle w:val="p-table"/>
              <w:jc w:val="center"/>
              <w:rPr>
                <w:color w:val="000000"/>
                <w:sz w:val="17"/>
                <w:lang w:val="en-US"/>
              </w:rPr>
            </w:pPr>
            <w:proofErr w:type="spellStart"/>
            <w:r w:rsidRPr="00CB6668">
              <w:rPr>
                <w:color w:val="000000"/>
                <w:sz w:val="17"/>
                <w:lang w:val="en-US"/>
              </w:rPr>
              <w:t>Mutaties</w:t>
            </w:r>
            <w:proofErr w:type="spellEnd"/>
            <w:r w:rsidRPr="00CB6668">
              <w:rPr>
                <w:color w:val="000000"/>
                <w:sz w:val="17"/>
                <w:lang w:val="en-US"/>
              </w:rPr>
              <w:t xml:space="preserve"> (+ of -) </w:t>
            </w:r>
            <w:proofErr w:type="spellStart"/>
            <w:r w:rsidRPr="00CB6668">
              <w:rPr>
                <w:color w:val="000000"/>
                <w:sz w:val="17"/>
                <w:lang w:val="en-US"/>
              </w:rPr>
              <w:t>incidentele</w:t>
            </w:r>
            <w:proofErr w:type="spellEnd"/>
            <w:r w:rsidRPr="00CB6668">
              <w:rPr>
                <w:color w:val="000000"/>
                <w:sz w:val="17"/>
                <w:lang w:val="en-US"/>
              </w:rPr>
              <w:t xml:space="preserve"> </w:t>
            </w:r>
            <w:proofErr w:type="spellStart"/>
            <w:r w:rsidRPr="00CB6668">
              <w:rPr>
                <w:color w:val="000000"/>
                <w:sz w:val="17"/>
                <w:lang w:val="en-US"/>
              </w:rPr>
              <w:t>suppletoire</w:t>
            </w:r>
            <w:proofErr w:type="spellEnd"/>
            <w:r w:rsidRPr="00CB6668">
              <w:rPr>
                <w:color w:val="000000"/>
                <w:sz w:val="17"/>
                <w:lang w:val="en-US"/>
              </w:rPr>
              <w:t xml:space="preserve"> </w:t>
            </w:r>
            <w:proofErr w:type="spellStart"/>
            <w:r w:rsidRPr="00CB6668">
              <w:rPr>
                <w:color w:val="000000"/>
                <w:sz w:val="17"/>
                <w:lang w:val="en-US"/>
              </w:rPr>
              <w:t>begroting</w:t>
            </w:r>
            <w:proofErr w:type="spellEnd"/>
          </w:p>
        </w:tc>
      </w:tr>
      <w:tr w:rsidR="00CB6668" w:rsidTr="00CB6668" w14:paraId="580DFE5B" w14:textId="77777777">
        <w:tc>
          <w:tcPr>
            <w:tcW w:w="277" w:type="pct"/>
            <w:tcBorders>
              <w:bottom w:val="single" w:color="009EE0" w:sz="2" w:space="0"/>
            </w:tcBorders>
            <w:shd w:val="clear" w:color="auto" w:fill="auto"/>
            <w:tcMar>
              <w:top w:w="22" w:type="dxa"/>
              <w:left w:w="10" w:type="dxa"/>
              <w:bottom w:w="22" w:type="dxa"/>
              <w:right w:w="28" w:type="dxa"/>
            </w:tcMar>
          </w:tcPr>
          <w:p w:rsidRPr="00CB6668" w:rsidR="00CB6668" w:rsidP="00CB6668" w:rsidRDefault="00CB6668" w14:paraId="2C13D47A" w14:textId="77777777">
            <w:pPr>
              <w:pStyle w:val="p-table"/>
              <w:rPr>
                <w:sz w:val="17"/>
                <w:lang w:val="en-US"/>
              </w:rPr>
            </w:pPr>
          </w:p>
        </w:tc>
        <w:tc>
          <w:tcPr>
            <w:tcW w:w="909" w:type="pct"/>
            <w:tcBorders>
              <w:bottom w:val="single" w:color="009EE0" w:sz="2" w:space="0"/>
            </w:tcBorders>
            <w:shd w:val="clear" w:color="auto" w:fill="auto"/>
            <w:tcMar>
              <w:top w:w="22" w:type="dxa"/>
              <w:left w:w="28" w:type="dxa"/>
              <w:bottom w:w="22" w:type="dxa"/>
              <w:right w:w="28" w:type="dxa"/>
            </w:tcMar>
          </w:tcPr>
          <w:p w:rsidRPr="00CB6668" w:rsidR="00CB6668" w:rsidP="00CB6668" w:rsidRDefault="00CB6668" w14:paraId="0FCB05CB" w14:textId="77777777">
            <w:pPr>
              <w:pStyle w:val="p-table"/>
              <w:rPr>
                <w:sz w:val="17"/>
                <w:lang w:val="en-US"/>
              </w:rPr>
            </w:pPr>
          </w:p>
        </w:tc>
        <w:tc>
          <w:tcPr>
            <w:tcW w:w="748" w:type="pct"/>
            <w:tcBorders>
              <w:bottom w:val="single" w:color="009EE0" w:sz="2" w:space="0"/>
            </w:tcBorders>
            <w:shd w:val="clear" w:color="auto" w:fill="auto"/>
            <w:tcMar>
              <w:top w:w="22" w:type="dxa"/>
              <w:left w:w="28" w:type="dxa"/>
              <w:bottom w:w="22" w:type="dxa"/>
              <w:right w:w="28" w:type="dxa"/>
            </w:tcMar>
          </w:tcPr>
          <w:p w:rsidR="00CB6668" w:rsidP="00CB6668" w:rsidRDefault="00CB6668" w14:paraId="7AA9FC6F" w14:textId="77777777">
            <w:pPr>
              <w:pStyle w:val="p-table"/>
              <w:jc w:val="right"/>
            </w:pPr>
            <w:r>
              <w:rPr>
                <w:b/>
                <w:sz w:val="17"/>
              </w:rPr>
              <w:t>Verplichtingen</w:t>
            </w:r>
          </w:p>
        </w:tc>
        <w:tc>
          <w:tcPr>
            <w:tcW w:w="530" w:type="pct"/>
            <w:tcBorders>
              <w:bottom w:val="single" w:color="009EE0" w:sz="2" w:space="0"/>
            </w:tcBorders>
            <w:shd w:val="clear" w:color="auto" w:fill="auto"/>
            <w:tcMar>
              <w:top w:w="22" w:type="dxa"/>
              <w:left w:w="28" w:type="dxa"/>
              <w:bottom w:w="22" w:type="dxa"/>
              <w:right w:w="28" w:type="dxa"/>
            </w:tcMar>
          </w:tcPr>
          <w:p w:rsidR="00CB6668" w:rsidP="00CB6668" w:rsidRDefault="00CB6668" w14:paraId="6646174C" w14:textId="77777777">
            <w:pPr>
              <w:pStyle w:val="p-table"/>
              <w:jc w:val="right"/>
            </w:pPr>
            <w:r>
              <w:rPr>
                <w:b/>
                <w:sz w:val="17"/>
              </w:rPr>
              <w:t>Uitgaven</w:t>
            </w:r>
          </w:p>
        </w:tc>
        <w:tc>
          <w:tcPr>
            <w:tcW w:w="659" w:type="pct"/>
            <w:tcBorders>
              <w:bottom w:val="single" w:color="009EE0" w:sz="2" w:space="0"/>
            </w:tcBorders>
            <w:shd w:val="clear" w:color="auto" w:fill="auto"/>
            <w:tcMar>
              <w:top w:w="22" w:type="dxa"/>
              <w:left w:w="28" w:type="dxa"/>
              <w:bottom w:w="22" w:type="dxa"/>
              <w:right w:w="28" w:type="dxa"/>
            </w:tcMar>
          </w:tcPr>
          <w:p w:rsidR="00CB6668" w:rsidP="00CB6668" w:rsidRDefault="00CB6668" w14:paraId="29F8AAE2" w14:textId="77777777">
            <w:pPr>
              <w:pStyle w:val="p-table"/>
              <w:jc w:val="right"/>
            </w:pPr>
            <w:r>
              <w:rPr>
                <w:b/>
                <w:sz w:val="17"/>
              </w:rPr>
              <w:t>Ontvangsten</w:t>
            </w:r>
          </w:p>
        </w:tc>
        <w:tc>
          <w:tcPr>
            <w:tcW w:w="748" w:type="pct"/>
            <w:tcBorders>
              <w:bottom w:val="single" w:color="009EE0" w:sz="2" w:space="0"/>
            </w:tcBorders>
            <w:shd w:val="clear" w:color="auto" w:fill="auto"/>
            <w:tcMar>
              <w:top w:w="22" w:type="dxa"/>
              <w:left w:w="28" w:type="dxa"/>
              <w:bottom w:w="22" w:type="dxa"/>
              <w:right w:w="28" w:type="dxa"/>
            </w:tcMar>
          </w:tcPr>
          <w:p w:rsidR="00CB6668" w:rsidP="00CB6668" w:rsidRDefault="00CB6668" w14:paraId="43C065A3" w14:textId="77777777">
            <w:pPr>
              <w:pStyle w:val="p-table"/>
              <w:jc w:val="right"/>
            </w:pPr>
            <w:r>
              <w:rPr>
                <w:b/>
                <w:sz w:val="17"/>
              </w:rPr>
              <w:t>Verplichtingen</w:t>
            </w:r>
          </w:p>
        </w:tc>
        <w:tc>
          <w:tcPr>
            <w:tcW w:w="469" w:type="pct"/>
            <w:tcBorders>
              <w:bottom w:val="single" w:color="009EE0" w:sz="2" w:space="0"/>
            </w:tcBorders>
            <w:shd w:val="clear" w:color="auto" w:fill="auto"/>
            <w:tcMar>
              <w:top w:w="22" w:type="dxa"/>
              <w:left w:w="28" w:type="dxa"/>
              <w:bottom w:w="22" w:type="dxa"/>
              <w:right w:w="28" w:type="dxa"/>
            </w:tcMar>
          </w:tcPr>
          <w:p w:rsidR="00CB6668" w:rsidP="00CB6668" w:rsidRDefault="00CB6668" w14:paraId="4707E745" w14:textId="77777777">
            <w:pPr>
              <w:pStyle w:val="p-table"/>
              <w:jc w:val="right"/>
            </w:pPr>
            <w:r>
              <w:rPr>
                <w:b/>
                <w:sz w:val="17"/>
              </w:rPr>
              <w:t>Uitgaven</w:t>
            </w:r>
          </w:p>
        </w:tc>
        <w:tc>
          <w:tcPr>
            <w:tcW w:w="659" w:type="pct"/>
            <w:tcBorders>
              <w:bottom w:val="single" w:color="009EE0" w:sz="2" w:space="0"/>
            </w:tcBorders>
            <w:shd w:val="clear" w:color="auto" w:fill="auto"/>
            <w:tcMar>
              <w:top w:w="22" w:type="dxa"/>
              <w:left w:w="28" w:type="dxa"/>
              <w:bottom w:w="22" w:type="dxa"/>
              <w:right w:w="28" w:type="dxa"/>
            </w:tcMar>
          </w:tcPr>
          <w:p w:rsidR="00CB6668" w:rsidP="00CB6668" w:rsidRDefault="00CB6668" w14:paraId="15401FBB" w14:textId="77777777">
            <w:pPr>
              <w:pStyle w:val="p-table"/>
              <w:jc w:val="right"/>
            </w:pPr>
            <w:r>
              <w:rPr>
                <w:b/>
                <w:sz w:val="17"/>
              </w:rPr>
              <w:t>Ontvangsten</w:t>
            </w:r>
          </w:p>
        </w:tc>
      </w:tr>
      <w:tr w:rsidR="00CB6668" w:rsidTr="00CB6668" w14:paraId="276C700D" w14:textId="77777777">
        <w:tc>
          <w:tcPr>
            <w:tcW w:w="277" w:type="pct"/>
            <w:shd w:val="clear" w:color="auto" w:fill="auto"/>
            <w:tcMar>
              <w:top w:w="22" w:type="dxa"/>
              <w:left w:w="10" w:type="dxa"/>
              <w:bottom w:w="22" w:type="dxa"/>
              <w:right w:w="28" w:type="dxa"/>
            </w:tcMar>
          </w:tcPr>
          <w:p w:rsidR="00CB6668" w:rsidP="00CB6668" w:rsidRDefault="00CB6668" w14:paraId="2BE3D675" w14:textId="77777777">
            <w:pPr>
              <w:pStyle w:val="p-table"/>
              <w:rPr>
                <w:sz w:val="17"/>
              </w:rPr>
            </w:pPr>
            <w:r>
              <w:rPr>
                <w:sz w:val="17"/>
              </w:rPr>
              <w:t>11</w:t>
            </w:r>
          </w:p>
        </w:tc>
        <w:tc>
          <w:tcPr>
            <w:tcW w:w="909" w:type="pct"/>
            <w:shd w:val="clear" w:color="auto" w:fill="auto"/>
            <w:tcMar>
              <w:top w:w="22" w:type="dxa"/>
              <w:left w:w="28" w:type="dxa"/>
              <w:bottom w:w="22" w:type="dxa"/>
              <w:right w:w="28" w:type="dxa"/>
            </w:tcMar>
          </w:tcPr>
          <w:p w:rsidR="00CB6668" w:rsidP="00CB6668" w:rsidRDefault="00CB6668" w14:paraId="5EA70179" w14:textId="77777777">
            <w:pPr>
              <w:pStyle w:val="p-table"/>
              <w:rPr>
                <w:sz w:val="17"/>
              </w:rPr>
            </w:pPr>
            <w:r>
              <w:rPr>
                <w:sz w:val="17"/>
              </w:rPr>
              <w:t>Verkenningen, reserveringen en investeringsruimte</w:t>
            </w:r>
          </w:p>
        </w:tc>
        <w:tc>
          <w:tcPr>
            <w:tcW w:w="748" w:type="pct"/>
            <w:shd w:val="clear" w:color="auto" w:fill="auto"/>
            <w:tcMar>
              <w:top w:w="22" w:type="dxa"/>
              <w:left w:w="28" w:type="dxa"/>
              <w:bottom w:w="22" w:type="dxa"/>
              <w:right w:w="28" w:type="dxa"/>
            </w:tcMar>
            <w:vAlign w:val="bottom"/>
          </w:tcPr>
          <w:p w:rsidR="00CB6668" w:rsidP="00CB6668" w:rsidRDefault="00CB6668" w14:paraId="47F056EC" w14:textId="77777777">
            <w:pPr>
              <w:pStyle w:val="p-table"/>
              <w:jc w:val="right"/>
              <w:rPr>
                <w:sz w:val="17"/>
              </w:rPr>
            </w:pPr>
            <w:r>
              <w:rPr>
                <w:sz w:val="17"/>
              </w:rPr>
              <w:t>310.326</w:t>
            </w:r>
          </w:p>
        </w:tc>
        <w:tc>
          <w:tcPr>
            <w:tcW w:w="530" w:type="pct"/>
            <w:shd w:val="clear" w:color="auto" w:fill="auto"/>
            <w:tcMar>
              <w:top w:w="22" w:type="dxa"/>
              <w:left w:w="28" w:type="dxa"/>
              <w:bottom w:w="22" w:type="dxa"/>
              <w:right w:w="28" w:type="dxa"/>
            </w:tcMar>
            <w:vAlign w:val="bottom"/>
          </w:tcPr>
          <w:p w:rsidR="00CB6668" w:rsidP="00CB6668" w:rsidRDefault="00CB6668" w14:paraId="6A437F03" w14:textId="77777777">
            <w:pPr>
              <w:pStyle w:val="p-table"/>
              <w:jc w:val="right"/>
              <w:rPr>
                <w:sz w:val="17"/>
              </w:rPr>
            </w:pPr>
            <w:r>
              <w:rPr>
                <w:sz w:val="17"/>
              </w:rPr>
              <w:t>228.668</w:t>
            </w:r>
          </w:p>
        </w:tc>
        <w:tc>
          <w:tcPr>
            <w:tcW w:w="659" w:type="pct"/>
            <w:shd w:val="clear" w:color="auto" w:fill="auto"/>
            <w:tcMar>
              <w:top w:w="22" w:type="dxa"/>
              <w:left w:w="28" w:type="dxa"/>
              <w:bottom w:w="22" w:type="dxa"/>
              <w:right w:w="28" w:type="dxa"/>
            </w:tcMar>
            <w:vAlign w:val="bottom"/>
          </w:tcPr>
          <w:p w:rsidR="00CB6668" w:rsidP="00CB6668" w:rsidRDefault="00CB6668" w14:paraId="3A6C89C8" w14:textId="77777777">
            <w:pPr>
              <w:pStyle w:val="p-table"/>
              <w:jc w:val="right"/>
              <w:rPr>
                <w:sz w:val="17"/>
              </w:rPr>
            </w:pPr>
            <w:r>
              <w:rPr>
                <w:sz w:val="17"/>
              </w:rPr>
              <w:t>0</w:t>
            </w:r>
          </w:p>
        </w:tc>
        <w:tc>
          <w:tcPr>
            <w:tcW w:w="748" w:type="pct"/>
            <w:shd w:val="clear" w:color="auto" w:fill="auto"/>
            <w:tcMar>
              <w:top w:w="22" w:type="dxa"/>
              <w:left w:w="28" w:type="dxa"/>
              <w:bottom w:w="22" w:type="dxa"/>
              <w:right w:w="28" w:type="dxa"/>
            </w:tcMar>
            <w:vAlign w:val="bottom"/>
          </w:tcPr>
          <w:p w:rsidR="00CB6668" w:rsidP="00CB6668" w:rsidRDefault="00CB6668" w14:paraId="70EE8283" w14:textId="77777777">
            <w:pPr>
              <w:pStyle w:val="p-table"/>
              <w:jc w:val="right"/>
              <w:rPr>
                <w:sz w:val="17"/>
              </w:rPr>
            </w:pPr>
            <w:r>
              <w:rPr>
                <w:sz w:val="17"/>
              </w:rPr>
              <w:t>0</w:t>
            </w:r>
          </w:p>
        </w:tc>
        <w:tc>
          <w:tcPr>
            <w:tcW w:w="469" w:type="pct"/>
            <w:shd w:val="clear" w:color="auto" w:fill="auto"/>
            <w:tcMar>
              <w:top w:w="22" w:type="dxa"/>
              <w:left w:w="28" w:type="dxa"/>
              <w:bottom w:w="22" w:type="dxa"/>
              <w:right w:w="28" w:type="dxa"/>
            </w:tcMar>
            <w:vAlign w:val="bottom"/>
          </w:tcPr>
          <w:p w:rsidR="00CB6668" w:rsidP="00CB6668" w:rsidRDefault="00CB6668" w14:paraId="0911D906" w14:textId="77777777">
            <w:pPr>
              <w:pStyle w:val="p-table"/>
              <w:jc w:val="right"/>
              <w:rPr>
                <w:sz w:val="17"/>
              </w:rPr>
            </w:pPr>
            <w:r>
              <w:rPr>
                <w:sz w:val="17"/>
              </w:rPr>
              <w:t>0</w:t>
            </w:r>
          </w:p>
        </w:tc>
        <w:tc>
          <w:tcPr>
            <w:tcW w:w="659" w:type="pct"/>
            <w:shd w:val="clear" w:color="auto" w:fill="auto"/>
            <w:tcMar>
              <w:top w:w="22" w:type="dxa"/>
              <w:left w:w="28" w:type="dxa"/>
              <w:bottom w:w="22" w:type="dxa"/>
              <w:right w:w="28" w:type="dxa"/>
            </w:tcMar>
            <w:vAlign w:val="bottom"/>
          </w:tcPr>
          <w:p w:rsidR="00CB6668" w:rsidP="00CB6668" w:rsidRDefault="00CB6668" w14:paraId="0CBF715B" w14:textId="77777777">
            <w:pPr>
              <w:pStyle w:val="p-table"/>
              <w:jc w:val="right"/>
              <w:rPr>
                <w:sz w:val="17"/>
              </w:rPr>
            </w:pPr>
            <w:r>
              <w:rPr>
                <w:sz w:val="17"/>
              </w:rPr>
              <w:t>0</w:t>
            </w:r>
          </w:p>
        </w:tc>
      </w:tr>
      <w:tr w:rsidR="00CB6668" w:rsidTr="00CB6668" w14:paraId="1C29A9F7" w14:textId="77777777">
        <w:tc>
          <w:tcPr>
            <w:tcW w:w="277" w:type="pct"/>
            <w:shd w:val="clear" w:color="auto" w:fill="auto"/>
            <w:tcMar>
              <w:top w:w="22" w:type="dxa"/>
              <w:left w:w="10" w:type="dxa"/>
              <w:bottom w:w="22" w:type="dxa"/>
              <w:right w:w="28" w:type="dxa"/>
            </w:tcMar>
          </w:tcPr>
          <w:p w:rsidR="00CB6668" w:rsidP="00CB6668" w:rsidRDefault="00CB6668" w14:paraId="06135AD9" w14:textId="77777777">
            <w:pPr>
              <w:pStyle w:val="p-table"/>
              <w:rPr>
                <w:sz w:val="17"/>
              </w:rPr>
            </w:pPr>
            <w:r>
              <w:rPr>
                <w:sz w:val="17"/>
              </w:rPr>
              <w:t>12</w:t>
            </w:r>
          </w:p>
        </w:tc>
        <w:tc>
          <w:tcPr>
            <w:tcW w:w="909" w:type="pct"/>
            <w:shd w:val="clear" w:color="auto" w:fill="auto"/>
            <w:tcMar>
              <w:top w:w="22" w:type="dxa"/>
              <w:left w:w="28" w:type="dxa"/>
              <w:bottom w:w="22" w:type="dxa"/>
              <w:right w:w="28" w:type="dxa"/>
            </w:tcMar>
          </w:tcPr>
          <w:p w:rsidR="00CB6668" w:rsidP="00CB6668" w:rsidRDefault="00CB6668" w14:paraId="2F90EC2F" w14:textId="77777777">
            <w:pPr>
              <w:pStyle w:val="p-table"/>
              <w:rPr>
                <w:sz w:val="17"/>
              </w:rPr>
            </w:pPr>
            <w:r>
              <w:rPr>
                <w:sz w:val="17"/>
              </w:rPr>
              <w:t>Hoofdwegennet</w:t>
            </w:r>
          </w:p>
        </w:tc>
        <w:tc>
          <w:tcPr>
            <w:tcW w:w="748" w:type="pct"/>
            <w:shd w:val="clear" w:color="auto" w:fill="auto"/>
            <w:tcMar>
              <w:top w:w="22" w:type="dxa"/>
              <w:left w:w="28" w:type="dxa"/>
              <w:bottom w:w="22" w:type="dxa"/>
              <w:right w:w="28" w:type="dxa"/>
            </w:tcMar>
            <w:vAlign w:val="bottom"/>
          </w:tcPr>
          <w:p w:rsidR="00CB6668" w:rsidP="00CB6668" w:rsidRDefault="00CB6668" w14:paraId="65C18723" w14:textId="77777777">
            <w:pPr>
              <w:pStyle w:val="p-table"/>
              <w:jc w:val="right"/>
              <w:rPr>
                <w:sz w:val="17"/>
              </w:rPr>
            </w:pPr>
            <w:r>
              <w:rPr>
                <w:sz w:val="17"/>
              </w:rPr>
              <w:t>4.692.863</w:t>
            </w:r>
          </w:p>
        </w:tc>
        <w:tc>
          <w:tcPr>
            <w:tcW w:w="530" w:type="pct"/>
            <w:shd w:val="clear" w:color="auto" w:fill="auto"/>
            <w:tcMar>
              <w:top w:w="22" w:type="dxa"/>
              <w:left w:w="28" w:type="dxa"/>
              <w:bottom w:w="22" w:type="dxa"/>
              <w:right w:w="28" w:type="dxa"/>
            </w:tcMar>
            <w:vAlign w:val="bottom"/>
          </w:tcPr>
          <w:p w:rsidR="00CB6668" w:rsidP="00CB6668" w:rsidRDefault="00CB6668" w14:paraId="4C6A2F2B" w14:textId="77777777">
            <w:pPr>
              <w:pStyle w:val="p-table"/>
              <w:jc w:val="right"/>
              <w:rPr>
                <w:sz w:val="17"/>
              </w:rPr>
            </w:pPr>
            <w:r>
              <w:rPr>
                <w:sz w:val="17"/>
              </w:rPr>
              <w:t>3.937.469</w:t>
            </w:r>
          </w:p>
        </w:tc>
        <w:tc>
          <w:tcPr>
            <w:tcW w:w="659" w:type="pct"/>
            <w:shd w:val="clear" w:color="auto" w:fill="auto"/>
            <w:tcMar>
              <w:top w:w="22" w:type="dxa"/>
              <w:left w:w="28" w:type="dxa"/>
              <w:bottom w:w="22" w:type="dxa"/>
              <w:right w:w="28" w:type="dxa"/>
            </w:tcMar>
            <w:vAlign w:val="bottom"/>
          </w:tcPr>
          <w:p w:rsidR="00CB6668" w:rsidP="00CB6668" w:rsidRDefault="00CB6668" w14:paraId="20A05C37" w14:textId="77777777">
            <w:pPr>
              <w:pStyle w:val="p-table"/>
              <w:jc w:val="right"/>
              <w:rPr>
                <w:sz w:val="17"/>
              </w:rPr>
            </w:pPr>
            <w:r>
              <w:rPr>
                <w:sz w:val="17"/>
              </w:rPr>
              <w:t>124.305</w:t>
            </w:r>
          </w:p>
        </w:tc>
        <w:tc>
          <w:tcPr>
            <w:tcW w:w="748" w:type="pct"/>
            <w:shd w:val="clear" w:color="auto" w:fill="auto"/>
            <w:tcMar>
              <w:top w:w="22" w:type="dxa"/>
              <w:left w:w="28" w:type="dxa"/>
              <w:bottom w:w="22" w:type="dxa"/>
              <w:right w:w="28" w:type="dxa"/>
            </w:tcMar>
            <w:vAlign w:val="bottom"/>
          </w:tcPr>
          <w:p w:rsidR="00CB6668" w:rsidP="00CB6668" w:rsidRDefault="00CB6668" w14:paraId="42FE6A6B" w14:textId="77777777">
            <w:pPr>
              <w:pStyle w:val="p-table"/>
              <w:jc w:val="right"/>
              <w:rPr>
                <w:sz w:val="17"/>
              </w:rPr>
            </w:pPr>
            <w:r>
              <w:rPr>
                <w:sz w:val="17"/>
              </w:rPr>
              <w:t>980.405</w:t>
            </w:r>
          </w:p>
        </w:tc>
        <w:tc>
          <w:tcPr>
            <w:tcW w:w="469" w:type="pct"/>
            <w:shd w:val="clear" w:color="auto" w:fill="auto"/>
            <w:tcMar>
              <w:top w:w="22" w:type="dxa"/>
              <w:left w:w="28" w:type="dxa"/>
              <w:bottom w:w="22" w:type="dxa"/>
              <w:right w:w="28" w:type="dxa"/>
            </w:tcMar>
            <w:vAlign w:val="bottom"/>
          </w:tcPr>
          <w:p w:rsidR="00CB6668" w:rsidP="00CB6668" w:rsidRDefault="00CB6668" w14:paraId="35456CCE" w14:textId="77777777">
            <w:pPr>
              <w:pStyle w:val="p-table"/>
              <w:jc w:val="right"/>
              <w:rPr>
                <w:sz w:val="17"/>
              </w:rPr>
            </w:pPr>
            <w:r>
              <w:rPr>
                <w:sz w:val="17"/>
              </w:rPr>
              <w:t>0</w:t>
            </w:r>
          </w:p>
        </w:tc>
        <w:tc>
          <w:tcPr>
            <w:tcW w:w="659" w:type="pct"/>
            <w:shd w:val="clear" w:color="auto" w:fill="auto"/>
            <w:tcMar>
              <w:top w:w="22" w:type="dxa"/>
              <w:left w:w="28" w:type="dxa"/>
              <w:bottom w:w="22" w:type="dxa"/>
              <w:right w:w="28" w:type="dxa"/>
            </w:tcMar>
            <w:vAlign w:val="bottom"/>
          </w:tcPr>
          <w:p w:rsidR="00CB6668" w:rsidP="00CB6668" w:rsidRDefault="00CB6668" w14:paraId="436BDDD2" w14:textId="77777777">
            <w:pPr>
              <w:pStyle w:val="p-table"/>
              <w:jc w:val="right"/>
              <w:rPr>
                <w:sz w:val="17"/>
              </w:rPr>
            </w:pPr>
            <w:r>
              <w:rPr>
                <w:sz w:val="17"/>
              </w:rPr>
              <w:t>0</w:t>
            </w:r>
          </w:p>
        </w:tc>
      </w:tr>
      <w:tr w:rsidR="00CB6668" w:rsidTr="00CB6668" w14:paraId="3AB5D1EC" w14:textId="77777777">
        <w:tc>
          <w:tcPr>
            <w:tcW w:w="277" w:type="pct"/>
            <w:shd w:val="clear" w:color="auto" w:fill="auto"/>
            <w:tcMar>
              <w:top w:w="22" w:type="dxa"/>
              <w:left w:w="10" w:type="dxa"/>
              <w:bottom w:w="22" w:type="dxa"/>
              <w:right w:w="28" w:type="dxa"/>
            </w:tcMar>
          </w:tcPr>
          <w:p w:rsidR="00CB6668" w:rsidP="00CB6668" w:rsidRDefault="00CB6668" w14:paraId="056A390F" w14:textId="77777777">
            <w:pPr>
              <w:pStyle w:val="p-table"/>
              <w:rPr>
                <w:sz w:val="17"/>
              </w:rPr>
            </w:pPr>
            <w:r>
              <w:rPr>
                <w:sz w:val="17"/>
              </w:rPr>
              <w:t>13</w:t>
            </w:r>
          </w:p>
        </w:tc>
        <w:tc>
          <w:tcPr>
            <w:tcW w:w="909" w:type="pct"/>
            <w:shd w:val="clear" w:color="auto" w:fill="auto"/>
            <w:tcMar>
              <w:top w:w="22" w:type="dxa"/>
              <w:left w:w="28" w:type="dxa"/>
              <w:bottom w:w="22" w:type="dxa"/>
              <w:right w:w="28" w:type="dxa"/>
            </w:tcMar>
          </w:tcPr>
          <w:p w:rsidR="00CB6668" w:rsidP="00CB6668" w:rsidRDefault="00CB6668" w14:paraId="571B9D22" w14:textId="77777777">
            <w:pPr>
              <w:pStyle w:val="p-table"/>
              <w:rPr>
                <w:sz w:val="17"/>
              </w:rPr>
            </w:pPr>
            <w:r>
              <w:rPr>
                <w:sz w:val="17"/>
              </w:rPr>
              <w:t>Spoorwegen</w:t>
            </w:r>
          </w:p>
        </w:tc>
        <w:tc>
          <w:tcPr>
            <w:tcW w:w="748" w:type="pct"/>
            <w:shd w:val="clear" w:color="auto" w:fill="auto"/>
            <w:tcMar>
              <w:top w:w="22" w:type="dxa"/>
              <w:left w:w="28" w:type="dxa"/>
              <w:bottom w:w="22" w:type="dxa"/>
              <w:right w:w="28" w:type="dxa"/>
            </w:tcMar>
            <w:vAlign w:val="bottom"/>
          </w:tcPr>
          <w:p w:rsidR="00CB6668" w:rsidP="00CB6668" w:rsidRDefault="00CB6668" w14:paraId="59681364" w14:textId="77777777">
            <w:pPr>
              <w:pStyle w:val="p-table"/>
              <w:jc w:val="right"/>
              <w:rPr>
                <w:sz w:val="17"/>
              </w:rPr>
            </w:pPr>
            <w:r>
              <w:rPr>
                <w:sz w:val="17"/>
              </w:rPr>
              <w:t>2.307.036</w:t>
            </w:r>
          </w:p>
        </w:tc>
        <w:tc>
          <w:tcPr>
            <w:tcW w:w="530" w:type="pct"/>
            <w:shd w:val="clear" w:color="auto" w:fill="auto"/>
            <w:tcMar>
              <w:top w:w="22" w:type="dxa"/>
              <w:left w:w="28" w:type="dxa"/>
              <w:bottom w:w="22" w:type="dxa"/>
              <w:right w:w="28" w:type="dxa"/>
            </w:tcMar>
            <w:vAlign w:val="bottom"/>
          </w:tcPr>
          <w:p w:rsidR="00CB6668" w:rsidP="00CB6668" w:rsidRDefault="00CB6668" w14:paraId="08BCCEB4" w14:textId="77777777">
            <w:pPr>
              <w:pStyle w:val="p-table"/>
              <w:jc w:val="right"/>
              <w:rPr>
                <w:sz w:val="17"/>
              </w:rPr>
            </w:pPr>
            <w:r>
              <w:rPr>
                <w:sz w:val="17"/>
              </w:rPr>
              <w:t>2.742.066</w:t>
            </w:r>
          </w:p>
        </w:tc>
        <w:tc>
          <w:tcPr>
            <w:tcW w:w="659" w:type="pct"/>
            <w:shd w:val="clear" w:color="auto" w:fill="auto"/>
            <w:tcMar>
              <w:top w:w="22" w:type="dxa"/>
              <w:left w:w="28" w:type="dxa"/>
              <w:bottom w:w="22" w:type="dxa"/>
              <w:right w:w="28" w:type="dxa"/>
            </w:tcMar>
            <w:vAlign w:val="bottom"/>
          </w:tcPr>
          <w:p w:rsidR="00CB6668" w:rsidP="00CB6668" w:rsidRDefault="00CB6668" w14:paraId="4E528E08" w14:textId="77777777">
            <w:pPr>
              <w:pStyle w:val="p-table"/>
              <w:jc w:val="right"/>
              <w:rPr>
                <w:sz w:val="17"/>
              </w:rPr>
            </w:pPr>
            <w:r>
              <w:rPr>
                <w:sz w:val="17"/>
              </w:rPr>
              <w:t>303.115</w:t>
            </w:r>
          </w:p>
        </w:tc>
        <w:tc>
          <w:tcPr>
            <w:tcW w:w="748" w:type="pct"/>
            <w:shd w:val="clear" w:color="auto" w:fill="auto"/>
            <w:tcMar>
              <w:top w:w="22" w:type="dxa"/>
              <w:left w:w="28" w:type="dxa"/>
              <w:bottom w:w="22" w:type="dxa"/>
              <w:right w:w="28" w:type="dxa"/>
            </w:tcMar>
            <w:vAlign w:val="bottom"/>
          </w:tcPr>
          <w:p w:rsidR="00CB6668" w:rsidP="00CB6668" w:rsidRDefault="00CB6668" w14:paraId="501F9D0D" w14:textId="77777777">
            <w:pPr>
              <w:pStyle w:val="p-table"/>
              <w:jc w:val="right"/>
              <w:rPr>
                <w:sz w:val="17"/>
              </w:rPr>
            </w:pPr>
            <w:r>
              <w:rPr>
                <w:sz w:val="17"/>
              </w:rPr>
              <w:t>0</w:t>
            </w:r>
          </w:p>
        </w:tc>
        <w:tc>
          <w:tcPr>
            <w:tcW w:w="469" w:type="pct"/>
            <w:shd w:val="clear" w:color="auto" w:fill="auto"/>
            <w:tcMar>
              <w:top w:w="22" w:type="dxa"/>
              <w:left w:w="28" w:type="dxa"/>
              <w:bottom w:w="22" w:type="dxa"/>
              <w:right w:w="28" w:type="dxa"/>
            </w:tcMar>
            <w:vAlign w:val="bottom"/>
          </w:tcPr>
          <w:p w:rsidR="00CB6668" w:rsidP="00CB6668" w:rsidRDefault="00CB6668" w14:paraId="67D8D4E3" w14:textId="77777777">
            <w:pPr>
              <w:pStyle w:val="p-table"/>
              <w:jc w:val="right"/>
              <w:rPr>
                <w:sz w:val="17"/>
              </w:rPr>
            </w:pPr>
            <w:r>
              <w:rPr>
                <w:sz w:val="17"/>
              </w:rPr>
              <w:t>0</w:t>
            </w:r>
          </w:p>
        </w:tc>
        <w:tc>
          <w:tcPr>
            <w:tcW w:w="659" w:type="pct"/>
            <w:shd w:val="clear" w:color="auto" w:fill="auto"/>
            <w:tcMar>
              <w:top w:w="22" w:type="dxa"/>
              <w:left w:w="28" w:type="dxa"/>
              <w:bottom w:w="22" w:type="dxa"/>
              <w:right w:w="28" w:type="dxa"/>
            </w:tcMar>
            <w:vAlign w:val="bottom"/>
          </w:tcPr>
          <w:p w:rsidR="00CB6668" w:rsidP="00CB6668" w:rsidRDefault="00CB6668" w14:paraId="046BE827" w14:textId="77777777">
            <w:pPr>
              <w:pStyle w:val="p-table"/>
              <w:jc w:val="right"/>
              <w:rPr>
                <w:sz w:val="17"/>
              </w:rPr>
            </w:pPr>
            <w:r>
              <w:rPr>
                <w:sz w:val="17"/>
              </w:rPr>
              <w:t>0</w:t>
            </w:r>
          </w:p>
        </w:tc>
      </w:tr>
      <w:tr w:rsidR="00CB6668" w:rsidTr="00CB6668" w14:paraId="1CD1C59F" w14:textId="77777777">
        <w:tc>
          <w:tcPr>
            <w:tcW w:w="277" w:type="pct"/>
            <w:shd w:val="clear" w:color="auto" w:fill="auto"/>
            <w:tcMar>
              <w:top w:w="22" w:type="dxa"/>
              <w:left w:w="10" w:type="dxa"/>
              <w:bottom w:w="22" w:type="dxa"/>
              <w:right w:w="28" w:type="dxa"/>
            </w:tcMar>
          </w:tcPr>
          <w:p w:rsidR="00CB6668" w:rsidP="00CB6668" w:rsidRDefault="00CB6668" w14:paraId="6C431596" w14:textId="77777777">
            <w:pPr>
              <w:pStyle w:val="p-table"/>
              <w:rPr>
                <w:sz w:val="17"/>
              </w:rPr>
            </w:pPr>
            <w:r>
              <w:rPr>
                <w:sz w:val="17"/>
              </w:rPr>
              <w:t>14</w:t>
            </w:r>
          </w:p>
        </w:tc>
        <w:tc>
          <w:tcPr>
            <w:tcW w:w="909" w:type="pct"/>
            <w:shd w:val="clear" w:color="auto" w:fill="auto"/>
            <w:tcMar>
              <w:top w:w="22" w:type="dxa"/>
              <w:left w:w="28" w:type="dxa"/>
              <w:bottom w:w="22" w:type="dxa"/>
              <w:right w:w="28" w:type="dxa"/>
            </w:tcMar>
          </w:tcPr>
          <w:p w:rsidR="00CB6668" w:rsidP="00CB6668" w:rsidRDefault="00CB6668" w14:paraId="64A006F0" w14:textId="77777777">
            <w:pPr>
              <w:pStyle w:val="p-table"/>
              <w:rPr>
                <w:sz w:val="17"/>
              </w:rPr>
            </w:pPr>
            <w:r>
              <w:rPr>
                <w:sz w:val="17"/>
              </w:rPr>
              <w:t>Regionaal, lokale infrastructuur</w:t>
            </w:r>
          </w:p>
        </w:tc>
        <w:tc>
          <w:tcPr>
            <w:tcW w:w="748" w:type="pct"/>
            <w:shd w:val="clear" w:color="auto" w:fill="auto"/>
            <w:tcMar>
              <w:top w:w="22" w:type="dxa"/>
              <w:left w:w="28" w:type="dxa"/>
              <w:bottom w:w="22" w:type="dxa"/>
              <w:right w:w="28" w:type="dxa"/>
            </w:tcMar>
            <w:vAlign w:val="bottom"/>
          </w:tcPr>
          <w:p w:rsidR="00CB6668" w:rsidP="00CB6668" w:rsidRDefault="00CB6668" w14:paraId="6A37114F" w14:textId="77777777">
            <w:pPr>
              <w:pStyle w:val="p-table"/>
              <w:jc w:val="right"/>
              <w:rPr>
                <w:sz w:val="17"/>
              </w:rPr>
            </w:pPr>
            <w:r>
              <w:rPr>
                <w:sz w:val="17"/>
              </w:rPr>
              <w:t>174.089</w:t>
            </w:r>
          </w:p>
        </w:tc>
        <w:tc>
          <w:tcPr>
            <w:tcW w:w="530" w:type="pct"/>
            <w:shd w:val="clear" w:color="auto" w:fill="auto"/>
            <w:tcMar>
              <w:top w:w="22" w:type="dxa"/>
              <w:left w:w="28" w:type="dxa"/>
              <w:bottom w:w="22" w:type="dxa"/>
              <w:right w:w="28" w:type="dxa"/>
            </w:tcMar>
            <w:vAlign w:val="bottom"/>
          </w:tcPr>
          <w:p w:rsidR="00CB6668" w:rsidP="00CB6668" w:rsidRDefault="00CB6668" w14:paraId="5D9FE1A8" w14:textId="77777777">
            <w:pPr>
              <w:pStyle w:val="p-table"/>
              <w:jc w:val="right"/>
              <w:rPr>
                <w:sz w:val="17"/>
              </w:rPr>
            </w:pPr>
            <w:r>
              <w:rPr>
                <w:sz w:val="17"/>
              </w:rPr>
              <w:t>597.904</w:t>
            </w:r>
          </w:p>
        </w:tc>
        <w:tc>
          <w:tcPr>
            <w:tcW w:w="659" w:type="pct"/>
            <w:shd w:val="clear" w:color="auto" w:fill="auto"/>
            <w:tcMar>
              <w:top w:w="22" w:type="dxa"/>
              <w:left w:w="28" w:type="dxa"/>
              <w:bottom w:w="22" w:type="dxa"/>
              <w:right w:w="28" w:type="dxa"/>
            </w:tcMar>
            <w:vAlign w:val="bottom"/>
          </w:tcPr>
          <w:p w:rsidR="00CB6668" w:rsidP="00CB6668" w:rsidRDefault="00CB6668" w14:paraId="59A0E1B1" w14:textId="77777777">
            <w:pPr>
              <w:pStyle w:val="p-table"/>
              <w:jc w:val="right"/>
              <w:rPr>
                <w:sz w:val="17"/>
              </w:rPr>
            </w:pPr>
            <w:r>
              <w:rPr>
                <w:sz w:val="17"/>
              </w:rPr>
              <w:t>0</w:t>
            </w:r>
          </w:p>
        </w:tc>
        <w:tc>
          <w:tcPr>
            <w:tcW w:w="748" w:type="pct"/>
            <w:shd w:val="clear" w:color="auto" w:fill="auto"/>
            <w:tcMar>
              <w:top w:w="22" w:type="dxa"/>
              <w:left w:w="28" w:type="dxa"/>
              <w:bottom w:w="22" w:type="dxa"/>
              <w:right w:w="28" w:type="dxa"/>
            </w:tcMar>
            <w:vAlign w:val="bottom"/>
          </w:tcPr>
          <w:p w:rsidR="00CB6668" w:rsidP="00CB6668" w:rsidRDefault="00CB6668" w14:paraId="0BFF2037" w14:textId="77777777">
            <w:pPr>
              <w:pStyle w:val="p-table"/>
              <w:jc w:val="right"/>
              <w:rPr>
                <w:sz w:val="17"/>
              </w:rPr>
            </w:pPr>
            <w:r>
              <w:rPr>
                <w:sz w:val="17"/>
              </w:rPr>
              <w:t>0</w:t>
            </w:r>
          </w:p>
        </w:tc>
        <w:tc>
          <w:tcPr>
            <w:tcW w:w="469" w:type="pct"/>
            <w:shd w:val="clear" w:color="auto" w:fill="auto"/>
            <w:tcMar>
              <w:top w:w="22" w:type="dxa"/>
              <w:left w:w="28" w:type="dxa"/>
              <w:bottom w:w="22" w:type="dxa"/>
              <w:right w:w="28" w:type="dxa"/>
            </w:tcMar>
            <w:vAlign w:val="bottom"/>
          </w:tcPr>
          <w:p w:rsidR="00CB6668" w:rsidP="00CB6668" w:rsidRDefault="00CB6668" w14:paraId="55839A72" w14:textId="77777777">
            <w:pPr>
              <w:pStyle w:val="p-table"/>
              <w:jc w:val="right"/>
              <w:rPr>
                <w:sz w:val="17"/>
              </w:rPr>
            </w:pPr>
            <w:r>
              <w:rPr>
                <w:sz w:val="17"/>
              </w:rPr>
              <w:t>0</w:t>
            </w:r>
          </w:p>
        </w:tc>
        <w:tc>
          <w:tcPr>
            <w:tcW w:w="659" w:type="pct"/>
            <w:shd w:val="clear" w:color="auto" w:fill="auto"/>
            <w:tcMar>
              <w:top w:w="22" w:type="dxa"/>
              <w:left w:w="28" w:type="dxa"/>
              <w:bottom w:w="22" w:type="dxa"/>
              <w:right w:w="28" w:type="dxa"/>
            </w:tcMar>
            <w:vAlign w:val="bottom"/>
          </w:tcPr>
          <w:p w:rsidR="00CB6668" w:rsidP="00CB6668" w:rsidRDefault="00CB6668" w14:paraId="34C8F7A8" w14:textId="77777777">
            <w:pPr>
              <w:pStyle w:val="p-table"/>
              <w:jc w:val="right"/>
              <w:rPr>
                <w:sz w:val="17"/>
              </w:rPr>
            </w:pPr>
            <w:r>
              <w:rPr>
                <w:sz w:val="17"/>
              </w:rPr>
              <w:t>0</w:t>
            </w:r>
          </w:p>
        </w:tc>
      </w:tr>
      <w:tr w:rsidR="00CB6668" w:rsidTr="00CB6668" w14:paraId="2F695656" w14:textId="77777777">
        <w:tc>
          <w:tcPr>
            <w:tcW w:w="277" w:type="pct"/>
            <w:shd w:val="clear" w:color="auto" w:fill="auto"/>
            <w:tcMar>
              <w:top w:w="22" w:type="dxa"/>
              <w:left w:w="10" w:type="dxa"/>
              <w:bottom w:w="22" w:type="dxa"/>
              <w:right w:w="28" w:type="dxa"/>
            </w:tcMar>
          </w:tcPr>
          <w:p w:rsidR="00CB6668" w:rsidP="00CB6668" w:rsidRDefault="00CB6668" w14:paraId="36971338" w14:textId="77777777">
            <w:pPr>
              <w:pStyle w:val="p-table"/>
              <w:rPr>
                <w:sz w:val="17"/>
              </w:rPr>
            </w:pPr>
            <w:r>
              <w:rPr>
                <w:sz w:val="17"/>
              </w:rPr>
              <w:t>15</w:t>
            </w:r>
          </w:p>
        </w:tc>
        <w:tc>
          <w:tcPr>
            <w:tcW w:w="909" w:type="pct"/>
            <w:shd w:val="clear" w:color="auto" w:fill="auto"/>
            <w:tcMar>
              <w:top w:w="22" w:type="dxa"/>
              <w:left w:w="28" w:type="dxa"/>
              <w:bottom w:w="22" w:type="dxa"/>
              <w:right w:w="28" w:type="dxa"/>
            </w:tcMar>
          </w:tcPr>
          <w:p w:rsidR="00CB6668" w:rsidP="00CB6668" w:rsidRDefault="00CB6668" w14:paraId="5CC9167F" w14:textId="77777777">
            <w:pPr>
              <w:pStyle w:val="p-table"/>
              <w:rPr>
                <w:sz w:val="17"/>
              </w:rPr>
            </w:pPr>
            <w:r>
              <w:rPr>
                <w:sz w:val="17"/>
              </w:rPr>
              <w:t>Hoofdvaarwegennet</w:t>
            </w:r>
          </w:p>
        </w:tc>
        <w:tc>
          <w:tcPr>
            <w:tcW w:w="748" w:type="pct"/>
            <w:shd w:val="clear" w:color="auto" w:fill="auto"/>
            <w:tcMar>
              <w:top w:w="22" w:type="dxa"/>
              <w:left w:w="28" w:type="dxa"/>
              <w:bottom w:w="22" w:type="dxa"/>
              <w:right w:w="28" w:type="dxa"/>
            </w:tcMar>
            <w:vAlign w:val="bottom"/>
          </w:tcPr>
          <w:p w:rsidR="00CB6668" w:rsidP="00CB6668" w:rsidRDefault="00CB6668" w14:paraId="2970E718" w14:textId="77777777">
            <w:pPr>
              <w:pStyle w:val="p-table"/>
              <w:jc w:val="right"/>
              <w:rPr>
                <w:sz w:val="17"/>
              </w:rPr>
            </w:pPr>
            <w:r>
              <w:rPr>
                <w:sz w:val="17"/>
              </w:rPr>
              <w:t>1.324.929</w:t>
            </w:r>
          </w:p>
        </w:tc>
        <w:tc>
          <w:tcPr>
            <w:tcW w:w="530" w:type="pct"/>
            <w:shd w:val="clear" w:color="auto" w:fill="auto"/>
            <w:tcMar>
              <w:top w:w="22" w:type="dxa"/>
              <w:left w:w="28" w:type="dxa"/>
              <w:bottom w:w="22" w:type="dxa"/>
              <w:right w:w="28" w:type="dxa"/>
            </w:tcMar>
            <w:vAlign w:val="bottom"/>
          </w:tcPr>
          <w:p w:rsidR="00CB6668" w:rsidP="00CB6668" w:rsidRDefault="00CB6668" w14:paraId="6B5E5F34" w14:textId="77777777">
            <w:pPr>
              <w:pStyle w:val="p-table"/>
              <w:jc w:val="right"/>
              <w:rPr>
                <w:sz w:val="17"/>
              </w:rPr>
            </w:pPr>
            <w:r>
              <w:rPr>
                <w:sz w:val="17"/>
              </w:rPr>
              <w:t>1.406.135</w:t>
            </w:r>
          </w:p>
        </w:tc>
        <w:tc>
          <w:tcPr>
            <w:tcW w:w="659" w:type="pct"/>
            <w:shd w:val="clear" w:color="auto" w:fill="auto"/>
            <w:tcMar>
              <w:top w:w="22" w:type="dxa"/>
              <w:left w:w="28" w:type="dxa"/>
              <w:bottom w:w="22" w:type="dxa"/>
              <w:right w:w="28" w:type="dxa"/>
            </w:tcMar>
            <w:vAlign w:val="bottom"/>
          </w:tcPr>
          <w:p w:rsidR="00CB6668" w:rsidP="00CB6668" w:rsidRDefault="00CB6668" w14:paraId="1E7745C7" w14:textId="77777777">
            <w:pPr>
              <w:pStyle w:val="p-table"/>
              <w:jc w:val="right"/>
              <w:rPr>
                <w:sz w:val="17"/>
              </w:rPr>
            </w:pPr>
            <w:r>
              <w:rPr>
                <w:sz w:val="17"/>
              </w:rPr>
              <w:t>13.161</w:t>
            </w:r>
          </w:p>
        </w:tc>
        <w:tc>
          <w:tcPr>
            <w:tcW w:w="748" w:type="pct"/>
            <w:shd w:val="clear" w:color="auto" w:fill="auto"/>
            <w:tcMar>
              <w:top w:w="22" w:type="dxa"/>
              <w:left w:w="28" w:type="dxa"/>
              <w:bottom w:w="22" w:type="dxa"/>
              <w:right w:w="28" w:type="dxa"/>
            </w:tcMar>
            <w:vAlign w:val="bottom"/>
          </w:tcPr>
          <w:p w:rsidR="00CB6668" w:rsidP="00CB6668" w:rsidRDefault="00CB6668" w14:paraId="60BCAEBE" w14:textId="77777777">
            <w:pPr>
              <w:pStyle w:val="p-table"/>
              <w:jc w:val="right"/>
              <w:rPr>
                <w:sz w:val="17"/>
              </w:rPr>
            </w:pPr>
            <w:r>
              <w:rPr>
                <w:sz w:val="17"/>
              </w:rPr>
              <w:t>0</w:t>
            </w:r>
          </w:p>
        </w:tc>
        <w:tc>
          <w:tcPr>
            <w:tcW w:w="469" w:type="pct"/>
            <w:shd w:val="clear" w:color="auto" w:fill="auto"/>
            <w:tcMar>
              <w:top w:w="22" w:type="dxa"/>
              <w:left w:w="28" w:type="dxa"/>
              <w:bottom w:w="22" w:type="dxa"/>
              <w:right w:w="28" w:type="dxa"/>
            </w:tcMar>
            <w:vAlign w:val="bottom"/>
          </w:tcPr>
          <w:p w:rsidR="00CB6668" w:rsidP="00CB6668" w:rsidRDefault="00CB6668" w14:paraId="4188ABDB" w14:textId="77777777">
            <w:pPr>
              <w:pStyle w:val="p-table"/>
              <w:jc w:val="right"/>
              <w:rPr>
                <w:sz w:val="17"/>
              </w:rPr>
            </w:pPr>
            <w:r>
              <w:rPr>
                <w:sz w:val="17"/>
              </w:rPr>
              <w:t>0</w:t>
            </w:r>
          </w:p>
        </w:tc>
        <w:tc>
          <w:tcPr>
            <w:tcW w:w="659" w:type="pct"/>
            <w:shd w:val="clear" w:color="auto" w:fill="auto"/>
            <w:tcMar>
              <w:top w:w="22" w:type="dxa"/>
              <w:left w:w="28" w:type="dxa"/>
              <w:bottom w:w="22" w:type="dxa"/>
              <w:right w:w="28" w:type="dxa"/>
            </w:tcMar>
            <w:vAlign w:val="bottom"/>
          </w:tcPr>
          <w:p w:rsidR="00CB6668" w:rsidP="00CB6668" w:rsidRDefault="00CB6668" w14:paraId="3335BB90" w14:textId="77777777">
            <w:pPr>
              <w:pStyle w:val="p-table"/>
              <w:jc w:val="right"/>
              <w:rPr>
                <w:sz w:val="17"/>
              </w:rPr>
            </w:pPr>
            <w:r>
              <w:rPr>
                <w:sz w:val="17"/>
              </w:rPr>
              <w:t>0</w:t>
            </w:r>
          </w:p>
        </w:tc>
      </w:tr>
      <w:tr w:rsidR="00CB6668" w:rsidTr="00CB6668" w14:paraId="0A9F620F" w14:textId="77777777">
        <w:tc>
          <w:tcPr>
            <w:tcW w:w="277" w:type="pct"/>
            <w:shd w:val="clear" w:color="auto" w:fill="auto"/>
            <w:tcMar>
              <w:top w:w="22" w:type="dxa"/>
              <w:left w:w="10" w:type="dxa"/>
              <w:bottom w:w="22" w:type="dxa"/>
              <w:right w:w="28" w:type="dxa"/>
            </w:tcMar>
          </w:tcPr>
          <w:p w:rsidR="00CB6668" w:rsidP="00CB6668" w:rsidRDefault="00CB6668" w14:paraId="7721DE9B" w14:textId="77777777">
            <w:pPr>
              <w:pStyle w:val="p-table"/>
              <w:rPr>
                <w:sz w:val="17"/>
              </w:rPr>
            </w:pPr>
            <w:r>
              <w:rPr>
                <w:sz w:val="17"/>
              </w:rPr>
              <w:t>17</w:t>
            </w:r>
          </w:p>
        </w:tc>
        <w:tc>
          <w:tcPr>
            <w:tcW w:w="909" w:type="pct"/>
            <w:shd w:val="clear" w:color="auto" w:fill="auto"/>
            <w:tcMar>
              <w:top w:w="22" w:type="dxa"/>
              <w:left w:w="28" w:type="dxa"/>
              <w:bottom w:w="22" w:type="dxa"/>
              <w:right w:w="28" w:type="dxa"/>
            </w:tcMar>
          </w:tcPr>
          <w:p w:rsidR="00CB6668" w:rsidP="00CB6668" w:rsidRDefault="00CB6668" w14:paraId="6965D771" w14:textId="77777777">
            <w:pPr>
              <w:pStyle w:val="p-table"/>
              <w:rPr>
                <w:sz w:val="17"/>
              </w:rPr>
            </w:pPr>
            <w:r>
              <w:rPr>
                <w:sz w:val="17"/>
              </w:rPr>
              <w:t>Megaprojecten Verkeer en Vervoer</w:t>
            </w:r>
          </w:p>
        </w:tc>
        <w:tc>
          <w:tcPr>
            <w:tcW w:w="748" w:type="pct"/>
            <w:shd w:val="clear" w:color="auto" w:fill="auto"/>
            <w:tcMar>
              <w:top w:w="22" w:type="dxa"/>
              <w:left w:w="28" w:type="dxa"/>
              <w:bottom w:w="22" w:type="dxa"/>
              <w:right w:w="28" w:type="dxa"/>
            </w:tcMar>
            <w:vAlign w:val="bottom"/>
          </w:tcPr>
          <w:p w:rsidR="00CB6668" w:rsidP="00CB6668" w:rsidRDefault="00CB6668" w14:paraId="03070310" w14:textId="77777777">
            <w:pPr>
              <w:pStyle w:val="p-table"/>
              <w:jc w:val="right"/>
              <w:rPr>
                <w:sz w:val="17"/>
              </w:rPr>
            </w:pPr>
            <w:r>
              <w:rPr>
                <w:sz w:val="17"/>
              </w:rPr>
              <w:t>438.892</w:t>
            </w:r>
          </w:p>
        </w:tc>
        <w:tc>
          <w:tcPr>
            <w:tcW w:w="530" w:type="pct"/>
            <w:shd w:val="clear" w:color="auto" w:fill="auto"/>
            <w:tcMar>
              <w:top w:w="22" w:type="dxa"/>
              <w:left w:w="28" w:type="dxa"/>
              <w:bottom w:w="22" w:type="dxa"/>
              <w:right w:w="28" w:type="dxa"/>
            </w:tcMar>
            <w:vAlign w:val="bottom"/>
          </w:tcPr>
          <w:p w:rsidR="00CB6668" w:rsidP="00CB6668" w:rsidRDefault="00CB6668" w14:paraId="3F0D3DB3" w14:textId="77777777">
            <w:pPr>
              <w:pStyle w:val="p-table"/>
              <w:jc w:val="right"/>
              <w:rPr>
                <w:sz w:val="17"/>
              </w:rPr>
            </w:pPr>
            <w:r>
              <w:rPr>
                <w:sz w:val="17"/>
              </w:rPr>
              <w:t>516.879</w:t>
            </w:r>
          </w:p>
        </w:tc>
        <w:tc>
          <w:tcPr>
            <w:tcW w:w="659" w:type="pct"/>
            <w:shd w:val="clear" w:color="auto" w:fill="auto"/>
            <w:tcMar>
              <w:top w:w="22" w:type="dxa"/>
              <w:left w:w="28" w:type="dxa"/>
              <w:bottom w:w="22" w:type="dxa"/>
              <w:right w:w="28" w:type="dxa"/>
            </w:tcMar>
            <w:vAlign w:val="bottom"/>
          </w:tcPr>
          <w:p w:rsidR="00CB6668" w:rsidP="00CB6668" w:rsidRDefault="00CB6668" w14:paraId="7A04E168" w14:textId="77777777">
            <w:pPr>
              <w:pStyle w:val="p-table"/>
              <w:jc w:val="right"/>
              <w:rPr>
                <w:sz w:val="17"/>
              </w:rPr>
            </w:pPr>
            <w:r>
              <w:rPr>
                <w:sz w:val="17"/>
              </w:rPr>
              <w:t>70.735</w:t>
            </w:r>
          </w:p>
        </w:tc>
        <w:tc>
          <w:tcPr>
            <w:tcW w:w="748" w:type="pct"/>
            <w:shd w:val="clear" w:color="auto" w:fill="auto"/>
            <w:tcMar>
              <w:top w:w="22" w:type="dxa"/>
              <w:left w:w="28" w:type="dxa"/>
              <w:bottom w:w="22" w:type="dxa"/>
              <w:right w:w="28" w:type="dxa"/>
            </w:tcMar>
            <w:vAlign w:val="bottom"/>
          </w:tcPr>
          <w:p w:rsidR="00CB6668" w:rsidP="00CB6668" w:rsidRDefault="00CB6668" w14:paraId="28483A69" w14:textId="77777777">
            <w:pPr>
              <w:pStyle w:val="p-table"/>
              <w:jc w:val="right"/>
              <w:rPr>
                <w:sz w:val="17"/>
              </w:rPr>
            </w:pPr>
            <w:r>
              <w:rPr>
                <w:sz w:val="17"/>
              </w:rPr>
              <w:t>0</w:t>
            </w:r>
          </w:p>
        </w:tc>
        <w:tc>
          <w:tcPr>
            <w:tcW w:w="469" w:type="pct"/>
            <w:shd w:val="clear" w:color="auto" w:fill="auto"/>
            <w:tcMar>
              <w:top w:w="22" w:type="dxa"/>
              <w:left w:w="28" w:type="dxa"/>
              <w:bottom w:w="22" w:type="dxa"/>
              <w:right w:w="28" w:type="dxa"/>
            </w:tcMar>
            <w:vAlign w:val="bottom"/>
          </w:tcPr>
          <w:p w:rsidR="00CB6668" w:rsidP="00CB6668" w:rsidRDefault="00CB6668" w14:paraId="75F589B6" w14:textId="77777777">
            <w:pPr>
              <w:pStyle w:val="p-table"/>
              <w:jc w:val="right"/>
              <w:rPr>
                <w:sz w:val="17"/>
              </w:rPr>
            </w:pPr>
            <w:r>
              <w:rPr>
                <w:sz w:val="17"/>
              </w:rPr>
              <w:t>0</w:t>
            </w:r>
          </w:p>
        </w:tc>
        <w:tc>
          <w:tcPr>
            <w:tcW w:w="659" w:type="pct"/>
            <w:shd w:val="clear" w:color="auto" w:fill="auto"/>
            <w:tcMar>
              <w:top w:w="22" w:type="dxa"/>
              <w:left w:w="28" w:type="dxa"/>
              <w:bottom w:w="22" w:type="dxa"/>
              <w:right w:w="28" w:type="dxa"/>
            </w:tcMar>
            <w:vAlign w:val="bottom"/>
          </w:tcPr>
          <w:p w:rsidR="00CB6668" w:rsidP="00CB6668" w:rsidRDefault="00CB6668" w14:paraId="67B0F477" w14:textId="77777777">
            <w:pPr>
              <w:pStyle w:val="p-table"/>
              <w:jc w:val="right"/>
              <w:rPr>
                <w:sz w:val="17"/>
              </w:rPr>
            </w:pPr>
            <w:r>
              <w:rPr>
                <w:sz w:val="17"/>
              </w:rPr>
              <w:t>0</w:t>
            </w:r>
          </w:p>
        </w:tc>
      </w:tr>
      <w:tr w:rsidR="00CB6668" w:rsidTr="00CB6668" w14:paraId="5C3A539F" w14:textId="77777777">
        <w:tc>
          <w:tcPr>
            <w:tcW w:w="277" w:type="pct"/>
            <w:shd w:val="clear" w:color="auto" w:fill="auto"/>
            <w:tcMar>
              <w:top w:w="22" w:type="dxa"/>
              <w:left w:w="10" w:type="dxa"/>
              <w:bottom w:w="22" w:type="dxa"/>
              <w:right w:w="28" w:type="dxa"/>
            </w:tcMar>
          </w:tcPr>
          <w:p w:rsidR="00CB6668" w:rsidP="00CB6668" w:rsidRDefault="00CB6668" w14:paraId="1F819159" w14:textId="77777777">
            <w:pPr>
              <w:pStyle w:val="p-table"/>
              <w:rPr>
                <w:sz w:val="17"/>
              </w:rPr>
            </w:pPr>
            <w:r>
              <w:rPr>
                <w:sz w:val="17"/>
              </w:rPr>
              <w:t>18</w:t>
            </w:r>
          </w:p>
        </w:tc>
        <w:tc>
          <w:tcPr>
            <w:tcW w:w="909" w:type="pct"/>
            <w:shd w:val="clear" w:color="auto" w:fill="auto"/>
            <w:tcMar>
              <w:top w:w="22" w:type="dxa"/>
              <w:left w:w="28" w:type="dxa"/>
              <w:bottom w:w="22" w:type="dxa"/>
              <w:right w:w="28" w:type="dxa"/>
            </w:tcMar>
          </w:tcPr>
          <w:p w:rsidR="00CB6668" w:rsidP="00CB6668" w:rsidRDefault="00CB6668" w14:paraId="48B1CA24" w14:textId="77777777">
            <w:pPr>
              <w:pStyle w:val="p-table"/>
              <w:rPr>
                <w:sz w:val="17"/>
              </w:rPr>
            </w:pPr>
            <w:r>
              <w:rPr>
                <w:sz w:val="17"/>
              </w:rPr>
              <w:t>Overige uitgaven en ontvangsten</w:t>
            </w:r>
          </w:p>
        </w:tc>
        <w:tc>
          <w:tcPr>
            <w:tcW w:w="748" w:type="pct"/>
            <w:shd w:val="clear" w:color="auto" w:fill="auto"/>
            <w:tcMar>
              <w:top w:w="22" w:type="dxa"/>
              <w:left w:w="28" w:type="dxa"/>
              <w:bottom w:w="22" w:type="dxa"/>
              <w:right w:w="28" w:type="dxa"/>
            </w:tcMar>
            <w:vAlign w:val="bottom"/>
          </w:tcPr>
          <w:p w:rsidR="00CB6668" w:rsidP="00CB6668" w:rsidRDefault="00CB6668" w14:paraId="67A49381" w14:textId="77777777">
            <w:pPr>
              <w:pStyle w:val="p-table"/>
              <w:jc w:val="right"/>
              <w:rPr>
                <w:sz w:val="17"/>
              </w:rPr>
            </w:pPr>
            <w:r>
              <w:rPr>
                <w:sz w:val="17"/>
              </w:rPr>
              <w:t>0</w:t>
            </w:r>
          </w:p>
        </w:tc>
        <w:tc>
          <w:tcPr>
            <w:tcW w:w="530" w:type="pct"/>
            <w:shd w:val="clear" w:color="auto" w:fill="auto"/>
            <w:tcMar>
              <w:top w:w="22" w:type="dxa"/>
              <w:left w:w="28" w:type="dxa"/>
              <w:bottom w:w="22" w:type="dxa"/>
              <w:right w:w="28" w:type="dxa"/>
            </w:tcMar>
            <w:vAlign w:val="bottom"/>
          </w:tcPr>
          <w:p w:rsidR="00CB6668" w:rsidP="00CB6668" w:rsidRDefault="00CB6668" w14:paraId="2FBBA032" w14:textId="77777777">
            <w:pPr>
              <w:pStyle w:val="p-table"/>
              <w:jc w:val="right"/>
              <w:rPr>
                <w:sz w:val="17"/>
              </w:rPr>
            </w:pPr>
            <w:r>
              <w:rPr>
                <w:sz w:val="17"/>
              </w:rPr>
              <w:t>0</w:t>
            </w:r>
          </w:p>
        </w:tc>
        <w:tc>
          <w:tcPr>
            <w:tcW w:w="659" w:type="pct"/>
            <w:shd w:val="clear" w:color="auto" w:fill="auto"/>
            <w:tcMar>
              <w:top w:w="22" w:type="dxa"/>
              <w:left w:w="28" w:type="dxa"/>
              <w:bottom w:w="22" w:type="dxa"/>
              <w:right w:w="28" w:type="dxa"/>
            </w:tcMar>
            <w:vAlign w:val="bottom"/>
          </w:tcPr>
          <w:p w:rsidR="00CB6668" w:rsidP="00CB6668" w:rsidRDefault="00CB6668" w14:paraId="4BFD59F5" w14:textId="77777777">
            <w:pPr>
              <w:pStyle w:val="p-table"/>
              <w:jc w:val="right"/>
              <w:rPr>
                <w:sz w:val="17"/>
              </w:rPr>
            </w:pPr>
            <w:r>
              <w:rPr>
                <w:sz w:val="17"/>
              </w:rPr>
              <w:t>0</w:t>
            </w:r>
          </w:p>
        </w:tc>
        <w:tc>
          <w:tcPr>
            <w:tcW w:w="748" w:type="pct"/>
            <w:shd w:val="clear" w:color="auto" w:fill="auto"/>
            <w:tcMar>
              <w:top w:w="22" w:type="dxa"/>
              <w:left w:w="28" w:type="dxa"/>
              <w:bottom w:w="22" w:type="dxa"/>
              <w:right w:w="28" w:type="dxa"/>
            </w:tcMar>
            <w:vAlign w:val="bottom"/>
          </w:tcPr>
          <w:p w:rsidR="00CB6668" w:rsidP="00CB6668" w:rsidRDefault="00CB6668" w14:paraId="5170E3E5" w14:textId="77777777">
            <w:pPr>
              <w:pStyle w:val="p-table"/>
              <w:jc w:val="right"/>
              <w:rPr>
                <w:sz w:val="17"/>
              </w:rPr>
            </w:pPr>
            <w:r>
              <w:rPr>
                <w:sz w:val="17"/>
              </w:rPr>
              <w:t>0</w:t>
            </w:r>
          </w:p>
        </w:tc>
        <w:tc>
          <w:tcPr>
            <w:tcW w:w="469" w:type="pct"/>
            <w:shd w:val="clear" w:color="auto" w:fill="auto"/>
            <w:tcMar>
              <w:top w:w="22" w:type="dxa"/>
              <w:left w:w="28" w:type="dxa"/>
              <w:bottom w:w="22" w:type="dxa"/>
              <w:right w:w="28" w:type="dxa"/>
            </w:tcMar>
            <w:vAlign w:val="bottom"/>
          </w:tcPr>
          <w:p w:rsidR="00CB6668" w:rsidP="00CB6668" w:rsidRDefault="00CB6668" w14:paraId="72E3A480" w14:textId="77777777">
            <w:pPr>
              <w:pStyle w:val="p-table"/>
              <w:jc w:val="right"/>
              <w:rPr>
                <w:sz w:val="17"/>
              </w:rPr>
            </w:pPr>
            <w:r>
              <w:rPr>
                <w:sz w:val="17"/>
              </w:rPr>
              <w:t>0</w:t>
            </w:r>
          </w:p>
        </w:tc>
        <w:tc>
          <w:tcPr>
            <w:tcW w:w="659" w:type="pct"/>
            <w:shd w:val="clear" w:color="auto" w:fill="auto"/>
            <w:tcMar>
              <w:top w:w="22" w:type="dxa"/>
              <w:left w:w="28" w:type="dxa"/>
              <w:bottom w:w="22" w:type="dxa"/>
              <w:right w:w="28" w:type="dxa"/>
            </w:tcMar>
            <w:vAlign w:val="bottom"/>
          </w:tcPr>
          <w:p w:rsidR="00CB6668" w:rsidP="00CB6668" w:rsidRDefault="00CB6668" w14:paraId="222ABA50" w14:textId="77777777">
            <w:pPr>
              <w:pStyle w:val="p-table"/>
              <w:jc w:val="right"/>
              <w:rPr>
                <w:sz w:val="17"/>
              </w:rPr>
            </w:pPr>
            <w:r>
              <w:rPr>
                <w:sz w:val="17"/>
              </w:rPr>
              <w:t>0</w:t>
            </w:r>
          </w:p>
        </w:tc>
      </w:tr>
      <w:tr w:rsidR="00CB6668" w:rsidTr="00CB6668" w14:paraId="3B42DE74" w14:textId="77777777">
        <w:tc>
          <w:tcPr>
            <w:tcW w:w="277" w:type="pct"/>
            <w:shd w:val="clear" w:color="auto" w:fill="auto"/>
            <w:tcMar>
              <w:top w:w="22" w:type="dxa"/>
              <w:left w:w="10" w:type="dxa"/>
              <w:bottom w:w="22" w:type="dxa"/>
              <w:right w:w="28" w:type="dxa"/>
            </w:tcMar>
          </w:tcPr>
          <w:p w:rsidR="00CB6668" w:rsidP="00CB6668" w:rsidRDefault="00CB6668" w14:paraId="44A6DC52" w14:textId="77777777">
            <w:pPr>
              <w:pStyle w:val="p-table"/>
              <w:rPr>
                <w:sz w:val="17"/>
              </w:rPr>
            </w:pPr>
            <w:r>
              <w:rPr>
                <w:sz w:val="17"/>
              </w:rPr>
              <w:t>19</w:t>
            </w:r>
          </w:p>
        </w:tc>
        <w:tc>
          <w:tcPr>
            <w:tcW w:w="909" w:type="pct"/>
            <w:shd w:val="clear" w:color="auto" w:fill="auto"/>
            <w:tcMar>
              <w:top w:w="22" w:type="dxa"/>
              <w:left w:w="28" w:type="dxa"/>
              <w:bottom w:w="22" w:type="dxa"/>
              <w:right w:w="28" w:type="dxa"/>
            </w:tcMar>
          </w:tcPr>
          <w:p w:rsidR="00CB6668" w:rsidP="00CB6668" w:rsidRDefault="00CB6668" w14:paraId="505EFC4C" w14:textId="77777777">
            <w:pPr>
              <w:pStyle w:val="p-table"/>
              <w:rPr>
                <w:sz w:val="17"/>
              </w:rPr>
            </w:pPr>
            <w:r>
              <w:rPr>
                <w:sz w:val="17"/>
              </w:rPr>
              <w:t>Bijdragen andere begrotingen Rijk</w:t>
            </w:r>
          </w:p>
        </w:tc>
        <w:tc>
          <w:tcPr>
            <w:tcW w:w="748" w:type="pct"/>
            <w:shd w:val="clear" w:color="auto" w:fill="auto"/>
            <w:tcMar>
              <w:top w:w="22" w:type="dxa"/>
              <w:left w:w="28" w:type="dxa"/>
              <w:bottom w:w="22" w:type="dxa"/>
              <w:right w:w="28" w:type="dxa"/>
            </w:tcMar>
            <w:vAlign w:val="bottom"/>
          </w:tcPr>
          <w:p w:rsidR="00CB6668" w:rsidP="00CB6668" w:rsidRDefault="00CB6668" w14:paraId="6701C686" w14:textId="77777777">
            <w:pPr>
              <w:pStyle w:val="p-table"/>
              <w:jc w:val="right"/>
              <w:rPr>
                <w:sz w:val="17"/>
              </w:rPr>
            </w:pPr>
            <w:r>
              <w:rPr>
                <w:sz w:val="17"/>
              </w:rPr>
              <w:t>0</w:t>
            </w:r>
          </w:p>
        </w:tc>
        <w:tc>
          <w:tcPr>
            <w:tcW w:w="530" w:type="pct"/>
            <w:shd w:val="clear" w:color="auto" w:fill="auto"/>
            <w:tcMar>
              <w:top w:w="22" w:type="dxa"/>
              <w:left w:w="28" w:type="dxa"/>
              <w:bottom w:w="22" w:type="dxa"/>
              <w:right w:w="28" w:type="dxa"/>
            </w:tcMar>
            <w:vAlign w:val="bottom"/>
          </w:tcPr>
          <w:p w:rsidR="00CB6668" w:rsidP="00CB6668" w:rsidRDefault="00CB6668" w14:paraId="4A29F77E" w14:textId="77777777">
            <w:pPr>
              <w:pStyle w:val="p-table"/>
              <w:jc w:val="right"/>
              <w:rPr>
                <w:sz w:val="17"/>
              </w:rPr>
            </w:pPr>
            <w:r>
              <w:rPr>
                <w:sz w:val="17"/>
              </w:rPr>
              <w:t>0</w:t>
            </w:r>
          </w:p>
        </w:tc>
        <w:tc>
          <w:tcPr>
            <w:tcW w:w="659" w:type="pct"/>
            <w:shd w:val="clear" w:color="auto" w:fill="auto"/>
            <w:tcMar>
              <w:top w:w="22" w:type="dxa"/>
              <w:left w:w="28" w:type="dxa"/>
              <w:bottom w:w="22" w:type="dxa"/>
              <w:right w:w="28" w:type="dxa"/>
            </w:tcMar>
            <w:vAlign w:val="bottom"/>
          </w:tcPr>
          <w:p w:rsidR="00CB6668" w:rsidP="00CB6668" w:rsidRDefault="00CB6668" w14:paraId="47087D6E" w14:textId="77777777">
            <w:pPr>
              <w:pStyle w:val="p-table"/>
              <w:jc w:val="right"/>
              <w:rPr>
                <w:sz w:val="17"/>
              </w:rPr>
            </w:pPr>
            <w:r>
              <w:rPr>
                <w:sz w:val="17"/>
              </w:rPr>
              <w:t>8.917.805</w:t>
            </w:r>
          </w:p>
        </w:tc>
        <w:tc>
          <w:tcPr>
            <w:tcW w:w="748" w:type="pct"/>
            <w:shd w:val="clear" w:color="auto" w:fill="auto"/>
            <w:tcMar>
              <w:top w:w="22" w:type="dxa"/>
              <w:left w:w="28" w:type="dxa"/>
              <w:bottom w:w="22" w:type="dxa"/>
              <w:right w:w="28" w:type="dxa"/>
            </w:tcMar>
            <w:vAlign w:val="bottom"/>
          </w:tcPr>
          <w:p w:rsidR="00CB6668" w:rsidP="00CB6668" w:rsidRDefault="00CB6668" w14:paraId="2BC0CAF1" w14:textId="77777777">
            <w:pPr>
              <w:pStyle w:val="p-table"/>
              <w:jc w:val="right"/>
              <w:rPr>
                <w:sz w:val="17"/>
              </w:rPr>
            </w:pPr>
            <w:r>
              <w:rPr>
                <w:sz w:val="17"/>
              </w:rPr>
              <w:t>0</w:t>
            </w:r>
          </w:p>
        </w:tc>
        <w:tc>
          <w:tcPr>
            <w:tcW w:w="469" w:type="pct"/>
            <w:shd w:val="clear" w:color="auto" w:fill="auto"/>
            <w:tcMar>
              <w:top w:w="22" w:type="dxa"/>
              <w:left w:w="28" w:type="dxa"/>
              <w:bottom w:w="22" w:type="dxa"/>
              <w:right w:w="28" w:type="dxa"/>
            </w:tcMar>
            <w:vAlign w:val="bottom"/>
          </w:tcPr>
          <w:p w:rsidR="00CB6668" w:rsidP="00CB6668" w:rsidRDefault="00CB6668" w14:paraId="1E363B32" w14:textId="77777777">
            <w:pPr>
              <w:pStyle w:val="p-table"/>
              <w:jc w:val="right"/>
              <w:rPr>
                <w:sz w:val="17"/>
              </w:rPr>
            </w:pPr>
            <w:r>
              <w:rPr>
                <w:sz w:val="17"/>
              </w:rPr>
              <w:t>0</w:t>
            </w:r>
          </w:p>
        </w:tc>
        <w:tc>
          <w:tcPr>
            <w:tcW w:w="659" w:type="pct"/>
            <w:shd w:val="clear" w:color="auto" w:fill="auto"/>
            <w:tcMar>
              <w:top w:w="22" w:type="dxa"/>
              <w:left w:w="28" w:type="dxa"/>
              <w:bottom w:w="22" w:type="dxa"/>
              <w:right w:w="28" w:type="dxa"/>
            </w:tcMar>
            <w:vAlign w:val="bottom"/>
          </w:tcPr>
          <w:p w:rsidR="00CB6668" w:rsidP="00CB6668" w:rsidRDefault="00CB6668" w14:paraId="2189B71F" w14:textId="77777777">
            <w:pPr>
              <w:pStyle w:val="p-table"/>
              <w:jc w:val="right"/>
              <w:rPr>
                <w:sz w:val="17"/>
              </w:rPr>
            </w:pPr>
            <w:r>
              <w:rPr>
                <w:sz w:val="17"/>
              </w:rPr>
              <w:t>0</w:t>
            </w:r>
          </w:p>
        </w:tc>
      </w:tr>
      <w:tr w:rsidR="00CB6668" w:rsidTr="00CB6668" w14:paraId="1E254239" w14:textId="77777777">
        <w:tc>
          <w:tcPr>
            <w:tcW w:w="277" w:type="pct"/>
            <w:shd w:val="clear" w:color="auto" w:fill="auto"/>
            <w:tcMar>
              <w:top w:w="22" w:type="dxa"/>
              <w:left w:w="10" w:type="dxa"/>
              <w:bottom w:w="22" w:type="dxa"/>
              <w:right w:w="28" w:type="dxa"/>
            </w:tcMar>
          </w:tcPr>
          <w:p w:rsidR="00CB6668" w:rsidP="00CB6668" w:rsidRDefault="00CB6668" w14:paraId="0F5CD8D7" w14:textId="77777777">
            <w:pPr>
              <w:pStyle w:val="p-table"/>
              <w:rPr>
                <w:sz w:val="17"/>
              </w:rPr>
            </w:pPr>
          </w:p>
        </w:tc>
        <w:tc>
          <w:tcPr>
            <w:tcW w:w="909" w:type="pct"/>
            <w:shd w:val="clear" w:color="auto" w:fill="auto"/>
            <w:tcMar>
              <w:top w:w="22" w:type="dxa"/>
              <w:left w:w="28" w:type="dxa"/>
              <w:bottom w:w="22" w:type="dxa"/>
              <w:right w:w="28" w:type="dxa"/>
            </w:tcMar>
          </w:tcPr>
          <w:p w:rsidR="00CB6668" w:rsidP="00CB6668" w:rsidRDefault="00CB6668" w14:paraId="77F77BA1" w14:textId="77777777">
            <w:pPr>
              <w:pStyle w:val="p-table"/>
            </w:pPr>
            <w:r>
              <w:rPr>
                <w:b/>
                <w:sz w:val="17"/>
              </w:rPr>
              <w:t>Subtotaal</w:t>
            </w:r>
          </w:p>
        </w:tc>
        <w:tc>
          <w:tcPr>
            <w:tcW w:w="748" w:type="pct"/>
            <w:shd w:val="clear" w:color="auto" w:fill="auto"/>
            <w:tcMar>
              <w:top w:w="22" w:type="dxa"/>
              <w:left w:w="28" w:type="dxa"/>
              <w:bottom w:w="22" w:type="dxa"/>
              <w:right w:w="28" w:type="dxa"/>
            </w:tcMar>
            <w:vAlign w:val="bottom"/>
          </w:tcPr>
          <w:p w:rsidR="00CB6668" w:rsidP="00CB6668" w:rsidRDefault="00CB6668" w14:paraId="6C4ED349" w14:textId="77777777">
            <w:pPr>
              <w:pStyle w:val="p-table"/>
              <w:jc w:val="right"/>
            </w:pPr>
            <w:r>
              <w:rPr>
                <w:b/>
                <w:sz w:val="17"/>
              </w:rPr>
              <w:t>9.248.135</w:t>
            </w:r>
          </w:p>
        </w:tc>
        <w:tc>
          <w:tcPr>
            <w:tcW w:w="530" w:type="pct"/>
            <w:shd w:val="clear" w:color="auto" w:fill="auto"/>
            <w:tcMar>
              <w:top w:w="22" w:type="dxa"/>
              <w:left w:w="28" w:type="dxa"/>
              <w:bottom w:w="22" w:type="dxa"/>
              <w:right w:w="28" w:type="dxa"/>
            </w:tcMar>
            <w:vAlign w:val="bottom"/>
          </w:tcPr>
          <w:p w:rsidR="00CB6668" w:rsidP="00CB6668" w:rsidRDefault="00CB6668" w14:paraId="270C84D7" w14:textId="77777777">
            <w:pPr>
              <w:pStyle w:val="p-table"/>
              <w:jc w:val="right"/>
            </w:pPr>
            <w:r>
              <w:rPr>
                <w:b/>
                <w:sz w:val="17"/>
              </w:rPr>
              <w:t>9.429.121</w:t>
            </w:r>
          </w:p>
        </w:tc>
        <w:tc>
          <w:tcPr>
            <w:tcW w:w="659" w:type="pct"/>
            <w:shd w:val="clear" w:color="auto" w:fill="auto"/>
            <w:tcMar>
              <w:top w:w="22" w:type="dxa"/>
              <w:left w:w="28" w:type="dxa"/>
              <w:bottom w:w="22" w:type="dxa"/>
              <w:right w:w="28" w:type="dxa"/>
            </w:tcMar>
            <w:vAlign w:val="bottom"/>
          </w:tcPr>
          <w:p w:rsidR="00CB6668" w:rsidP="00CB6668" w:rsidRDefault="00CB6668" w14:paraId="2651068C" w14:textId="77777777">
            <w:pPr>
              <w:pStyle w:val="p-table"/>
              <w:jc w:val="right"/>
            </w:pPr>
            <w:r>
              <w:rPr>
                <w:b/>
                <w:sz w:val="17"/>
              </w:rPr>
              <w:t>9.429.121</w:t>
            </w:r>
          </w:p>
        </w:tc>
        <w:tc>
          <w:tcPr>
            <w:tcW w:w="748" w:type="pct"/>
            <w:shd w:val="clear" w:color="auto" w:fill="auto"/>
            <w:tcMar>
              <w:top w:w="22" w:type="dxa"/>
              <w:left w:w="28" w:type="dxa"/>
              <w:bottom w:w="22" w:type="dxa"/>
              <w:right w:w="28" w:type="dxa"/>
            </w:tcMar>
            <w:vAlign w:val="bottom"/>
          </w:tcPr>
          <w:p w:rsidR="00CB6668" w:rsidP="00CB6668" w:rsidRDefault="00CB6668" w14:paraId="0D74E58E" w14:textId="77777777">
            <w:pPr>
              <w:pStyle w:val="p-table"/>
              <w:jc w:val="right"/>
            </w:pPr>
            <w:r>
              <w:rPr>
                <w:b/>
                <w:sz w:val="17"/>
              </w:rPr>
              <w:t>980.405</w:t>
            </w:r>
          </w:p>
        </w:tc>
        <w:tc>
          <w:tcPr>
            <w:tcW w:w="469" w:type="pct"/>
            <w:shd w:val="clear" w:color="auto" w:fill="auto"/>
            <w:tcMar>
              <w:top w:w="22" w:type="dxa"/>
              <w:left w:w="28" w:type="dxa"/>
              <w:bottom w:w="22" w:type="dxa"/>
              <w:right w:w="28" w:type="dxa"/>
            </w:tcMar>
            <w:vAlign w:val="bottom"/>
          </w:tcPr>
          <w:p w:rsidR="00CB6668" w:rsidP="00CB6668" w:rsidRDefault="00CB6668" w14:paraId="58973101" w14:textId="77777777">
            <w:pPr>
              <w:pStyle w:val="p-table"/>
              <w:jc w:val="right"/>
            </w:pPr>
            <w:r>
              <w:rPr>
                <w:b/>
                <w:sz w:val="17"/>
              </w:rPr>
              <w:t>0</w:t>
            </w:r>
          </w:p>
        </w:tc>
        <w:tc>
          <w:tcPr>
            <w:tcW w:w="659" w:type="pct"/>
            <w:shd w:val="clear" w:color="auto" w:fill="auto"/>
            <w:tcMar>
              <w:top w:w="22" w:type="dxa"/>
              <w:left w:w="28" w:type="dxa"/>
              <w:bottom w:w="22" w:type="dxa"/>
              <w:right w:w="28" w:type="dxa"/>
            </w:tcMar>
            <w:vAlign w:val="bottom"/>
          </w:tcPr>
          <w:p w:rsidR="00CB6668" w:rsidP="00CB6668" w:rsidRDefault="00CB6668" w14:paraId="3B3FEAF3" w14:textId="77777777">
            <w:pPr>
              <w:pStyle w:val="p-table"/>
              <w:jc w:val="right"/>
            </w:pPr>
            <w:r>
              <w:rPr>
                <w:b/>
                <w:sz w:val="17"/>
              </w:rPr>
              <w:t>0</w:t>
            </w:r>
          </w:p>
        </w:tc>
      </w:tr>
      <w:tr w:rsidR="00CB6668" w:rsidTr="00CB6668" w14:paraId="0717D8AE" w14:textId="77777777">
        <w:tc>
          <w:tcPr>
            <w:tcW w:w="277" w:type="pct"/>
            <w:shd w:val="clear" w:color="auto" w:fill="auto"/>
            <w:tcMar>
              <w:top w:w="22" w:type="dxa"/>
              <w:left w:w="10" w:type="dxa"/>
              <w:bottom w:w="22" w:type="dxa"/>
              <w:right w:w="28" w:type="dxa"/>
            </w:tcMar>
          </w:tcPr>
          <w:p w:rsidR="00CB6668" w:rsidP="00CB6668" w:rsidRDefault="00CB6668" w14:paraId="166A454C" w14:textId="77777777">
            <w:pPr>
              <w:pStyle w:val="p-table"/>
              <w:rPr>
                <w:sz w:val="17"/>
              </w:rPr>
            </w:pPr>
            <w:r>
              <w:rPr>
                <w:sz w:val="17"/>
              </w:rPr>
              <w:t>18.10</w:t>
            </w:r>
          </w:p>
        </w:tc>
        <w:tc>
          <w:tcPr>
            <w:tcW w:w="909" w:type="pct"/>
            <w:shd w:val="clear" w:color="auto" w:fill="auto"/>
            <w:tcMar>
              <w:top w:w="22" w:type="dxa"/>
              <w:left w:w="28" w:type="dxa"/>
              <w:bottom w:w="22" w:type="dxa"/>
              <w:right w:w="28" w:type="dxa"/>
            </w:tcMar>
          </w:tcPr>
          <w:p w:rsidR="00CB6668" w:rsidP="00CB6668" w:rsidRDefault="00CB6668" w14:paraId="05F13E1E" w14:textId="77777777">
            <w:pPr>
              <w:pStyle w:val="p-table"/>
              <w:rPr>
                <w:sz w:val="17"/>
              </w:rPr>
            </w:pPr>
            <w:r>
              <w:rPr>
                <w:sz w:val="17"/>
              </w:rPr>
              <w:t>Voordelig eindsaldo (cumulatief) vorig jaar</w:t>
            </w:r>
          </w:p>
        </w:tc>
        <w:tc>
          <w:tcPr>
            <w:tcW w:w="748" w:type="pct"/>
            <w:shd w:val="clear" w:color="auto" w:fill="auto"/>
            <w:tcMar>
              <w:top w:w="22" w:type="dxa"/>
              <w:left w:w="28" w:type="dxa"/>
              <w:bottom w:w="22" w:type="dxa"/>
              <w:right w:w="28" w:type="dxa"/>
            </w:tcMar>
          </w:tcPr>
          <w:p w:rsidR="00CB6668" w:rsidP="00CB6668" w:rsidRDefault="00CB6668" w14:paraId="12E8BFA5" w14:textId="77777777">
            <w:pPr>
              <w:pStyle w:val="p-table"/>
              <w:rPr>
                <w:sz w:val="17"/>
              </w:rPr>
            </w:pPr>
          </w:p>
        </w:tc>
        <w:tc>
          <w:tcPr>
            <w:tcW w:w="530" w:type="pct"/>
            <w:shd w:val="clear" w:color="auto" w:fill="auto"/>
            <w:tcMar>
              <w:top w:w="22" w:type="dxa"/>
              <w:left w:w="28" w:type="dxa"/>
              <w:bottom w:w="22" w:type="dxa"/>
              <w:right w:w="28" w:type="dxa"/>
            </w:tcMar>
          </w:tcPr>
          <w:p w:rsidR="00CB6668" w:rsidP="00CB6668" w:rsidRDefault="00CB6668" w14:paraId="060CE002" w14:textId="77777777">
            <w:pPr>
              <w:pStyle w:val="p-table"/>
              <w:rPr>
                <w:sz w:val="17"/>
              </w:rPr>
            </w:pPr>
          </w:p>
        </w:tc>
        <w:tc>
          <w:tcPr>
            <w:tcW w:w="659" w:type="pct"/>
            <w:shd w:val="clear" w:color="auto" w:fill="auto"/>
            <w:tcMar>
              <w:top w:w="22" w:type="dxa"/>
              <w:left w:w="28" w:type="dxa"/>
              <w:bottom w:w="22" w:type="dxa"/>
              <w:right w:w="28" w:type="dxa"/>
            </w:tcMar>
          </w:tcPr>
          <w:p w:rsidR="00CB6668" w:rsidP="00CB6668" w:rsidRDefault="00CB6668" w14:paraId="36FA4FA5" w14:textId="77777777">
            <w:pPr>
              <w:pStyle w:val="p-table"/>
              <w:rPr>
                <w:sz w:val="17"/>
              </w:rPr>
            </w:pPr>
          </w:p>
        </w:tc>
        <w:tc>
          <w:tcPr>
            <w:tcW w:w="748" w:type="pct"/>
            <w:shd w:val="clear" w:color="auto" w:fill="auto"/>
            <w:tcMar>
              <w:top w:w="22" w:type="dxa"/>
              <w:left w:w="28" w:type="dxa"/>
              <w:bottom w:w="22" w:type="dxa"/>
              <w:right w:w="28" w:type="dxa"/>
            </w:tcMar>
          </w:tcPr>
          <w:p w:rsidR="00CB6668" w:rsidP="00CB6668" w:rsidRDefault="00CB6668" w14:paraId="3BCE3925" w14:textId="77777777">
            <w:pPr>
              <w:pStyle w:val="p-table"/>
              <w:rPr>
                <w:sz w:val="17"/>
              </w:rPr>
            </w:pPr>
          </w:p>
        </w:tc>
        <w:tc>
          <w:tcPr>
            <w:tcW w:w="469" w:type="pct"/>
            <w:shd w:val="clear" w:color="auto" w:fill="auto"/>
            <w:tcMar>
              <w:top w:w="22" w:type="dxa"/>
              <w:left w:w="28" w:type="dxa"/>
              <w:bottom w:w="22" w:type="dxa"/>
              <w:right w:w="28" w:type="dxa"/>
            </w:tcMar>
          </w:tcPr>
          <w:p w:rsidR="00CB6668" w:rsidP="00CB6668" w:rsidRDefault="00CB6668" w14:paraId="71730FDD" w14:textId="77777777">
            <w:pPr>
              <w:pStyle w:val="p-table"/>
              <w:rPr>
                <w:sz w:val="17"/>
              </w:rPr>
            </w:pPr>
          </w:p>
        </w:tc>
        <w:tc>
          <w:tcPr>
            <w:tcW w:w="659" w:type="pct"/>
            <w:shd w:val="clear" w:color="auto" w:fill="auto"/>
            <w:tcMar>
              <w:top w:w="22" w:type="dxa"/>
              <w:left w:w="28" w:type="dxa"/>
              <w:bottom w:w="22" w:type="dxa"/>
              <w:right w:w="28" w:type="dxa"/>
            </w:tcMar>
          </w:tcPr>
          <w:p w:rsidR="00CB6668" w:rsidP="00CB6668" w:rsidRDefault="00CB6668" w14:paraId="66347FCD" w14:textId="77777777">
            <w:pPr>
              <w:pStyle w:val="p-table"/>
              <w:rPr>
                <w:sz w:val="17"/>
              </w:rPr>
            </w:pPr>
          </w:p>
        </w:tc>
      </w:tr>
      <w:tr w:rsidR="00CB6668" w:rsidTr="00CB6668" w14:paraId="72A30909" w14:textId="77777777">
        <w:tc>
          <w:tcPr>
            <w:tcW w:w="277" w:type="pct"/>
            <w:shd w:val="clear" w:color="auto" w:fill="auto"/>
            <w:tcMar>
              <w:top w:w="22" w:type="dxa"/>
              <w:left w:w="10" w:type="dxa"/>
              <w:bottom w:w="22" w:type="dxa"/>
              <w:right w:w="28" w:type="dxa"/>
            </w:tcMar>
          </w:tcPr>
          <w:p w:rsidR="00CB6668" w:rsidP="00CB6668" w:rsidRDefault="00CB6668" w14:paraId="38E052B1" w14:textId="77777777">
            <w:pPr>
              <w:pStyle w:val="p-table"/>
              <w:rPr>
                <w:sz w:val="17"/>
              </w:rPr>
            </w:pPr>
          </w:p>
        </w:tc>
        <w:tc>
          <w:tcPr>
            <w:tcW w:w="909" w:type="pct"/>
            <w:shd w:val="clear" w:color="auto" w:fill="auto"/>
            <w:tcMar>
              <w:top w:w="22" w:type="dxa"/>
              <w:left w:w="28" w:type="dxa"/>
              <w:bottom w:w="22" w:type="dxa"/>
              <w:right w:w="28" w:type="dxa"/>
            </w:tcMar>
          </w:tcPr>
          <w:p w:rsidR="00CB6668" w:rsidP="00CB6668" w:rsidRDefault="00CB6668" w14:paraId="10D13515" w14:textId="77777777">
            <w:pPr>
              <w:pStyle w:val="p-table"/>
            </w:pPr>
            <w:r>
              <w:rPr>
                <w:b/>
                <w:sz w:val="17"/>
              </w:rPr>
              <w:t>Subtotaal</w:t>
            </w:r>
          </w:p>
        </w:tc>
        <w:tc>
          <w:tcPr>
            <w:tcW w:w="748" w:type="pct"/>
            <w:shd w:val="clear" w:color="auto" w:fill="auto"/>
            <w:tcMar>
              <w:top w:w="22" w:type="dxa"/>
              <w:left w:w="28" w:type="dxa"/>
              <w:bottom w:w="22" w:type="dxa"/>
              <w:right w:w="28" w:type="dxa"/>
            </w:tcMar>
            <w:vAlign w:val="bottom"/>
          </w:tcPr>
          <w:p w:rsidR="00CB6668" w:rsidP="00CB6668" w:rsidRDefault="00CB6668" w14:paraId="44EE25DE" w14:textId="77777777">
            <w:pPr>
              <w:pStyle w:val="p-table"/>
              <w:jc w:val="right"/>
            </w:pPr>
            <w:r>
              <w:rPr>
                <w:b/>
                <w:sz w:val="17"/>
              </w:rPr>
              <w:t>9.248.135</w:t>
            </w:r>
          </w:p>
        </w:tc>
        <w:tc>
          <w:tcPr>
            <w:tcW w:w="530" w:type="pct"/>
            <w:shd w:val="clear" w:color="auto" w:fill="auto"/>
            <w:tcMar>
              <w:top w:w="22" w:type="dxa"/>
              <w:left w:w="28" w:type="dxa"/>
              <w:bottom w:w="22" w:type="dxa"/>
              <w:right w:w="28" w:type="dxa"/>
            </w:tcMar>
            <w:vAlign w:val="bottom"/>
          </w:tcPr>
          <w:p w:rsidR="00CB6668" w:rsidP="00CB6668" w:rsidRDefault="00CB6668" w14:paraId="7F2F9B2C" w14:textId="77777777">
            <w:pPr>
              <w:pStyle w:val="p-table"/>
              <w:jc w:val="right"/>
            </w:pPr>
            <w:r>
              <w:rPr>
                <w:b/>
                <w:sz w:val="17"/>
              </w:rPr>
              <w:t>9.429.121</w:t>
            </w:r>
          </w:p>
        </w:tc>
        <w:tc>
          <w:tcPr>
            <w:tcW w:w="659" w:type="pct"/>
            <w:shd w:val="clear" w:color="auto" w:fill="auto"/>
            <w:tcMar>
              <w:top w:w="22" w:type="dxa"/>
              <w:left w:w="28" w:type="dxa"/>
              <w:bottom w:w="22" w:type="dxa"/>
              <w:right w:w="28" w:type="dxa"/>
            </w:tcMar>
            <w:vAlign w:val="bottom"/>
          </w:tcPr>
          <w:p w:rsidR="00CB6668" w:rsidP="00CB6668" w:rsidRDefault="00CB6668" w14:paraId="6060EBE8" w14:textId="77777777">
            <w:pPr>
              <w:pStyle w:val="p-table"/>
              <w:jc w:val="right"/>
            </w:pPr>
            <w:r>
              <w:rPr>
                <w:b/>
                <w:sz w:val="17"/>
              </w:rPr>
              <w:t>9.429.121</w:t>
            </w:r>
          </w:p>
        </w:tc>
        <w:tc>
          <w:tcPr>
            <w:tcW w:w="748" w:type="pct"/>
            <w:shd w:val="clear" w:color="auto" w:fill="auto"/>
            <w:tcMar>
              <w:top w:w="22" w:type="dxa"/>
              <w:left w:w="28" w:type="dxa"/>
              <w:bottom w:w="22" w:type="dxa"/>
              <w:right w:w="28" w:type="dxa"/>
            </w:tcMar>
            <w:vAlign w:val="bottom"/>
          </w:tcPr>
          <w:p w:rsidR="00CB6668" w:rsidP="00CB6668" w:rsidRDefault="00CB6668" w14:paraId="0147061E" w14:textId="77777777">
            <w:pPr>
              <w:pStyle w:val="p-table"/>
              <w:jc w:val="right"/>
            </w:pPr>
            <w:r>
              <w:rPr>
                <w:b/>
                <w:sz w:val="17"/>
              </w:rPr>
              <w:t>980.405</w:t>
            </w:r>
          </w:p>
        </w:tc>
        <w:tc>
          <w:tcPr>
            <w:tcW w:w="469" w:type="pct"/>
            <w:shd w:val="clear" w:color="auto" w:fill="auto"/>
            <w:tcMar>
              <w:top w:w="22" w:type="dxa"/>
              <w:left w:w="28" w:type="dxa"/>
              <w:bottom w:w="22" w:type="dxa"/>
              <w:right w:w="28" w:type="dxa"/>
            </w:tcMar>
            <w:vAlign w:val="bottom"/>
          </w:tcPr>
          <w:p w:rsidR="00CB6668" w:rsidP="00CB6668" w:rsidRDefault="00CB6668" w14:paraId="1CC2506B" w14:textId="77777777">
            <w:pPr>
              <w:pStyle w:val="p-table"/>
              <w:jc w:val="right"/>
            </w:pPr>
            <w:r>
              <w:rPr>
                <w:b/>
                <w:sz w:val="17"/>
              </w:rPr>
              <w:t>0</w:t>
            </w:r>
          </w:p>
        </w:tc>
        <w:tc>
          <w:tcPr>
            <w:tcW w:w="659" w:type="pct"/>
            <w:shd w:val="clear" w:color="auto" w:fill="auto"/>
            <w:tcMar>
              <w:top w:w="22" w:type="dxa"/>
              <w:left w:w="28" w:type="dxa"/>
              <w:bottom w:w="22" w:type="dxa"/>
              <w:right w:w="28" w:type="dxa"/>
            </w:tcMar>
            <w:vAlign w:val="bottom"/>
          </w:tcPr>
          <w:p w:rsidR="00CB6668" w:rsidP="00CB6668" w:rsidRDefault="00CB6668" w14:paraId="6593D018" w14:textId="77777777">
            <w:pPr>
              <w:pStyle w:val="p-table"/>
              <w:jc w:val="right"/>
            </w:pPr>
            <w:r>
              <w:rPr>
                <w:b/>
                <w:sz w:val="17"/>
              </w:rPr>
              <w:t>0</w:t>
            </w:r>
          </w:p>
        </w:tc>
      </w:tr>
      <w:tr w:rsidR="00CB6668" w:rsidTr="00CB6668" w14:paraId="326ABABA" w14:textId="77777777">
        <w:tc>
          <w:tcPr>
            <w:tcW w:w="277" w:type="pct"/>
            <w:shd w:val="clear" w:color="auto" w:fill="auto"/>
            <w:tcMar>
              <w:top w:w="22" w:type="dxa"/>
              <w:left w:w="10" w:type="dxa"/>
              <w:bottom w:w="22" w:type="dxa"/>
              <w:right w:w="28" w:type="dxa"/>
            </w:tcMar>
          </w:tcPr>
          <w:p w:rsidR="00CB6668" w:rsidP="00CB6668" w:rsidRDefault="00CB6668" w14:paraId="739E9E65" w14:textId="77777777">
            <w:pPr>
              <w:pStyle w:val="p-table"/>
              <w:rPr>
                <w:sz w:val="17"/>
              </w:rPr>
            </w:pPr>
          </w:p>
        </w:tc>
        <w:tc>
          <w:tcPr>
            <w:tcW w:w="909" w:type="pct"/>
            <w:shd w:val="clear" w:color="auto" w:fill="auto"/>
            <w:tcMar>
              <w:top w:w="22" w:type="dxa"/>
              <w:left w:w="28" w:type="dxa"/>
              <w:bottom w:w="22" w:type="dxa"/>
              <w:right w:w="28" w:type="dxa"/>
            </w:tcMar>
          </w:tcPr>
          <w:p w:rsidR="00CB6668" w:rsidP="00CB6668" w:rsidRDefault="00CB6668" w14:paraId="272F79E9" w14:textId="77777777">
            <w:pPr>
              <w:pStyle w:val="p-table"/>
              <w:rPr>
                <w:sz w:val="17"/>
              </w:rPr>
            </w:pPr>
            <w:r>
              <w:rPr>
                <w:sz w:val="17"/>
              </w:rPr>
              <w:t>Voordelig eindsaldo (cumulatief) huidig jaar</w:t>
            </w:r>
          </w:p>
        </w:tc>
        <w:tc>
          <w:tcPr>
            <w:tcW w:w="748" w:type="pct"/>
            <w:shd w:val="clear" w:color="auto" w:fill="auto"/>
            <w:tcMar>
              <w:top w:w="22" w:type="dxa"/>
              <w:left w:w="28" w:type="dxa"/>
              <w:bottom w:w="22" w:type="dxa"/>
              <w:right w:w="28" w:type="dxa"/>
            </w:tcMar>
          </w:tcPr>
          <w:p w:rsidR="00CB6668" w:rsidP="00CB6668" w:rsidRDefault="00CB6668" w14:paraId="6364A4CD" w14:textId="77777777">
            <w:pPr>
              <w:pStyle w:val="p-table"/>
              <w:rPr>
                <w:sz w:val="17"/>
              </w:rPr>
            </w:pPr>
          </w:p>
        </w:tc>
        <w:tc>
          <w:tcPr>
            <w:tcW w:w="530" w:type="pct"/>
            <w:shd w:val="clear" w:color="auto" w:fill="auto"/>
            <w:tcMar>
              <w:top w:w="22" w:type="dxa"/>
              <w:left w:w="28" w:type="dxa"/>
              <w:bottom w:w="22" w:type="dxa"/>
              <w:right w:w="28" w:type="dxa"/>
            </w:tcMar>
          </w:tcPr>
          <w:p w:rsidR="00CB6668" w:rsidP="00CB6668" w:rsidRDefault="00CB6668" w14:paraId="27133F6A" w14:textId="77777777">
            <w:pPr>
              <w:pStyle w:val="p-table"/>
              <w:rPr>
                <w:sz w:val="17"/>
              </w:rPr>
            </w:pPr>
          </w:p>
        </w:tc>
        <w:tc>
          <w:tcPr>
            <w:tcW w:w="659" w:type="pct"/>
            <w:shd w:val="clear" w:color="auto" w:fill="auto"/>
            <w:tcMar>
              <w:top w:w="22" w:type="dxa"/>
              <w:left w:w="28" w:type="dxa"/>
              <w:bottom w:w="22" w:type="dxa"/>
              <w:right w:w="28" w:type="dxa"/>
            </w:tcMar>
          </w:tcPr>
          <w:p w:rsidR="00CB6668" w:rsidP="00CB6668" w:rsidRDefault="00CB6668" w14:paraId="28749169" w14:textId="77777777">
            <w:pPr>
              <w:pStyle w:val="p-table"/>
              <w:rPr>
                <w:sz w:val="17"/>
              </w:rPr>
            </w:pPr>
          </w:p>
        </w:tc>
        <w:tc>
          <w:tcPr>
            <w:tcW w:w="748" w:type="pct"/>
            <w:shd w:val="clear" w:color="auto" w:fill="auto"/>
            <w:tcMar>
              <w:top w:w="22" w:type="dxa"/>
              <w:left w:w="28" w:type="dxa"/>
              <w:bottom w:w="22" w:type="dxa"/>
              <w:right w:w="28" w:type="dxa"/>
            </w:tcMar>
          </w:tcPr>
          <w:p w:rsidR="00CB6668" w:rsidP="00CB6668" w:rsidRDefault="00CB6668" w14:paraId="1AFB4310" w14:textId="77777777">
            <w:pPr>
              <w:pStyle w:val="p-table"/>
              <w:rPr>
                <w:sz w:val="17"/>
              </w:rPr>
            </w:pPr>
          </w:p>
        </w:tc>
        <w:tc>
          <w:tcPr>
            <w:tcW w:w="469" w:type="pct"/>
            <w:shd w:val="clear" w:color="auto" w:fill="auto"/>
            <w:tcMar>
              <w:top w:w="22" w:type="dxa"/>
              <w:left w:w="28" w:type="dxa"/>
              <w:bottom w:w="22" w:type="dxa"/>
              <w:right w:w="28" w:type="dxa"/>
            </w:tcMar>
          </w:tcPr>
          <w:p w:rsidR="00CB6668" w:rsidP="00CB6668" w:rsidRDefault="00CB6668" w14:paraId="34486F17" w14:textId="77777777">
            <w:pPr>
              <w:pStyle w:val="p-table"/>
              <w:rPr>
                <w:sz w:val="17"/>
              </w:rPr>
            </w:pPr>
          </w:p>
        </w:tc>
        <w:tc>
          <w:tcPr>
            <w:tcW w:w="659" w:type="pct"/>
            <w:shd w:val="clear" w:color="auto" w:fill="auto"/>
            <w:tcMar>
              <w:top w:w="22" w:type="dxa"/>
              <w:left w:w="28" w:type="dxa"/>
              <w:bottom w:w="22" w:type="dxa"/>
              <w:right w:w="28" w:type="dxa"/>
            </w:tcMar>
          </w:tcPr>
          <w:p w:rsidR="00CB6668" w:rsidP="00CB6668" w:rsidRDefault="00CB6668" w14:paraId="59DA9A9F" w14:textId="77777777">
            <w:pPr>
              <w:pStyle w:val="p-table"/>
              <w:rPr>
                <w:sz w:val="17"/>
              </w:rPr>
            </w:pPr>
          </w:p>
        </w:tc>
      </w:tr>
      <w:tr w:rsidR="00CB6668" w:rsidTr="00CB6668" w14:paraId="28DED70C" w14:textId="77777777">
        <w:tc>
          <w:tcPr>
            <w:tcW w:w="277" w:type="pct"/>
            <w:tcBorders>
              <w:bottom w:val="single" w:color="009EE0" w:sz="2" w:space="0"/>
            </w:tcBorders>
            <w:shd w:val="clear" w:color="auto" w:fill="auto"/>
            <w:tcMar>
              <w:top w:w="22" w:type="dxa"/>
              <w:left w:w="10" w:type="dxa"/>
              <w:bottom w:w="22" w:type="dxa"/>
              <w:right w:w="28" w:type="dxa"/>
            </w:tcMar>
          </w:tcPr>
          <w:p w:rsidR="00CB6668" w:rsidP="00CB6668" w:rsidRDefault="00CB6668" w14:paraId="438A39CD" w14:textId="77777777">
            <w:pPr>
              <w:pStyle w:val="p-table"/>
              <w:rPr>
                <w:sz w:val="17"/>
              </w:rPr>
            </w:pPr>
          </w:p>
        </w:tc>
        <w:tc>
          <w:tcPr>
            <w:tcW w:w="909" w:type="pct"/>
            <w:tcBorders>
              <w:bottom w:val="single" w:color="009EE0" w:sz="2" w:space="0"/>
            </w:tcBorders>
            <w:shd w:val="clear" w:color="auto" w:fill="auto"/>
            <w:tcMar>
              <w:top w:w="22" w:type="dxa"/>
              <w:left w:w="28" w:type="dxa"/>
              <w:bottom w:w="22" w:type="dxa"/>
              <w:right w:w="28" w:type="dxa"/>
            </w:tcMar>
          </w:tcPr>
          <w:p w:rsidR="00CB6668" w:rsidP="00CB6668" w:rsidRDefault="00CB6668" w14:paraId="28D84B36" w14:textId="77777777">
            <w:pPr>
              <w:pStyle w:val="p-table"/>
            </w:pPr>
            <w:r>
              <w:rPr>
                <w:b/>
                <w:sz w:val="17"/>
              </w:rPr>
              <w:t>Totaal</w:t>
            </w:r>
          </w:p>
        </w:tc>
        <w:tc>
          <w:tcPr>
            <w:tcW w:w="748" w:type="pct"/>
            <w:tcBorders>
              <w:bottom w:val="single" w:color="009EE0" w:sz="2" w:space="0"/>
            </w:tcBorders>
            <w:shd w:val="clear" w:color="auto" w:fill="auto"/>
            <w:tcMar>
              <w:top w:w="22" w:type="dxa"/>
              <w:left w:w="28" w:type="dxa"/>
              <w:bottom w:w="22" w:type="dxa"/>
              <w:right w:w="28" w:type="dxa"/>
            </w:tcMar>
            <w:vAlign w:val="bottom"/>
          </w:tcPr>
          <w:p w:rsidR="00CB6668" w:rsidP="00CB6668" w:rsidRDefault="00CB6668" w14:paraId="0CCA1303" w14:textId="77777777">
            <w:pPr>
              <w:pStyle w:val="p-table"/>
              <w:jc w:val="right"/>
            </w:pPr>
            <w:r>
              <w:rPr>
                <w:b/>
                <w:sz w:val="17"/>
              </w:rPr>
              <w:t>9.248.135</w:t>
            </w:r>
          </w:p>
        </w:tc>
        <w:tc>
          <w:tcPr>
            <w:tcW w:w="530" w:type="pct"/>
            <w:tcBorders>
              <w:bottom w:val="single" w:color="009EE0" w:sz="2" w:space="0"/>
            </w:tcBorders>
            <w:shd w:val="clear" w:color="auto" w:fill="auto"/>
            <w:tcMar>
              <w:top w:w="22" w:type="dxa"/>
              <w:left w:w="28" w:type="dxa"/>
              <w:bottom w:w="22" w:type="dxa"/>
              <w:right w:w="28" w:type="dxa"/>
            </w:tcMar>
            <w:vAlign w:val="bottom"/>
          </w:tcPr>
          <w:p w:rsidR="00CB6668" w:rsidP="00CB6668" w:rsidRDefault="00CB6668" w14:paraId="3F481D00" w14:textId="77777777">
            <w:pPr>
              <w:pStyle w:val="p-table"/>
              <w:jc w:val="right"/>
            </w:pPr>
            <w:r>
              <w:rPr>
                <w:b/>
                <w:sz w:val="17"/>
              </w:rPr>
              <w:t>9.429.121</w:t>
            </w:r>
          </w:p>
        </w:tc>
        <w:tc>
          <w:tcPr>
            <w:tcW w:w="659" w:type="pct"/>
            <w:tcBorders>
              <w:bottom w:val="single" w:color="009EE0" w:sz="2" w:space="0"/>
            </w:tcBorders>
            <w:shd w:val="clear" w:color="auto" w:fill="auto"/>
            <w:tcMar>
              <w:top w:w="22" w:type="dxa"/>
              <w:left w:w="28" w:type="dxa"/>
              <w:bottom w:w="22" w:type="dxa"/>
              <w:right w:w="28" w:type="dxa"/>
            </w:tcMar>
            <w:vAlign w:val="bottom"/>
          </w:tcPr>
          <w:p w:rsidR="00CB6668" w:rsidP="00CB6668" w:rsidRDefault="00CB6668" w14:paraId="4C8D6AB5" w14:textId="77777777">
            <w:pPr>
              <w:pStyle w:val="p-table"/>
              <w:jc w:val="right"/>
            </w:pPr>
            <w:r>
              <w:rPr>
                <w:b/>
                <w:sz w:val="17"/>
              </w:rPr>
              <w:t>9.429.121</w:t>
            </w:r>
          </w:p>
        </w:tc>
        <w:tc>
          <w:tcPr>
            <w:tcW w:w="748" w:type="pct"/>
            <w:tcBorders>
              <w:bottom w:val="single" w:color="009EE0" w:sz="2" w:space="0"/>
            </w:tcBorders>
            <w:shd w:val="clear" w:color="auto" w:fill="auto"/>
            <w:tcMar>
              <w:top w:w="22" w:type="dxa"/>
              <w:left w:w="28" w:type="dxa"/>
              <w:bottom w:w="22" w:type="dxa"/>
              <w:right w:w="28" w:type="dxa"/>
            </w:tcMar>
            <w:vAlign w:val="bottom"/>
          </w:tcPr>
          <w:p w:rsidR="00CB6668" w:rsidP="00CB6668" w:rsidRDefault="00CB6668" w14:paraId="68437632" w14:textId="77777777">
            <w:pPr>
              <w:pStyle w:val="p-table"/>
              <w:jc w:val="right"/>
            </w:pPr>
            <w:r>
              <w:rPr>
                <w:b/>
                <w:sz w:val="17"/>
              </w:rPr>
              <w:t>980.405</w:t>
            </w:r>
          </w:p>
        </w:tc>
        <w:tc>
          <w:tcPr>
            <w:tcW w:w="469" w:type="pct"/>
            <w:tcBorders>
              <w:bottom w:val="single" w:color="009EE0" w:sz="2" w:space="0"/>
            </w:tcBorders>
            <w:shd w:val="clear" w:color="auto" w:fill="auto"/>
            <w:tcMar>
              <w:top w:w="22" w:type="dxa"/>
              <w:left w:w="28" w:type="dxa"/>
              <w:bottom w:w="22" w:type="dxa"/>
              <w:right w:w="28" w:type="dxa"/>
            </w:tcMar>
            <w:vAlign w:val="bottom"/>
          </w:tcPr>
          <w:p w:rsidR="00CB6668" w:rsidP="00CB6668" w:rsidRDefault="00CB6668" w14:paraId="7F1A5133" w14:textId="77777777">
            <w:pPr>
              <w:pStyle w:val="p-table"/>
              <w:jc w:val="right"/>
            </w:pPr>
            <w:r>
              <w:rPr>
                <w:b/>
                <w:sz w:val="17"/>
              </w:rPr>
              <w:t>0</w:t>
            </w:r>
          </w:p>
        </w:tc>
        <w:tc>
          <w:tcPr>
            <w:tcW w:w="659" w:type="pct"/>
            <w:tcBorders>
              <w:bottom w:val="single" w:color="009EE0" w:sz="2" w:space="0"/>
            </w:tcBorders>
            <w:shd w:val="clear" w:color="auto" w:fill="auto"/>
            <w:tcMar>
              <w:top w:w="22" w:type="dxa"/>
              <w:left w:w="28" w:type="dxa"/>
              <w:bottom w:w="22" w:type="dxa"/>
              <w:right w:w="28" w:type="dxa"/>
            </w:tcMar>
            <w:vAlign w:val="bottom"/>
          </w:tcPr>
          <w:p w:rsidR="00CB6668" w:rsidP="00CB6668" w:rsidRDefault="00CB6668" w14:paraId="2FAA0717" w14:textId="77777777">
            <w:pPr>
              <w:pStyle w:val="p-table"/>
              <w:jc w:val="right"/>
            </w:pPr>
            <w:r>
              <w:rPr>
                <w:b/>
                <w:sz w:val="17"/>
              </w:rPr>
              <w:t>0</w:t>
            </w:r>
          </w:p>
        </w:tc>
      </w:tr>
    </w:tbl>
    <w:p w:rsidR="00CB6668" w:rsidP="00CB6668" w:rsidRDefault="00CB6668" w14:paraId="7E163A9B" w14:textId="77777777">
      <w:pPr>
        <w:tabs>
          <w:tab w:val="left" w:pos="284"/>
          <w:tab w:val="left" w:pos="567"/>
          <w:tab w:val="left" w:pos="851"/>
        </w:tabs>
        <w:ind w:right="-2"/>
        <w:rPr>
          <w:rFonts w:ascii="Times New Roman" w:hAnsi="Times New Roman"/>
          <w:sz w:val="24"/>
          <w:szCs w:val="20"/>
        </w:rPr>
      </w:pPr>
    </w:p>
    <w:p w:rsidR="00CB6668" w:rsidP="00CB6668" w:rsidRDefault="00CB6668" w14:paraId="06B22956" w14:textId="77777777">
      <w:pPr>
        <w:tabs>
          <w:tab w:val="left" w:pos="284"/>
          <w:tab w:val="left" w:pos="567"/>
          <w:tab w:val="left" w:pos="851"/>
        </w:tabs>
        <w:ind w:right="-2"/>
        <w:rPr>
          <w:rFonts w:ascii="Times New Roman" w:hAnsi="Times New Roman"/>
          <w:sz w:val="24"/>
          <w:szCs w:val="20"/>
        </w:rPr>
      </w:pPr>
    </w:p>
    <w:p w:rsidR="00CB6668" w:rsidP="00CB6668" w:rsidRDefault="00CB6668" w14:paraId="229C9F79" w14:textId="77777777">
      <w:pPr>
        <w:tabs>
          <w:tab w:val="left" w:pos="284"/>
          <w:tab w:val="left" w:pos="567"/>
          <w:tab w:val="left" w:pos="851"/>
        </w:tabs>
        <w:ind w:right="-2"/>
        <w:rPr>
          <w:rFonts w:ascii="Times New Roman" w:hAnsi="Times New Roman"/>
          <w:sz w:val="24"/>
          <w:szCs w:val="20"/>
        </w:rPr>
      </w:pPr>
    </w:p>
    <w:p w:rsidR="00CB6668" w:rsidP="00CB6668" w:rsidRDefault="00CB6668" w14:paraId="7A3ED57D" w14:textId="77777777">
      <w:pPr>
        <w:tabs>
          <w:tab w:val="left" w:pos="284"/>
          <w:tab w:val="left" w:pos="567"/>
          <w:tab w:val="left" w:pos="851"/>
        </w:tabs>
        <w:ind w:right="-2"/>
        <w:rPr>
          <w:rFonts w:ascii="Times New Roman" w:hAnsi="Times New Roman"/>
          <w:sz w:val="24"/>
          <w:szCs w:val="20"/>
        </w:rPr>
      </w:pPr>
    </w:p>
    <w:p w:rsidR="00CB6668" w:rsidP="00CB6668" w:rsidRDefault="00CB6668" w14:paraId="76B8711F" w14:textId="77777777">
      <w:pPr>
        <w:tabs>
          <w:tab w:val="left" w:pos="284"/>
          <w:tab w:val="left" w:pos="567"/>
          <w:tab w:val="left" w:pos="851"/>
        </w:tabs>
        <w:ind w:right="-2"/>
        <w:rPr>
          <w:rFonts w:ascii="Times New Roman" w:hAnsi="Times New Roman"/>
          <w:sz w:val="24"/>
          <w:szCs w:val="20"/>
        </w:rPr>
      </w:pPr>
    </w:p>
    <w:p w:rsidR="00CB6668" w:rsidP="00CB6668" w:rsidRDefault="00CB6668" w14:paraId="3F5A7B87" w14:textId="77777777">
      <w:pPr>
        <w:tabs>
          <w:tab w:val="left" w:pos="284"/>
          <w:tab w:val="left" w:pos="567"/>
          <w:tab w:val="left" w:pos="851"/>
        </w:tabs>
        <w:ind w:right="-2"/>
        <w:rPr>
          <w:rFonts w:ascii="Times New Roman" w:hAnsi="Times New Roman"/>
          <w:sz w:val="24"/>
          <w:szCs w:val="20"/>
        </w:rPr>
      </w:pPr>
    </w:p>
    <w:p w:rsidR="00CB6668" w:rsidP="00CB6668" w:rsidRDefault="00CB6668" w14:paraId="2F522348" w14:textId="77777777">
      <w:pPr>
        <w:tabs>
          <w:tab w:val="left" w:pos="284"/>
          <w:tab w:val="left" w:pos="567"/>
          <w:tab w:val="left" w:pos="851"/>
        </w:tabs>
        <w:ind w:right="-2"/>
        <w:rPr>
          <w:rFonts w:ascii="Times New Roman" w:hAnsi="Times New Roman"/>
          <w:sz w:val="24"/>
          <w:szCs w:val="20"/>
        </w:rPr>
      </w:pPr>
    </w:p>
    <w:p w:rsidR="00CB6668" w:rsidP="00CB6668" w:rsidRDefault="00CB6668" w14:paraId="5DD1147D" w14:textId="77777777">
      <w:pPr>
        <w:tabs>
          <w:tab w:val="left" w:pos="284"/>
          <w:tab w:val="left" w:pos="567"/>
          <w:tab w:val="left" w:pos="851"/>
        </w:tabs>
        <w:ind w:right="-2"/>
        <w:rPr>
          <w:rFonts w:ascii="Times New Roman" w:hAnsi="Times New Roman"/>
          <w:sz w:val="24"/>
          <w:szCs w:val="20"/>
        </w:rPr>
      </w:pPr>
    </w:p>
    <w:p w:rsidR="00CB6668" w:rsidP="00CB6668" w:rsidRDefault="00CB6668" w14:paraId="17803394" w14:textId="77777777">
      <w:pPr>
        <w:tabs>
          <w:tab w:val="left" w:pos="284"/>
          <w:tab w:val="left" w:pos="567"/>
          <w:tab w:val="left" w:pos="851"/>
        </w:tabs>
        <w:ind w:right="-2"/>
        <w:rPr>
          <w:rFonts w:ascii="Times New Roman" w:hAnsi="Times New Roman"/>
          <w:sz w:val="24"/>
          <w:szCs w:val="20"/>
        </w:rPr>
      </w:pPr>
    </w:p>
    <w:p w:rsidR="00CB6668" w:rsidP="00CB6668" w:rsidRDefault="00CB6668" w14:paraId="4CBB8A12" w14:textId="77777777">
      <w:pPr>
        <w:tabs>
          <w:tab w:val="left" w:pos="284"/>
          <w:tab w:val="left" w:pos="567"/>
          <w:tab w:val="left" w:pos="851"/>
        </w:tabs>
        <w:ind w:right="-2"/>
        <w:rPr>
          <w:rFonts w:ascii="Times New Roman" w:hAnsi="Times New Roman"/>
          <w:sz w:val="24"/>
          <w:szCs w:val="20"/>
        </w:rPr>
      </w:pPr>
    </w:p>
    <w:p w:rsidR="00CB6668" w:rsidP="00CB6668" w:rsidRDefault="00CB6668" w14:paraId="6A53FDC5" w14:textId="77777777">
      <w:pPr>
        <w:tabs>
          <w:tab w:val="left" w:pos="284"/>
          <w:tab w:val="left" w:pos="567"/>
          <w:tab w:val="left" w:pos="851"/>
        </w:tabs>
        <w:ind w:right="-2"/>
        <w:rPr>
          <w:rFonts w:ascii="Times New Roman" w:hAnsi="Times New Roman"/>
          <w:sz w:val="24"/>
          <w:szCs w:val="20"/>
        </w:rPr>
      </w:pPr>
    </w:p>
    <w:p w:rsidR="00CB6668" w:rsidP="00CB6668" w:rsidRDefault="00CB6668" w14:paraId="04D9C982" w14:textId="77777777">
      <w:pPr>
        <w:tabs>
          <w:tab w:val="left" w:pos="284"/>
          <w:tab w:val="left" w:pos="567"/>
          <w:tab w:val="left" w:pos="851"/>
        </w:tabs>
        <w:ind w:right="-2"/>
        <w:rPr>
          <w:rFonts w:ascii="Times New Roman" w:hAnsi="Times New Roman"/>
          <w:sz w:val="24"/>
          <w:szCs w:val="20"/>
        </w:rPr>
      </w:pPr>
    </w:p>
    <w:p w:rsidR="00CB6668" w:rsidP="00CB6668" w:rsidRDefault="00CB6668" w14:paraId="4C554EF5" w14:textId="77777777">
      <w:pPr>
        <w:tabs>
          <w:tab w:val="left" w:pos="284"/>
          <w:tab w:val="left" w:pos="567"/>
          <w:tab w:val="left" w:pos="851"/>
        </w:tabs>
        <w:ind w:right="-2"/>
        <w:rPr>
          <w:rFonts w:ascii="Times New Roman" w:hAnsi="Times New Roman"/>
          <w:sz w:val="24"/>
          <w:szCs w:val="20"/>
        </w:rPr>
      </w:pPr>
    </w:p>
    <w:p w:rsidR="00CB6668" w:rsidP="00CB6668" w:rsidRDefault="00CB6668" w14:paraId="757A62FB" w14:textId="77777777">
      <w:pPr>
        <w:tabs>
          <w:tab w:val="left" w:pos="284"/>
          <w:tab w:val="left" w:pos="567"/>
          <w:tab w:val="left" w:pos="851"/>
        </w:tabs>
        <w:ind w:right="-2"/>
        <w:rPr>
          <w:rFonts w:ascii="Times New Roman" w:hAnsi="Times New Roman"/>
          <w:sz w:val="24"/>
          <w:szCs w:val="20"/>
        </w:rPr>
      </w:pPr>
    </w:p>
    <w:p w:rsidR="00CB6668" w:rsidP="00CB6668" w:rsidRDefault="00CB6668" w14:paraId="31F6487A" w14:textId="77777777">
      <w:pPr>
        <w:tabs>
          <w:tab w:val="left" w:pos="284"/>
          <w:tab w:val="left" w:pos="567"/>
          <w:tab w:val="left" w:pos="851"/>
        </w:tabs>
        <w:ind w:right="-2"/>
        <w:rPr>
          <w:rFonts w:ascii="Times New Roman" w:hAnsi="Times New Roman"/>
          <w:sz w:val="24"/>
          <w:szCs w:val="20"/>
        </w:rPr>
      </w:pPr>
    </w:p>
    <w:p w:rsidRPr="002168F4" w:rsidR="00CB3578" w:rsidP="00CB6668" w:rsidRDefault="00CB3578" w14:paraId="617AA6F1" w14:textId="77777777">
      <w:pPr>
        <w:tabs>
          <w:tab w:val="left" w:pos="284"/>
          <w:tab w:val="left" w:pos="567"/>
          <w:tab w:val="left" w:pos="851"/>
        </w:tabs>
        <w:ind w:right="-2"/>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A794F" w14:textId="77777777" w:rsidR="00CB6668" w:rsidRDefault="00CB6668">
      <w:pPr>
        <w:spacing w:line="20" w:lineRule="exact"/>
      </w:pPr>
    </w:p>
  </w:endnote>
  <w:endnote w:type="continuationSeparator" w:id="0">
    <w:p w14:paraId="4E1BE0C5" w14:textId="77777777" w:rsidR="00CB6668" w:rsidRDefault="00CB6668">
      <w:pPr>
        <w:pStyle w:val="Amendement"/>
      </w:pPr>
      <w:r>
        <w:rPr>
          <w:b w:val="0"/>
          <w:bCs w:val="0"/>
        </w:rPr>
        <w:t xml:space="preserve"> </w:t>
      </w:r>
    </w:p>
  </w:endnote>
  <w:endnote w:type="continuationNotice" w:id="1">
    <w:p w14:paraId="49F52070" w14:textId="77777777" w:rsidR="00CB6668" w:rsidRDefault="00CB666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6F629"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CCE65E0"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49F24"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2FFA2416"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A045C" w14:textId="77777777" w:rsidR="00CB6668" w:rsidRDefault="00CB6668">
      <w:pPr>
        <w:pStyle w:val="Amendement"/>
      </w:pPr>
      <w:r>
        <w:rPr>
          <w:b w:val="0"/>
          <w:bCs w:val="0"/>
        </w:rPr>
        <w:separator/>
      </w:r>
    </w:p>
  </w:footnote>
  <w:footnote w:type="continuationSeparator" w:id="0">
    <w:p w14:paraId="0C284054" w14:textId="77777777" w:rsidR="00CB6668" w:rsidRDefault="00CB6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668"/>
    <w:rsid w:val="00012DBE"/>
    <w:rsid w:val="000A1D81"/>
    <w:rsid w:val="00111ED3"/>
    <w:rsid w:val="001C190E"/>
    <w:rsid w:val="002168F4"/>
    <w:rsid w:val="002A727C"/>
    <w:rsid w:val="004E077C"/>
    <w:rsid w:val="004E15FD"/>
    <w:rsid w:val="005D2707"/>
    <w:rsid w:val="00606255"/>
    <w:rsid w:val="006B607A"/>
    <w:rsid w:val="007D451C"/>
    <w:rsid w:val="00826224"/>
    <w:rsid w:val="00930A23"/>
    <w:rsid w:val="009C7354"/>
    <w:rsid w:val="009E6D7F"/>
    <w:rsid w:val="00A11E73"/>
    <w:rsid w:val="00A2521E"/>
    <w:rsid w:val="00AE436A"/>
    <w:rsid w:val="00C135B1"/>
    <w:rsid w:val="00C92DF8"/>
    <w:rsid w:val="00CB3578"/>
    <w:rsid w:val="00CB6668"/>
    <w:rsid w:val="00D20AFA"/>
    <w:rsid w:val="00D55648"/>
    <w:rsid w:val="00E0768B"/>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15D04"/>
  <w15:docId w15:val="{92195CFD-DCC0-42F6-A21B-2948D7490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CB6668"/>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CB6668"/>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381</ap:Words>
  <ap:Characters>2232</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2608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2025-06-04T14:53:00.0000000Z</dcterms:created>
  <dcterms:modified xsi:type="dcterms:W3CDTF">2025-06-04T14:53:00.0000000Z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