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33F0" w:rsidR="008333F0" w:rsidP="00336A5F" w:rsidRDefault="008333F0" w14:paraId="4766C157" w14:textId="77777777">
      <w:pPr>
        <w:rPr>
          <w:b/>
          <w:bCs/>
        </w:rPr>
      </w:pPr>
      <w:r w:rsidRPr="008333F0">
        <w:rPr>
          <w:b/>
          <w:bCs/>
        </w:rPr>
        <w:t>Stuk 3C</w:t>
      </w:r>
    </w:p>
    <w:p w:rsidRPr="00F12092" w:rsidR="00336A5F" w:rsidP="00336A5F" w:rsidRDefault="00336A5F" w14:paraId="7A1BC51F" w14:textId="77064A8C">
      <w:pPr>
        <w:rPr>
          <w:b/>
          <w:bCs/>
          <w:u w:val="single"/>
        </w:rPr>
      </w:pPr>
      <w:r w:rsidRPr="29AA0224">
        <w:rPr>
          <w:b/>
          <w:bCs/>
          <w:u w:val="single"/>
        </w:rPr>
        <w:t>Bijlage maatregelen Klimaatfonds</w:t>
      </w:r>
    </w:p>
    <w:p w:rsidR="5C30D8DE" w:rsidP="29AA0224" w:rsidRDefault="5C30D8DE" w14:paraId="0BC7DA67" w14:textId="34A23ED9">
      <w:pPr>
        <w:pStyle w:val="Lijstalinea"/>
        <w:numPr>
          <w:ilvl w:val="0"/>
          <w:numId w:val="2"/>
        </w:numPr>
        <w:spacing w:after="0"/>
        <w:ind w:left="360"/>
        <w:rPr>
          <w:rFonts w:ascii="Verdana" w:hAnsi="Verdana" w:eastAsia="Verdana" w:cs="Verdana"/>
          <w:sz w:val="18"/>
          <w:szCs w:val="18"/>
        </w:rPr>
      </w:pPr>
      <w:r w:rsidRPr="29AA0224">
        <w:rPr>
          <w:rFonts w:ascii="Verdana" w:hAnsi="Verdana" w:eastAsia="Verdana" w:cs="Verdana"/>
          <w:sz w:val="18"/>
          <w:szCs w:val="18"/>
        </w:rPr>
        <w:t xml:space="preserve">In de bijlage zijn ter informatie de reserveringen uit het Klimaatfonds opgenomen die nader worden uitgewerkt ter besluitvorming in het voorjaar. De deadline voor het aanleveren van de DG-versie was 2 oktober. Uiterlijk 22 november dienen de definitieve versies aangeleverd te worden met akkoord van de </w:t>
      </w:r>
      <w:proofErr w:type="spellStart"/>
      <w:r w:rsidRPr="29AA0224">
        <w:rPr>
          <w:rFonts w:ascii="Verdana" w:hAnsi="Verdana" w:eastAsia="Verdana" w:cs="Verdana"/>
          <w:sz w:val="18"/>
          <w:szCs w:val="18"/>
        </w:rPr>
        <w:t>bwp</w:t>
      </w:r>
      <w:proofErr w:type="spellEnd"/>
      <w:r w:rsidRPr="29AA0224">
        <w:rPr>
          <w:rFonts w:ascii="Verdana" w:hAnsi="Verdana" w:eastAsia="Verdana" w:cs="Verdana"/>
          <w:sz w:val="18"/>
          <w:szCs w:val="18"/>
        </w:rPr>
        <w:t>.</w:t>
      </w:r>
    </w:p>
    <w:p w:rsidR="5C30D8DE" w:rsidP="29AA0224" w:rsidRDefault="5C30D8DE" w14:paraId="1FD25EF2" w14:textId="3E548664">
      <w:pPr>
        <w:pStyle w:val="Lijstalinea"/>
        <w:numPr>
          <w:ilvl w:val="0"/>
          <w:numId w:val="2"/>
        </w:numPr>
        <w:spacing w:after="0"/>
        <w:ind w:left="360"/>
        <w:rPr>
          <w:rFonts w:ascii="Verdana" w:hAnsi="Verdana" w:eastAsia="Verdana" w:cs="Verdana"/>
          <w:sz w:val="18"/>
          <w:szCs w:val="18"/>
        </w:rPr>
      </w:pPr>
      <w:r w:rsidRPr="29AA0224">
        <w:rPr>
          <w:rFonts w:ascii="Verdana" w:hAnsi="Verdana" w:eastAsia="Verdana" w:cs="Verdana"/>
          <w:sz w:val="18"/>
          <w:szCs w:val="18"/>
        </w:rPr>
        <w:t xml:space="preserve">Wat betreft de eerder toegekende middelen geldt dat de 100% eindejaarsmarge op overgehevelde middelen is komen te vervallen (kabinetsbesluit 5 juli jl.) in het geval dat er vertraging is op de uitvoering kan dit leiden dat de middelen voor dat doel ‘kwijt’ zijn doordat zij worden afgeroomd voor het generale beeld. De </w:t>
      </w:r>
      <w:proofErr w:type="spellStart"/>
      <w:r w:rsidRPr="29AA0224">
        <w:rPr>
          <w:rFonts w:ascii="Verdana" w:hAnsi="Verdana" w:eastAsia="Verdana" w:cs="Verdana"/>
          <w:sz w:val="18"/>
          <w:szCs w:val="18"/>
        </w:rPr>
        <w:t>onderuitputting</w:t>
      </w:r>
      <w:proofErr w:type="spellEnd"/>
      <w:r w:rsidRPr="29AA0224">
        <w:rPr>
          <w:rFonts w:ascii="Verdana" w:hAnsi="Verdana" w:eastAsia="Verdana" w:cs="Verdana"/>
          <w:sz w:val="18"/>
          <w:szCs w:val="18"/>
        </w:rPr>
        <w:t xml:space="preserve"> wordt momenteel door KGG (fondsbeheer/fez) in kaart gebracht.</w:t>
      </w:r>
    </w:p>
    <w:p w:rsidR="29AA0224" w:rsidP="29AA0224" w:rsidRDefault="29AA0224" w14:paraId="787EADD6" w14:textId="554FD56D">
      <w:pPr>
        <w:rPr>
          <w:b/>
          <w:bCs/>
          <w:u w:val="single"/>
        </w:rPr>
      </w:pPr>
    </w:p>
    <w:tbl>
      <w:tblPr>
        <w:tblStyle w:val="Rastertabel5donker-Accent1"/>
        <w:tblW w:w="8518" w:type="dxa"/>
        <w:tblLook w:val="0420" w:firstRow="1" w:lastRow="0" w:firstColumn="0" w:lastColumn="0" w:noHBand="0" w:noVBand="1"/>
      </w:tblPr>
      <w:tblGrid>
        <w:gridCol w:w="3566"/>
        <w:gridCol w:w="4952"/>
      </w:tblGrid>
      <w:tr w:rsidRPr="00F12092" w:rsidR="00336A5F" w:rsidTr="00B52928" w14:paraId="032C906E" w14:textId="77777777">
        <w:trPr>
          <w:cnfStyle w:val="100000000000" w:firstRow="1" w:lastRow="0" w:firstColumn="0" w:lastColumn="0" w:oddVBand="0" w:evenVBand="0" w:oddHBand="0" w:evenHBand="0" w:firstRowFirstColumn="0" w:firstRowLastColumn="0" w:lastRowFirstColumn="0" w:lastRowLastColumn="0"/>
          <w:trHeight w:val="464"/>
        </w:trPr>
        <w:tc>
          <w:tcPr>
            <w:tcW w:w="3566" w:type="dxa"/>
            <w:hideMark/>
          </w:tcPr>
          <w:p w:rsidRPr="00F12092" w:rsidR="00336A5F" w:rsidP="00B52928" w:rsidRDefault="00336A5F" w14:paraId="166639B0" w14:textId="77777777">
            <w:pPr>
              <w:spacing w:line="240" w:lineRule="auto"/>
              <w:textAlignment w:val="baseline"/>
              <w:rPr>
                <w:rFonts w:ascii="Arial" w:hAnsi="Arial" w:cs="Arial"/>
                <w:sz w:val="16"/>
                <w:szCs w:val="16"/>
              </w:rPr>
            </w:pPr>
            <w:r w:rsidRPr="00F12092">
              <w:rPr>
                <w:rFonts w:cs="Arial"/>
                <w:kern w:val="24"/>
                <w:sz w:val="16"/>
                <w:szCs w:val="16"/>
              </w:rPr>
              <w:t>SECTOR GEBOUWDE OMGEVING</w:t>
            </w:r>
          </w:p>
          <w:p w:rsidRPr="00F12092" w:rsidR="00336A5F" w:rsidP="00B52928" w:rsidRDefault="00336A5F" w14:paraId="6ABFDF7D" w14:textId="77777777">
            <w:pPr>
              <w:spacing w:line="240" w:lineRule="auto"/>
              <w:rPr>
                <w:rFonts w:ascii="Arial" w:hAnsi="Arial" w:cs="Arial"/>
                <w:sz w:val="16"/>
                <w:szCs w:val="16"/>
              </w:rPr>
            </w:pPr>
          </w:p>
        </w:tc>
        <w:tc>
          <w:tcPr>
            <w:tcW w:w="4952" w:type="dxa"/>
            <w:hideMark/>
          </w:tcPr>
          <w:p w:rsidRPr="00597A63" w:rsidR="00336A5F" w:rsidP="00B52928" w:rsidRDefault="00336A5F" w14:paraId="5DEDB459" w14:textId="77777777">
            <w:pPr>
              <w:spacing w:line="240" w:lineRule="auto"/>
              <w:textAlignment w:val="baseline"/>
              <w:rPr>
                <w:rFonts w:ascii="Arial" w:hAnsi="Arial" w:cs="Arial"/>
                <w:sz w:val="16"/>
                <w:szCs w:val="16"/>
                <w:lang w:val="nl-NL"/>
              </w:rPr>
            </w:pPr>
            <w:r w:rsidRPr="00597A63">
              <w:rPr>
                <w:rFonts w:cs="Arial"/>
                <w:kern w:val="24"/>
                <w:sz w:val="16"/>
                <w:szCs w:val="16"/>
                <w:lang w:val="nl-NL"/>
              </w:rPr>
              <w:t>Reserveringen en toekenningen onder voorwaarde Klimaatfonds MJP 2025</w:t>
            </w:r>
            <w:r w:rsidRPr="00597A63">
              <w:rPr>
                <w:rFonts w:ascii="Arial" w:hAnsi="Arial" w:cs="Arial"/>
                <w:kern w:val="24"/>
                <w:sz w:val="16"/>
                <w:szCs w:val="16"/>
                <w:lang w:val="nl-NL"/>
              </w:rPr>
              <w:t>​</w:t>
            </w:r>
          </w:p>
        </w:tc>
      </w:tr>
      <w:tr w:rsidRPr="00F12092" w:rsidR="00336A5F" w:rsidTr="00B52928" w14:paraId="452AED53" w14:textId="77777777">
        <w:trPr>
          <w:cnfStyle w:val="000000100000" w:firstRow="0" w:lastRow="0" w:firstColumn="0" w:lastColumn="0" w:oddVBand="0" w:evenVBand="0" w:oddHBand="1" w:evenHBand="0" w:firstRowFirstColumn="0" w:firstRowLastColumn="0" w:lastRowFirstColumn="0" w:lastRowLastColumn="0"/>
          <w:trHeight w:val="263"/>
        </w:trPr>
        <w:tc>
          <w:tcPr>
            <w:tcW w:w="3566" w:type="dxa"/>
            <w:hideMark/>
          </w:tcPr>
          <w:p w:rsidRPr="00F12092" w:rsidR="00336A5F" w:rsidP="00B52928" w:rsidRDefault="00336A5F" w14:paraId="5FAD741F" w14:textId="77777777">
            <w:pPr>
              <w:spacing w:line="240" w:lineRule="auto"/>
              <w:textAlignment w:val="center"/>
              <w:rPr>
                <w:rFonts w:ascii="Arial" w:hAnsi="Arial" w:cs="Arial"/>
                <w:sz w:val="16"/>
                <w:szCs w:val="16"/>
              </w:rPr>
            </w:pPr>
            <w:r w:rsidRPr="00F12092">
              <w:rPr>
                <w:rFonts w:cs="Arial"/>
                <w:kern w:val="24"/>
                <w:sz w:val="16"/>
                <w:szCs w:val="16"/>
              </w:rPr>
              <w:t xml:space="preserve">Nationaal </w:t>
            </w:r>
            <w:proofErr w:type="spellStart"/>
            <w:r w:rsidRPr="00F12092">
              <w:rPr>
                <w:rFonts w:cs="Arial"/>
                <w:kern w:val="24"/>
                <w:sz w:val="16"/>
                <w:szCs w:val="16"/>
              </w:rPr>
              <w:t>Isolatie</w:t>
            </w:r>
            <w:proofErr w:type="spellEnd"/>
            <w:r w:rsidRPr="00F12092">
              <w:rPr>
                <w:rFonts w:cs="Arial"/>
                <w:kern w:val="24"/>
                <w:sz w:val="16"/>
                <w:szCs w:val="16"/>
              </w:rPr>
              <w:t xml:space="preserve"> </w:t>
            </w:r>
            <w:proofErr w:type="spellStart"/>
            <w:r w:rsidRPr="00F12092">
              <w:rPr>
                <w:rFonts w:cs="Arial"/>
                <w:kern w:val="24"/>
                <w:sz w:val="16"/>
                <w:szCs w:val="16"/>
              </w:rPr>
              <w:t>Programma</w:t>
            </w:r>
            <w:proofErr w:type="spellEnd"/>
          </w:p>
        </w:tc>
        <w:tc>
          <w:tcPr>
            <w:tcW w:w="4952" w:type="dxa"/>
            <w:hideMark/>
          </w:tcPr>
          <w:p w:rsidRPr="00597A63" w:rsidR="00336A5F" w:rsidP="00B52928" w:rsidRDefault="00336A5F" w14:paraId="1C4CB0E4" w14:textId="77777777">
            <w:pPr>
              <w:spacing w:line="240" w:lineRule="auto"/>
              <w:textAlignment w:val="center"/>
              <w:rPr>
                <w:rFonts w:ascii="Arial" w:hAnsi="Arial" w:cs="Arial"/>
                <w:sz w:val="16"/>
                <w:szCs w:val="16"/>
                <w:lang w:val="nl-NL"/>
              </w:rPr>
            </w:pPr>
            <w:r w:rsidRPr="00597A63">
              <w:rPr>
                <w:rFonts w:cs="Arial"/>
                <w:kern w:val="24"/>
                <w:sz w:val="16"/>
                <w:szCs w:val="16"/>
                <w:lang w:val="nl-NL"/>
              </w:rPr>
              <w:t>Reservering € 866,7 mln. (gekoppeld aan evaluatie ISDE)</w:t>
            </w:r>
          </w:p>
        </w:tc>
      </w:tr>
      <w:tr w:rsidRPr="00F12092" w:rsidR="00336A5F" w:rsidTr="00B52928" w14:paraId="28E3E712" w14:textId="77777777">
        <w:trPr>
          <w:trHeight w:val="429"/>
        </w:trPr>
        <w:tc>
          <w:tcPr>
            <w:tcW w:w="3566" w:type="dxa"/>
            <w:hideMark/>
          </w:tcPr>
          <w:p w:rsidRPr="00F12092" w:rsidR="00336A5F" w:rsidP="00B52928" w:rsidRDefault="00336A5F" w14:paraId="1ADF6278" w14:textId="77777777">
            <w:pPr>
              <w:spacing w:line="240" w:lineRule="auto"/>
              <w:textAlignment w:val="center"/>
              <w:rPr>
                <w:rFonts w:ascii="Arial" w:hAnsi="Arial" w:cs="Arial"/>
                <w:sz w:val="16"/>
                <w:szCs w:val="16"/>
              </w:rPr>
            </w:pPr>
            <w:proofErr w:type="spellStart"/>
            <w:r w:rsidRPr="00F12092">
              <w:rPr>
                <w:rFonts w:cs="Arial"/>
                <w:kern w:val="24"/>
                <w:sz w:val="16"/>
                <w:szCs w:val="16"/>
              </w:rPr>
              <w:t>Waarborgfonds</w:t>
            </w:r>
            <w:proofErr w:type="spellEnd"/>
            <w:r w:rsidRPr="00F12092">
              <w:rPr>
                <w:rFonts w:cs="Arial"/>
                <w:kern w:val="24"/>
                <w:sz w:val="16"/>
                <w:szCs w:val="16"/>
              </w:rPr>
              <w:t xml:space="preserve"> </w:t>
            </w:r>
            <w:proofErr w:type="spellStart"/>
            <w:r w:rsidRPr="00F12092">
              <w:rPr>
                <w:rFonts w:cs="Arial"/>
                <w:kern w:val="24"/>
                <w:sz w:val="16"/>
                <w:szCs w:val="16"/>
              </w:rPr>
              <w:t>warmtenetten</w:t>
            </w:r>
            <w:proofErr w:type="spellEnd"/>
          </w:p>
        </w:tc>
        <w:tc>
          <w:tcPr>
            <w:tcW w:w="4952" w:type="dxa"/>
            <w:hideMark/>
          </w:tcPr>
          <w:p w:rsidRPr="00597A63" w:rsidR="00336A5F" w:rsidP="00B52928" w:rsidRDefault="00336A5F" w14:paraId="06D15CDB" w14:textId="77777777">
            <w:pPr>
              <w:spacing w:line="240" w:lineRule="auto"/>
              <w:textAlignment w:val="center"/>
              <w:rPr>
                <w:rFonts w:ascii="Arial" w:hAnsi="Arial" w:cs="Arial"/>
                <w:sz w:val="16"/>
                <w:szCs w:val="16"/>
                <w:lang w:val="nl-NL"/>
              </w:rPr>
            </w:pPr>
            <w:r w:rsidRPr="00597A63">
              <w:rPr>
                <w:rFonts w:cs="Arial"/>
                <w:kern w:val="24"/>
                <w:sz w:val="16"/>
                <w:szCs w:val="16"/>
                <w:lang w:val="nl-NL"/>
              </w:rPr>
              <w:t>Toekenning onder voorwaarden € 215 mln. (</w:t>
            </w:r>
            <w:proofErr w:type="spellStart"/>
            <w:r w:rsidRPr="00597A63">
              <w:rPr>
                <w:rFonts w:cs="Arial"/>
                <w:kern w:val="24"/>
                <w:sz w:val="16"/>
                <w:szCs w:val="16"/>
                <w:lang w:val="nl-NL"/>
              </w:rPr>
              <w:t>o.m</w:t>
            </w:r>
            <w:proofErr w:type="spellEnd"/>
            <w:r w:rsidRPr="00597A63">
              <w:rPr>
                <w:rFonts w:cs="Arial"/>
                <w:kern w:val="24"/>
                <w:sz w:val="16"/>
                <w:szCs w:val="16"/>
                <w:lang w:val="nl-NL"/>
              </w:rPr>
              <w:t xml:space="preserve"> gekoppeld aan gemeentelijke inzet WGIW of vergelijkbare juridische borging)</w:t>
            </w:r>
          </w:p>
        </w:tc>
      </w:tr>
      <w:tr w:rsidRPr="00F12092" w:rsidR="00336A5F" w:rsidTr="00B52928" w14:paraId="16B54DD0" w14:textId="77777777">
        <w:trPr>
          <w:cnfStyle w:val="000000100000" w:firstRow="0" w:lastRow="0" w:firstColumn="0" w:lastColumn="0" w:oddVBand="0" w:evenVBand="0" w:oddHBand="1" w:evenHBand="0" w:firstRowFirstColumn="0" w:firstRowLastColumn="0" w:lastRowFirstColumn="0" w:lastRowLastColumn="0"/>
          <w:trHeight w:val="429"/>
        </w:trPr>
        <w:tc>
          <w:tcPr>
            <w:tcW w:w="3566" w:type="dxa"/>
            <w:hideMark/>
          </w:tcPr>
          <w:p w:rsidRPr="00597A63" w:rsidR="00336A5F" w:rsidP="00B52928" w:rsidRDefault="00336A5F" w14:paraId="4A246924" w14:textId="77777777">
            <w:pPr>
              <w:spacing w:line="240" w:lineRule="auto"/>
              <w:textAlignment w:val="center"/>
              <w:rPr>
                <w:rFonts w:ascii="Arial" w:hAnsi="Arial" w:cs="Arial"/>
                <w:sz w:val="16"/>
                <w:szCs w:val="16"/>
                <w:lang w:val="nl-NL"/>
              </w:rPr>
            </w:pPr>
            <w:r w:rsidRPr="00597A63">
              <w:rPr>
                <w:rFonts w:cs="Arial"/>
                <w:kern w:val="24"/>
                <w:sz w:val="16"/>
                <w:szCs w:val="16"/>
                <w:lang w:val="nl-NL"/>
              </w:rPr>
              <w:t xml:space="preserve">Maatschappelijk vastgoed </w:t>
            </w:r>
            <w:proofErr w:type="spellStart"/>
            <w:r w:rsidRPr="00597A63">
              <w:rPr>
                <w:rFonts w:cs="Arial"/>
                <w:kern w:val="24"/>
                <w:sz w:val="16"/>
                <w:szCs w:val="16"/>
                <w:lang w:val="nl-NL"/>
              </w:rPr>
              <w:t>revolverend</w:t>
            </w:r>
            <w:proofErr w:type="spellEnd"/>
            <w:r w:rsidRPr="00597A63">
              <w:rPr>
                <w:rFonts w:cs="Arial"/>
                <w:kern w:val="24"/>
                <w:sz w:val="16"/>
                <w:szCs w:val="16"/>
                <w:lang w:val="nl-NL"/>
              </w:rPr>
              <w:t xml:space="preserve"> fonds; en financieel instrument</w:t>
            </w:r>
          </w:p>
        </w:tc>
        <w:tc>
          <w:tcPr>
            <w:tcW w:w="4952" w:type="dxa"/>
            <w:hideMark/>
          </w:tcPr>
          <w:p w:rsidRPr="00F12092" w:rsidR="00336A5F" w:rsidP="00B52928" w:rsidRDefault="00336A5F" w14:paraId="71E26E7B" w14:textId="77777777">
            <w:pPr>
              <w:spacing w:line="240" w:lineRule="auto"/>
              <w:textAlignment w:val="center"/>
              <w:rPr>
                <w:rFonts w:ascii="Arial" w:hAnsi="Arial" w:cs="Arial"/>
                <w:sz w:val="16"/>
                <w:szCs w:val="16"/>
              </w:rPr>
            </w:pPr>
            <w:proofErr w:type="spellStart"/>
            <w:r w:rsidRPr="00F12092">
              <w:rPr>
                <w:rFonts w:cs="Arial"/>
                <w:kern w:val="24"/>
                <w:sz w:val="16"/>
                <w:szCs w:val="16"/>
              </w:rPr>
              <w:t>Reservering</w:t>
            </w:r>
            <w:proofErr w:type="spellEnd"/>
            <w:r w:rsidRPr="00F12092">
              <w:rPr>
                <w:rFonts w:cs="Arial"/>
                <w:kern w:val="24"/>
                <w:sz w:val="16"/>
                <w:szCs w:val="16"/>
              </w:rPr>
              <w:t xml:space="preserve"> € 175 </w:t>
            </w:r>
            <w:proofErr w:type="spellStart"/>
            <w:r w:rsidRPr="00F12092">
              <w:rPr>
                <w:rFonts w:cs="Arial"/>
                <w:kern w:val="24"/>
                <w:sz w:val="16"/>
                <w:szCs w:val="16"/>
              </w:rPr>
              <w:t>mln</w:t>
            </w:r>
            <w:proofErr w:type="spellEnd"/>
            <w:r w:rsidRPr="00F12092">
              <w:rPr>
                <w:rFonts w:cs="Arial"/>
                <w:kern w:val="24"/>
                <w:sz w:val="16"/>
                <w:szCs w:val="16"/>
              </w:rPr>
              <w:t>.</w:t>
            </w:r>
          </w:p>
        </w:tc>
      </w:tr>
      <w:tr w:rsidRPr="00F12092" w:rsidR="00336A5F" w:rsidTr="00B52928" w14:paraId="40187779" w14:textId="77777777">
        <w:trPr>
          <w:trHeight w:val="778"/>
        </w:trPr>
        <w:tc>
          <w:tcPr>
            <w:tcW w:w="3566" w:type="dxa"/>
            <w:hideMark/>
          </w:tcPr>
          <w:p w:rsidRPr="00597A63" w:rsidR="00336A5F" w:rsidP="00B52928" w:rsidRDefault="00336A5F" w14:paraId="4476D20B" w14:textId="77777777">
            <w:pPr>
              <w:spacing w:line="240" w:lineRule="auto"/>
              <w:textAlignment w:val="center"/>
              <w:rPr>
                <w:rFonts w:ascii="Arial" w:hAnsi="Arial" w:cs="Arial"/>
                <w:sz w:val="16"/>
                <w:szCs w:val="16"/>
                <w:lang w:val="nl-NL"/>
              </w:rPr>
            </w:pPr>
            <w:r w:rsidRPr="00597A63">
              <w:rPr>
                <w:rFonts w:cs="Arial"/>
                <w:kern w:val="24"/>
                <w:sz w:val="16"/>
                <w:szCs w:val="16"/>
                <w:lang w:val="nl-NL"/>
              </w:rPr>
              <w:t xml:space="preserve">Stimulering van hybride warmtepompen bestaande bouw; en aanvulling ISDE indien nodig i.c.m. normering Cv-ketels </w:t>
            </w:r>
          </w:p>
        </w:tc>
        <w:tc>
          <w:tcPr>
            <w:tcW w:w="4952" w:type="dxa"/>
            <w:hideMark/>
          </w:tcPr>
          <w:p w:rsidRPr="00597A63" w:rsidR="00336A5F" w:rsidP="00B52928" w:rsidRDefault="00336A5F" w14:paraId="1D64D3A7" w14:textId="77777777">
            <w:pPr>
              <w:spacing w:line="240" w:lineRule="auto"/>
              <w:textAlignment w:val="center"/>
              <w:rPr>
                <w:rFonts w:ascii="Arial" w:hAnsi="Arial" w:cs="Arial"/>
                <w:sz w:val="16"/>
                <w:szCs w:val="16"/>
                <w:lang w:val="nl-NL"/>
              </w:rPr>
            </w:pPr>
            <w:r w:rsidRPr="00597A63">
              <w:rPr>
                <w:rFonts w:cs="Arial"/>
                <w:kern w:val="24"/>
                <w:sz w:val="16"/>
                <w:szCs w:val="16"/>
                <w:lang w:val="nl-NL"/>
              </w:rPr>
              <w:t>Reservering € 591,0 mln. (o.m. gekoppeld aan evaluatie ISDE en normering vervanging verwarmingsinstallaties vanaf 2026)</w:t>
            </w:r>
          </w:p>
        </w:tc>
      </w:tr>
      <w:tr w:rsidRPr="00F12092" w:rsidR="00336A5F" w:rsidTr="00B52928" w14:paraId="29AC34DE" w14:textId="77777777">
        <w:trPr>
          <w:cnfStyle w:val="000000100000" w:firstRow="0" w:lastRow="0" w:firstColumn="0" w:lastColumn="0" w:oddVBand="0" w:evenVBand="0" w:oddHBand="1" w:evenHBand="0" w:firstRowFirstColumn="0" w:firstRowLastColumn="0" w:lastRowFirstColumn="0" w:lastRowLastColumn="0"/>
          <w:trHeight w:val="778"/>
        </w:trPr>
        <w:tc>
          <w:tcPr>
            <w:tcW w:w="3566" w:type="dxa"/>
          </w:tcPr>
          <w:p w:rsidR="00336A5F" w:rsidP="00B52928" w:rsidRDefault="00336A5F" w14:paraId="05AC3394" w14:textId="77777777">
            <w:pPr>
              <w:spacing w:line="240" w:lineRule="auto"/>
              <w:textAlignment w:val="center"/>
              <w:rPr>
                <w:rFonts w:cs="Arial"/>
                <w:kern w:val="24"/>
                <w:sz w:val="16"/>
                <w:szCs w:val="16"/>
              </w:rPr>
            </w:pPr>
            <w:proofErr w:type="spellStart"/>
            <w:r>
              <w:rPr>
                <w:rFonts w:cs="Arial"/>
                <w:kern w:val="24"/>
                <w:sz w:val="16"/>
                <w:szCs w:val="16"/>
              </w:rPr>
              <w:t>Eerder</w:t>
            </w:r>
            <w:proofErr w:type="spellEnd"/>
            <w:r>
              <w:rPr>
                <w:rFonts w:cs="Arial"/>
                <w:kern w:val="24"/>
                <w:sz w:val="16"/>
                <w:szCs w:val="16"/>
              </w:rPr>
              <w:t xml:space="preserve"> </w:t>
            </w:r>
            <w:proofErr w:type="spellStart"/>
            <w:r>
              <w:rPr>
                <w:rFonts w:cs="Arial"/>
                <w:kern w:val="24"/>
                <w:sz w:val="16"/>
                <w:szCs w:val="16"/>
              </w:rPr>
              <w:t>toegekend</w:t>
            </w:r>
            <w:proofErr w:type="spellEnd"/>
            <w:r>
              <w:rPr>
                <w:rFonts w:cs="Arial"/>
                <w:kern w:val="24"/>
                <w:sz w:val="16"/>
                <w:szCs w:val="16"/>
              </w:rPr>
              <w:t xml:space="preserve">: </w:t>
            </w:r>
          </w:p>
          <w:p w:rsidRPr="00F12092" w:rsidR="00336A5F" w:rsidP="00B52928" w:rsidRDefault="00336A5F" w14:paraId="3A436758" w14:textId="77777777">
            <w:pPr>
              <w:spacing w:line="240" w:lineRule="auto"/>
              <w:textAlignment w:val="center"/>
              <w:rPr>
                <w:rFonts w:cs="Arial"/>
                <w:kern w:val="24"/>
                <w:sz w:val="16"/>
                <w:szCs w:val="16"/>
              </w:rPr>
            </w:pPr>
          </w:p>
        </w:tc>
        <w:tc>
          <w:tcPr>
            <w:tcW w:w="4952" w:type="dxa"/>
          </w:tcPr>
          <w:p w:rsidRPr="00F12092" w:rsidR="00336A5F" w:rsidP="00B52928" w:rsidRDefault="00336A5F" w14:paraId="46E065BF" w14:textId="77777777">
            <w:pPr>
              <w:spacing w:line="240" w:lineRule="auto"/>
              <w:textAlignment w:val="center"/>
              <w:rPr>
                <w:rFonts w:cs="Arial"/>
                <w:kern w:val="24"/>
                <w:sz w:val="16"/>
                <w:szCs w:val="16"/>
              </w:rPr>
            </w:pPr>
          </w:p>
        </w:tc>
      </w:tr>
      <w:tr w:rsidRPr="00F12092" w:rsidR="00336A5F" w:rsidTr="00B52928" w14:paraId="01A9DB88" w14:textId="77777777">
        <w:trPr>
          <w:trHeight w:val="778"/>
        </w:trPr>
        <w:tc>
          <w:tcPr>
            <w:tcW w:w="3566" w:type="dxa"/>
          </w:tcPr>
          <w:p w:rsidR="00336A5F" w:rsidP="00B52928" w:rsidRDefault="00336A5F" w14:paraId="4E74F261" w14:textId="77777777">
            <w:pPr>
              <w:spacing w:line="240" w:lineRule="auto"/>
              <w:textAlignment w:val="center"/>
              <w:rPr>
                <w:rFonts w:cs="Arial"/>
                <w:kern w:val="24"/>
                <w:sz w:val="16"/>
                <w:szCs w:val="16"/>
              </w:rPr>
            </w:pPr>
            <w:r>
              <w:rPr>
                <w:rFonts w:cs="Arial"/>
                <w:kern w:val="24"/>
                <w:sz w:val="16"/>
                <w:szCs w:val="16"/>
              </w:rPr>
              <w:t xml:space="preserve">Nationale </w:t>
            </w:r>
            <w:proofErr w:type="spellStart"/>
            <w:r>
              <w:rPr>
                <w:rFonts w:cs="Arial"/>
                <w:kern w:val="24"/>
                <w:sz w:val="16"/>
                <w:szCs w:val="16"/>
              </w:rPr>
              <w:t>subsidieregeling</w:t>
            </w:r>
            <w:proofErr w:type="spellEnd"/>
            <w:r>
              <w:rPr>
                <w:rFonts w:cs="Arial"/>
                <w:kern w:val="24"/>
                <w:sz w:val="16"/>
                <w:szCs w:val="16"/>
              </w:rPr>
              <w:t xml:space="preserve"> </w:t>
            </w:r>
            <w:proofErr w:type="spellStart"/>
            <w:r>
              <w:rPr>
                <w:rFonts w:cs="Arial"/>
                <w:kern w:val="24"/>
                <w:sz w:val="16"/>
                <w:szCs w:val="16"/>
              </w:rPr>
              <w:t>warmtenetten</w:t>
            </w:r>
            <w:proofErr w:type="spellEnd"/>
            <w:r>
              <w:rPr>
                <w:rFonts w:cs="Arial"/>
                <w:kern w:val="24"/>
                <w:sz w:val="16"/>
                <w:szCs w:val="16"/>
              </w:rPr>
              <w:t xml:space="preserve"> (WIS)</w:t>
            </w:r>
          </w:p>
        </w:tc>
        <w:tc>
          <w:tcPr>
            <w:tcW w:w="4952" w:type="dxa"/>
          </w:tcPr>
          <w:p w:rsidRPr="00F12092" w:rsidR="00336A5F" w:rsidP="00B52928" w:rsidRDefault="00336A5F" w14:paraId="778342E2" w14:textId="77777777">
            <w:pPr>
              <w:spacing w:line="240" w:lineRule="auto"/>
              <w:textAlignment w:val="center"/>
              <w:rPr>
                <w:rFonts w:cs="Arial"/>
                <w:kern w:val="24"/>
                <w:sz w:val="16"/>
                <w:szCs w:val="16"/>
              </w:rPr>
            </w:pPr>
            <w:r>
              <w:rPr>
                <w:rFonts w:cs="Arial"/>
                <w:kern w:val="24"/>
                <w:sz w:val="16"/>
                <w:szCs w:val="16"/>
              </w:rPr>
              <w:t xml:space="preserve">€ 1.772,5 </w:t>
            </w:r>
            <w:proofErr w:type="spellStart"/>
            <w:r>
              <w:rPr>
                <w:rFonts w:cs="Arial"/>
                <w:kern w:val="24"/>
                <w:sz w:val="16"/>
                <w:szCs w:val="16"/>
              </w:rPr>
              <w:t>mln</w:t>
            </w:r>
            <w:proofErr w:type="spellEnd"/>
            <w:r>
              <w:rPr>
                <w:rFonts w:cs="Arial"/>
                <w:kern w:val="24"/>
                <w:sz w:val="16"/>
                <w:szCs w:val="16"/>
              </w:rPr>
              <w:t>. in 2022 t/m 2024</w:t>
            </w:r>
          </w:p>
        </w:tc>
      </w:tr>
    </w:tbl>
    <w:p w:rsidRPr="00F12092" w:rsidR="00336A5F" w:rsidP="00336A5F" w:rsidRDefault="00336A5F" w14:paraId="6C579498" w14:textId="77777777">
      <w:pPr>
        <w:rPr>
          <w:b/>
          <w:bCs/>
          <w:u w:val="single"/>
        </w:rPr>
      </w:pPr>
    </w:p>
    <w:p w:rsidRPr="004213FB" w:rsidR="00336A5F" w:rsidP="00336A5F" w:rsidRDefault="00336A5F" w14:paraId="76EC8127" w14:textId="77777777">
      <w:pPr>
        <w:rPr>
          <w:szCs w:val="18"/>
        </w:rPr>
      </w:pPr>
    </w:p>
    <w:p w:rsidRPr="004213FB" w:rsidR="00336A5F" w:rsidP="00336A5F" w:rsidRDefault="00336A5F" w14:paraId="6A23BD29" w14:textId="77777777">
      <w:pPr>
        <w:rPr>
          <w:szCs w:val="18"/>
        </w:rPr>
      </w:pPr>
    </w:p>
    <w:p w:rsidRPr="004213FB" w:rsidR="00FC3CB6" w:rsidRDefault="00FC3CB6" w14:paraId="57CB48E7" w14:textId="77777777">
      <w:pPr>
        <w:rPr>
          <w:szCs w:val="18"/>
        </w:rPr>
      </w:pPr>
    </w:p>
    <w:sectPr w:rsidRPr="004213FB" w:rsidR="00FC3CB6" w:rsidSect="00336A5F">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518B" w14:textId="77777777" w:rsidR="00D46F6A" w:rsidRDefault="00D46F6A" w:rsidP="00336A5F">
      <w:pPr>
        <w:spacing w:line="240" w:lineRule="auto"/>
      </w:pPr>
      <w:r>
        <w:separator/>
      </w:r>
    </w:p>
  </w:endnote>
  <w:endnote w:type="continuationSeparator" w:id="0">
    <w:p w14:paraId="24C9AB58" w14:textId="77777777" w:rsidR="00D46F6A" w:rsidRDefault="00D46F6A" w:rsidP="00336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0291" w14:textId="356B9FED" w:rsidR="00336A5F" w:rsidRDefault="00336A5F">
    <w:pPr>
      <w:pStyle w:val="Voettekst"/>
    </w:pPr>
    <w:r>
      <w:rPr>
        <w:noProof/>
        <w14:ligatures w14:val="standardContextual"/>
      </w:rPr>
      <mc:AlternateContent>
        <mc:Choice Requires="wps">
          <w:drawing>
            <wp:anchor distT="0" distB="0" distL="0" distR="0" simplePos="0" relativeHeight="251659264" behindDoc="0" locked="0" layoutInCell="1" allowOverlap="1" wp14:anchorId="7CE309B5" wp14:editId="0DFE5460">
              <wp:simplePos x="635" y="635"/>
              <wp:positionH relativeFrom="page">
                <wp:align>left</wp:align>
              </wp:positionH>
              <wp:positionV relativeFrom="page">
                <wp:align>bottom</wp:align>
              </wp:positionV>
              <wp:extent cx="986155" cy="345440"/>
              <wp:effectExtent l="0" t="0" r="4445" b="0"/>
              <wp:wrapNone/>
              <wp:docPr id="76371364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D465F35" w14:textId="1FBF416F" w:rsidR="00336A5F" w:rsidRPr="00336A5F" w:rsidRDefault="00336A5F" w:rsidP="00336A5F">
                          <w:pPr>
                            <w:rPr>
                              <w:rFonts w:ascii="Calibri" w:eastAsia="Calibri" w:hAnsi="Calibri" w:cs="Calibri"/>
                              <w:noProof/>
                              <w:color w:val="000000"/>
                              <w:sz w:val="20"/>
                              <w:szCs w:val="20"/>
                            </w:rPr>
                          </w:pPr>
                          <w:r w:rsidRPr="00336A5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E309B5"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4D465F35" w14:textId="1FBF416F" w:rsidR="00336A5F" w:rsidRPr="00336A5F" w:rsidRDefault="00336A5F" w:rsidP="00336A5F">
                    <w:pPr>
                      <w:rPr>
                        <w:rFonts w:ascii="Calibri" w:eastAsia="Calibri" w:hAnsi="Calibri" w:cs="Calibri"/>
                        <w:noProof/>
                        <w:color w:val="000000"/>
                        <w:sz w:val="20"/>
                        <w:szCs w:val="20"/>
                      </w:rPr>
                    </w:pPr>
                    <w:r w:rsidRPr="00336A5F">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C841" w14:textId="66E3551D" w:rsidR="00336A5F" w:rsidRPr="00BC3B53" w:rsidRDefault="00336A5F" w:rsidP="008C356D">
    <w:pPr>
      <w:pStyle w:val="Voettekst"/>
      <w:spacing w:line="240" w:lineRule="auto"/>
      <w:rPr>
        <w:sz w:val="2"/>
        <w:szCs w:val="2"/>
      </w:rPr>
    </w:pPr>
    <w:r>
      <w:rPr>
        <w:noProof/>
        <w:sz w:val="2"/>
        <w:szCs w:val="2"/>
        <w14:ligatures w14:val="standardContextual"/>
      </w:rPr>
      <mc:AlternateContent>
        <mc:Choice Requires="wps">
          <w:drawing>
            <wp:anchor distT="0" distB="0" distL="0" distR="0" simplePos="0" relativeHeight="251660288" behindDoc="0" locked="0" layoutInCell="1" allowOverlap="1" wp14:anchorId="3A452C1A" wp14:editId="2E6E9ABC">
              <wp:simplePos x="635" y="635"/>
              <wp:positionH relativeFrom="page">
                <wp:align>left</wp:align>
              </wp:positionH>
              <wp:positionV relativeFrom="page">
                <wp:align>bottom</wp:align>
              </wp:positionV>
              <wp:extent cx="986155" cy="345440"/>
              <wp:effectExtent l="0" t="0" r="4445" b="0"/>
              <wp:wrapNone/>
              <wp:docPr id="1991903774"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0C3232C" w14:textId="2928FF64" w:rsidR="00336A5F" w:rsidRPr="00336A5F" w:rsidRDefault="00336A5F" w:rsidP="00336A5F">
                          <w:pPr>
                            <w:rPr>
                              <w:rFonts w:ascii="Calibri" w:eastAsia="Calibri" w:hAnsi="Calibri" w:cs="Calibri"/>
                              <w:noProof/>
                              <w:color w:val="000000"/>
                              <w:sz w:val="20"/>
                              <w:szCs w:val="20"/>
                            </w:rPr>
                          </w:pPr>
                          <w:r w:rsidRPr="00336A5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452C1A"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10C3232C" w14:textId="2928FF64" w:rsidR="00336A5F" w:rsidRPr="00336A5F" w:rsidRDefault="00336A5F" w:rsidP="00336A5F">
                    <w:pPr>
                      <w:rPr>
                        <w:rFonts w:ascii="Calibri" w:eastAsia="Calibri" w:hAnsi="Calibri" w:cs="Calibri"/>
                        <w:noProof/>
                        <w:color w:val="000000"/>
                        <w:sz w:val="20"/>
                        <w:szCs w:val="20"/>
                      </w:rPr>
                    </w:pPr>
                    <w:r w:rsidRPr="00336A5F">
                      <w:rPr>
                        <w:rFonts w:ascii="Calibri" w:eastAsia="Calibri" w:hAnsi="Calibri" w:cs="Calibri"/>
                        <w:noProof/>
                        <w:color w:val="000000"/>
                        <w:sz w:val="20"/>
                        <w:szCs w:val="20"/>
                      </w:rPr>
                      <w:t>Intern gebruik</w:t>
                    </w:r>
                  </w:p>
                </w:txbxContent>
              </v:textbox>
              <w10:wrap anchorx="page" anchory="page"/>
            </v:shape>
          </w:pict>
        </mc:Fallback>
      </mc:AlternateContent>
    </w: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37ED3" w14:paraId="3A6A787F" w14:textId="77777777" w:rsidTr="001E4C6B">
      <w:trPr>
        <w:trHeight w:hRule="exact" w:val="240"/>
      </w:trPr>
      <w:tc>
        <w:tcPr>
          <w:tcW w:w="7601" w:type="dxa"/>
          <w:shd w:val="clear" w:color="auto" w:fill="auto"/>
        </w:tcPr>
        <w:p w14:paraId="302A3A49" w14:textId="77777777" w:rsidR="00336A5F" w:rsidRDefault="00336A5F" w:rsidP="003F1F6B">
          <w:pPr>
            <w:pStyle w:val="Huisstijl-Rubricering"/>
          </w:pPr>
        </w:p>
      </w:tc>
      <w:tc>
        <w:tcPr>
          <w:tcW w:w="2156" w:type="dxa"/>
        </w:tcPr>
        <w:p w14:paraId="5F0ABFBC" w14:textId="77777777" w:rsidR="00336A5F" w:rsidRPr="00236CFE" w:rsidRDefault="00336A5F"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t>2</w:t>
          </w:r>
          <w:r w:rsidRPr="00CB7ABA">
            <w:fldChar w:fldCharType="end"/>
          </w:r>
          <w:r w:rsidRPr="00CB7ABA">
            <w:t xml:space="preserve"> van </w:t>
          </w:r>
          <w:fldSimple w:instr=" SECTIONPAGES   \* MERGEFORMAT ">
            <w:r>
              <w:t>5</w:t>
            </w:r>
          </w:fldSimple>
        </w:p>
      </w:tc>
    </w:tr>
  </w:tbl>
  <w:p w14:paraId="219D7AE1" w14:textId="77777777" w:rsidR="00336A5F" w:rsidRPr="00BC3B53" w:rsidRDefault="00336A5F"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37ED3" w14:paraId="3CC522B1" w14:textId="77777777" w:rsidTr="001E4C6B">
      <w:trPr>
        <w:trHeight w:hRule="exact" w:val="240"/>
      </w:trPr>
      <w:tc>
        <w:tcPr>
          <w:tcW w:w="7601" w:type="dxa"/>
          <w:shd w:val="clear" w:color="auto" w:fill="auto"/>
        </w:tcPr>
        <w:p w14:paraId="76ECA899" w14:textId="796C3EA2" w:rsidR="00336A5F" w:rsidRDefault="00336A5F" w:rsidP="008C356D">
          <w:pPr>
            <w:pStyle w:val="Huisstijl-Rubricering"/>
          </w:pPr>
          <w:r>
            <w:rPr>
              <w14:ligatures w14:val="standardContextual"/>
            </w:rPr>
            <mc:AlternateContent>
              <mc:Choice Requires="wps">
                <w:drawing>
                  <wp:anchor distT="0" distB="0" distL="0" distR="0" simplePos="0" relativeHeight="251658240" behindDoc="0" locked="0" layoutInCell="1" allowOverlap="1" wp14:anchorId="48ABD85E" wp14:editId="3A03568E">
                    <wp:simplePos x="988828" y="10154093"/>
                    <wp:positionH relativeFrom="page">
                      <wp:align>left</wp:align>
                    </wp:positionH>
                    <wp:positionV relativeFrom="page">
                      <wp:align>bottom</wp:align>
                    </wp:positionV>
                    <wp:extent cx="986155" cy="345440"/>
                    <wp:effectExtent l="0" t="0" r="4445" b="0"/>
                    <wp:wrapNone/>
                    <wp:docPr id="60256785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A1C181A" w14:textId="72D54F45" w:rsidR="00336A5F" w:rsidRPr="00336A5F" w:rsidRDefault="00336A5F" w:rsidP="00336A5F">
                                <w:pPr>
                                  <w:rPr>
                                    <w:rFonts w:ascii="Calibri" w:eastAsia="Calibri" w:hAnsi="Calibri" w:cs="Calibri"/>
                                    <w:noProof/>
                                    <w:color w:val="000000"/>
                                    <w:sz w:val="20"/>
                                    <w:szCs w:val="20"/>
                                  </w:rPr>
                                </w:pPr>
                                <w:r w:rsidRPr="00336A5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ABD85E"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0A1C181A" w14:textId="72D54F45" w:rsidR="00336A5F" w:rsidRPr="00336A5F" w:rsidRDefault="00336A5F" w:rsidP="00336A5F">
                          <w:pPr>
                            <w:rPr>
                              <w:rFonts w:ascii="Calibri" w:eastAsia="Calibri" w:hAnsi="Calibri" w:cs="Calibri"/>
                              <w:noProof/>
                              <w:color w:val="000000"/>
                              <w:sz w:val="20"/>
                              <w:szCs w:val="20"/>
                            </w:rPr>
                          </w:pPr>
                          <w:r w:rsidRPr="00336A5F">
                            <w:rPr>
                              <w:rFonts w:ascii="Calibri" w:eastAsia="Calibri" w:hAnsi="Calibri" w:cs="Calibri"/>
                              <w:noProof/>
                              <w:color w:val="000000"/>
                              <w:sz w:val="20"/>
                              <w:szCs w:val="20"/>
                            </w:rPr>
                            <w:t>Intern gebruik</w:t>
                          </w:r>
                        </w:p>
                      </w:txbxContent>
                    </v:textbox>
                    <w10:wrap anchorx="page" anchory="page"/>
                  </v:shape>
                </w:pict>
              </mc:Fallback>
            </mc:AlternateContent>
          </w:r>
        </w:p>
      </w:tc>
      <w:tc>
        <w:tcPr>
          <w:tcW w:w="2170" w:type="dxa"/>
        </w:tcPr>
        <w:p w14:paraId="700CF94E" w14:textId="52C985AA" w:rsidR="00336A5F" w:rsidRPr="00CB7ABA" w:rsidRDefault="00336A5F"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t>1</w:t>
          </w:r>
          <w:r w:rsidRPr="00CB7ABA">
            <w:fldChar w:fldCharType="end"/>
          </w:r>
          <w:r w:rsidRPr="00CB7ABA">
            <w:t xml:space="preserve"> van</w:t>
          </w:r>
          <w:r w:rsidRPr="00CB7ABA">
            <w:rPr>
              <w:rStyle w:val="Huisstijl-GegevenCharChar"/>
              <w:rFonts w:eastAsiaTheme="majorEastAsia"/>
            </w:rPr>
            <w:t xml:space="preserve"> </w:t>
          </w:r>
          <w:fldSimple w:instr="SECTIONPAGES   \* MERGEFORMAT">
            <w:r w:rsidR="00FE4E5C">
              <w:t>1</w:t>
            </w:r>
          </w:fldSimple>
        </w:p>
      </w:tc>
    </w:tr>
  </w:tbl>
  <w:p w14:paraId="71D0B5CB" w14:textId="77777777" w:rsidR="00336A5F" w:rsidRPr="00BC3B53" w:rsidRDefault="00336A5F" w:rsidP="008C356D">
    <w:pPr>
      <w:pStyle w:val="Voettekst"/>
      <w:spacing w:line="240" w:lineRule="auto"/>
      <w:rPr>
        <w:sz w:val="2"/>
        <w:szCs w:val="2"/>
      </w:rPr>
    </w:pPr>
  </w:p>
  <w:p w14:paraId="6EDB1040" w14:textId="77777777" w:rsidR="00336A5F" w:rsidRPr="00BC3B53" w:rsidRDefault="00336A5F"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1D150" w14:textId="77777777" w:rsidR="00D46F6A" w:rsidRDefault="00D46F6A" w:rsidP="00336A5F">
      <w:pPr>
        <w:spacing w:line="240" w:lineRule="auto"/>
      </w:pPr>
      <w:r>
        <w:separator/>
      </w:r>
    </w:p>
  </w:footnote>
  <w:footnote w:type="continuationSeparator" w:id="0">
    <w:p w14:paraId="14263D2B" w14:textId="77777777" w:rsidR="00D46F6A" w:rsidRDefault="00D46F6A" w:rsidP="00336A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9947" w14:textId="77777777" w:rsidR="00336A5F" w:rsidRDefault="00336A5F"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37ED3" w14:paraId="30DDE8EF" w14:textId="77777777" w:rsidTr="005558E0">
      <w:tc>
        <w:tcPr>
          <w:tcW w:w="2160" w:type="dxa"/>
          <w:shd w:val="clear" w:color="auto" w:fill="auto"/>
        </w:tcPr>
        <w:p w14:paraId="520BFC61" w14:textId="77777777" w:rsidR="00336A5F" w:rsidRPr="00044613" w:rsidRDefault="00336A5F" w:rsidP="005558E0">
          <w:pPr>
            <w:pStyle w:val="Huisstijl-Adres"/>
          </w:pPr>
          <w:r>
            <w:rPr>
              <w:b/>
            </w:rPr>
            <w:t>Directoraat-generaal Klimaat en Energie</w:t>
          </w:r>
          <w:r>
            <w:rPr>
              <w:b/>
            </w:rPr>
            <w:br/>
          </w:r>
          <w:r>
            <w:t>Directie Klimaat</w:t>
          </w:r>
        </w:p>
      </w:tc>
    </w:tr>
    <w:tr w:rsidR="00A37ED3" w14:paraId="7EF51C8A" w14:textId="77777777" w:rsidTr="005558E0">
      <w:trPr>
        <w:trHeight w:hRule="exact" w:val="200"/>
      </w:trPr>
      <w:tc>
        <w:tcPr>
          <w:tcW w:w="2160" w:type="dxa"/>
          <w:shd w:val="clear" w:color="auto" w:fill="auto"/>
        </w:tcPr>
        <w:p w14:paraId="4C3DEE8B" w14:textId="77777777" w:rsidR="00336A5F" w:rsidRPr="005819CE" w:rsidRDefault="00336A5F" w:rsidP="005558E0"/>
      </w:tc>
    </w:tr>
    <w:tr w:rsidR="00A37ED3" w14:paraId="590AE877" w14:textId="77777777" w:rsidTr="005558E0">
      <w:tc>
        <w:tcPr>
          <w:tcW w:w="2160" w:type="dxa"/>
          <w:shd w:val="clear" w:color="auto" w:fill="auto"/>
        </w:tcPr>
        <w:p w14:paraId="1C54D65E" w14:textId="77777777" w:rsidR="00336A5F" w:rsidRPr="005819CE" w:rsidRDefault="00336A5F" w:rsidP="005558E0">
          <w:pPr>
            <w:pStyle w:val="Huisstijl-Kopje"/>
          </w:pPr>
          <w:r>
            <w:t>Ons kenmerk</w:t>
          </w:r>
        </w:p>
        <w:p w14:paraId="7DB08DEA" w14:textId="77777777" w:rsidR="00336A5F" w:rsidRDefault="00336A5F" w:rsidP="005558E0">
          <w:pPr>
            <w:pStyle w:val="Huisstijl-Gegeven"/>
          </w:pPr>
          <w:r>
            <w:t xml:space="preserve">DGKE-K / </w:t>
          </w:r>
        </w:p>
        <w:p w14:paraId="79414BEE" w14:textId="77777777" w:rsidR="00336A5F" w:rsidRPr="005819CE" w:rsidRDefault="00336A5F" w:rsidP="005558E0">
          <w:pPr>
            <w:pStyle w:val="Huisstijl-Gegeven"/>
          </w:pPr>
        </w:p>
      </w:tc>
    </w:tr>
  </w:tbl>
  <w:p w14:paraId="1284F294" w14:textId="77777777" w:rsidR="00336A5F" w:rsidRPr="00217880" w:rsidRDefault="00336A5F"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37ED3" w14:paraId="69C2923A" w14:textId="77777777" w:rsidTr="003B7675">
      <w:trPr>
        <w:trHeight w:val="2636"/>
      </w:trPr>
      <w:tc>
        <w:tcPr>
          <w:tcW w:w="737" w:type="dxa"/>
          <w:shd w:val="clear" w:color="auto" w:fill="auto"/>
        </w:tcPr>
        <w:p w14:paraId="0C59DADB" w14:textId="17151A34" w:rsidR="00336A5F" w:rsidRDefault="00336A5F" w:rsidP="00044613">
          <w:pPr>
            <w:framePr w:w="6340" w:h="2750" w:hRule="exact" w:hSpace="180" w:wrap="around" w:vAnchor="page" w:hAnchor="text" w:x="3873" w:y="-70"/>
            <w:spacing w:line="240" w:lineRule="auto"/>
          </w:pPr>
        </w:p>
      </w:tc>
      <w:tc>
        <w:tcPr>
          <w:tcW w:w="5156" w:type="dxa"/>
          <w:shd w:val="clear" w:color="auto" w:fill="auto"/>
        </w:tcPr>
        <w:p w14:paraId="6E2DAFEA" w14:textId="77777777" w:rsidR="00336A5F" w:rsidRPr="00DB5138" w:rsidRDefault="00336A5F" w:rsidP="00044613">
          <w:pPr>
            <w:framePr w:w="6340" w:h="2750" w:hRule="exact" w:hSpace="180" w:wrap="around" w:vAnchor="page" w:hAnchor="text" w:x="3873" w:y="-70"/>
            <w:spacing w:line="240" w:lineRule="auto"/>
          </w:pPr>
        </w:p>
      </w:tc>
    </w:tr>
  </w:tbl>
  <w:p w14:paraId="68709C66" w14:textId="77777777" w:rsidR="00336A5F" w:rsidRDefault="00336A5F" w:rsidP="00044613">
    <w:pPr>
      <w:framePr w:w="6340" w:h="2750" w:hRule="exact" w:hSpace="180" w:wrap="around" w:vAnchor="page" w:hAnchor="text" w:x="3873" w:y="-70"/>
    </w:pPr>
  </w:p>
  <w:p w14:paraId="03663237" w14:textId="77777777" w:rsidR="00336A5F" w:rsidRPr="00BC4AE3" w:rsidRDefault="00336A5F"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495DB"/>
    <w:multiLevelType w:val="hybridMultilevel"/>
    <w:tmpl w:val="39B8D48A"/>
    <w:lvl w:ilvl="0" w:tplc="4B963826">
      <w:start w:val="1"/>
      <w:numFmt w:val="bullet"/>
      <w:lvlText w:val="·"/>
      <w:lvlJc w:val="left"/>
      <w:pPr>
        <w:ind w:left="720" w:hanging="360"/>
      </w:pPr>
      <w:rPr>
        <w:rFonts w:ascii="Symbol" w:hAnsi="Symbol" w:hint="default"/>
      </w:rPr>
    </w:lvl>
    <w:lvl w:ilvl="1" w:tplc="6FB83FE8">
      <w:start w:val="1"/>
      <w:numFmt w:val="bullet"/>
      <w:lvlText w:val="o"/>
      <w:lvlJc w:val="left"/>
      <w:pPr>
        <w:ind w:left="1440" w:hanging="360"/>
      </w:pPr>
      <w:rPr>
        <w:rFonts w:ascii="Courier New" w:hAnsi="Courier New" w:hint="default"/>
      </w:rPr>
    </w:lvl>
    <w:lvl w:ilvl="2" w:tplc="0A747AE0">
      <w:start w:val="1"/>
      <w:numFmt w:val="bullet"/>
      <w:lvlText w:val=""/>
      <w:lvlJc w:val="left"/>
      <w:pPr>
        <w:ind w:left="2160" w:hanging="360"/>
      </w:pPr>
      <w:rPr>
        <w:rFonts w:ascii="Wingdings" w:hAnsi="Wingdings" w:hint="default"/>
      </w:rPr>
    </w:lvl>
    <w:lvl w:ilvl="3" w:tplc="4122035A">
      <w:start w:val="1"/>
      <w:numFmt w:val="bullet"/>
      <w:lvlText w:val=""/>
      <w:lvlJc w:val="left"/>
      <w:pPr>
        <w:ind w:left="2880" w:hanging="360"/>
      </w:pPr>
      <w:rPr>
        <w:rFonts w:ascii="Symbol" w:hAnsi="Symbol" w:hint="default"/>
      </w:rPr>
    </w:lvl>
    <w:lvl w:ilvl="4" w:tplc="E0A6FEE2">
      <w:start w:val="1"/>
      <w:numFmt w:val="bullet"/>
      <w:lvlText w:val="o"/>
      <w:lvlJc w:val="left"/>
      <w:pPr>
        <w:ind w:left="3600" w:hanging="360"/>
      </w:pPr>
      <w:rPr>
        <w:rFonts w:ascii="Courier New" w:hAnsi="Courier New" w:hint="default"/>
      </w:rPr>
    </w:lvl>
    <w:lvl w:ilvl="5" w:tplc="B0FEB034">
      <w:start w:val="1"/>
      <w:numFmt w:val="bullet"/>
      <w:lvlText w:val=""/>
      <w:lvlJc w:val="left"/>
      <w:pPr>
        <w:ind w:left="4320" w:hanging="360"/>
      </w:pPr>
      <w:rPr>
        <w:rFonts w:ascii="Wingdings" w:hAnsi="Wingdings" w:hint="default"/>
      </w:rPr>
    </w:lvl>
    <w:lvl w:ilvl="6" w:tplc="53FECA90">
      <w:start w:val="1"/>
      <w:numFmt w:val="bullet"/>
      <w:lvlText w:val=""/>
      <w:lvlJc w:val="left"/>
      <w:pPr>
        <w:ind w:left="5040" w:hanging="360"/>
      </w:pPr>
      <w:rPr>
        <w:rFonts w:ascii="Symbol" w:hAnsi="Symbol" w:hint="default"/>
      </w:rPr>
    </w:lvl>
    <w:lvl w:ilvl="7" w:tplc="925A2802">
      <w:start w:val="1"/>
      <w:numFmt w:val="bullet"/>
      <w:lvlText w:val="o"/>
      <w:lvlJc w:val="left"/>
      <w:pPr>
        <w:ind w:left="5760" w:hanging="360"/>
      </w:pPr>
      <w:rPr>
        <w:rFonts w:ascii="Courier New" w:hAnsi="Courier New" w:hint="default"/>
      </w:rPr>
    </w:lvl>
    <w:lvl w:ilvl="8" w:tplc="475E5D9E">
      <w:start w:val="1"/>
      <w:numFmt w:val="bullet"/>
      <w:lvlText w:val=""/>
      <w:lvlJc w:val="left"/>
      <w:pPr>
        <w:ind w:left="6480" w:hanging="360"/>
      </w:pPr>
      <w:rPr>
        <w:rFonts w:ascii="Wingdings" w:hAnsi="Wingdings" w:hint="default"/>
      </w:rPr>
    </w:lvl>
  </w:abstractNum>
  <w:abstractNum w:abstractNumId="1" w15:restartNumberingAfterBreak="0">
    <w:nsid w:val="6770C83A"/>
    <w:multiLevelType w:val="hybridMultilevel"/>
    <w:tmpl w:val="6C80D792"/>
    <w:lvl w:ilvl="0" w:tplc="AE72D504">
      <w:start w:val="1"/>
      <w:numFmt w:val="bullet"/>
      <w:lvlText w:val="·"/>
      <w:lvlJc w:val="left"/>
      <w:pPr>
        <w:ind w:left="720" w:hanging="360"/>
      </w:pPr>
      <w:rPr>
        <w:rFonts w:ascii="Symbol" w:hAnsi="Symbol" w:hint="default"/>
      </w:rPr>
    </w:lvl>
    <w:lvl w:ilvl="1" w:tplc="77624D52">
      <w:start w:val="1"/>
      <w:numFmt w:val="bullet"/>
      <w:lvlText w:val="o"/>
      <w:lvlJc w:val="left"/>
      <w:pPr>
        <w:ind w:left="1440" w:hanging="360"/>
      </w:pPr>
      <w:rPr>
        <w:rFonts w:ascii="Courier New" w:hAnsi="Courier New" w:hint="default"/>
      </w:rPr>
    </w:lvl>
    <w:lvl w:ilvl="2" w:tplc="948E6E46">
      <w:start w:val="1"/>
      <w:numFmt w:val="bullet"/>
      <w:lvlText w:val=""/>
      <w:lvlJc w:val="left"/>
      <w:pPr>
        <w:ind w:left="2160" w:hanging="360"/>
      </w:pPr>
      <w:rPr>
        <w:rFonts w:ascii="Wingdings" w:hAnsi="Wingdings" w:hint="default"/>
      </w:rPr>
    </w:lvl>
    <w:lvl w:ilvl="3" w:tplc="084E061A">
      <w:start w:val="1"/>
      <w:numFmt w:val="bullet"/>
      <w:lvlText w:val=""/>
      <w:lvlJc w:val="left"/>
      <w:pPr>
        <w:ind w:left="2880" w:hanging="360"/>
      </w:pPr>
      <w:rPr>
        <w:rFonts w:ascii="Symbol" w:hAnsi="Symbol" w:hint="default"/>
      </w:rPr>
    </w:lvl>
    <w:lvl w:ilvl="4" w:tplc="6B066626">
      <w:start w:val="1"/>
      <w:numFmt w:val="bullet"/>
      <w:lvlText w:val="o"/>
      <w:lvlJc w:val="left"/>
      <w:pPr>
        <w:ind w:left="3600" w:hanging="360"/>
      </w:pPr>
      <w:rPr>
        <w:rFonts w:ascii="Courier New" w:hAnsi="Courier New" w:hint="default"/>
      </w:rPr>
    </w:lvl>
    <w:lvl w:ilvl="5" w:tplc="517EBE98">
      <w:start w:val="1"/>
      <w:numFmt w:val="bullet"/>
      <w:lvlText w:val=""/>
      <w:lvlJc w:val="left"/>
      <w:pPr>
        <w:ind w:left="4320" w:hanging="360"/>
      </w:pPr>
      <w:rPr>
        <w:rFonts w:ascii="Wingdings" w:hAnsi="Wingdings" w:hint="default"/>
      </w:rPr>
    </w:lvl>
    <w:lvl w:ilvl="6" w:tplc="875E9986">
      <w:start w:val="1"/>
      <w:numFmt w:val="bullet"/>
      <w:lvlText w:val=""/>
      <w:lvlJc w:val="left"/>
      <w:pPr>
        <w:ind w:left="5040" w:hanging="360"/>
      </w:pPr>
      <w:rPr>
        <w:rFonts w:ascii="Symbol" w:hAnsi="Symbol" w:hint="default"/>
      </w:rPr>
    </w:lvl>
    <w:lvl w:ilvl="7" w:tplc="4748E198">
      <w:start w:val="1"/>
      <w:numFmt w:val="bullet"/>
      <w:lvlText w:val="o"/>
      <w:lvlJc w:val="left"/>
      <w:pPr>
        <w:ind w:left="5760" w:hanging="360"/>
      </w:pPr>
      <w:rPr>
        <w:rFonts w:ascii="Courier New" w:hAnsi="Courier New" w:hint="default"/>
      </w:rPr>
    </w:lvl>
    <w:lvl w:ilvl="8" w:tplc="4A1CA128">
      <w:start w:val="1"/>
      <w:numFmt w:val="bullet"/>
      <w:lvlText w:val=""/>
      <w:lvlJc w:val="left"/>
      <w:pPr>
        <w:ind w:left="6480" w:hanging="360"/>
      </w:pPr>
      <w:rPr>
        <w:rFonts w:ascii="Wingdings" w:hAnsi="Wingdings" w:hint="default"/>
      </w:rPr>
    </w:lvl>
  </w:abstractNum>
  <w:num w:numId="1" w16cid:durableId="1189295718">
    <w:abstractNumId w:val="1"/>
  </w:num>
  <w:num w:numId="2" w16cid:durableId="120475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5F"/>
    <w:rsid w:val="00336A5F"/>
    <w:rsid w:val="004213FB"/>
    <w:rsid w:val="00541253"/>
    <w:rsid w:val="00591706"/>
    <w:rsid w:val="007578BD"/>
    <w:rsid w:val="007F37FE"/>
    <w:rsid w:val="008333F0"/>
    <w:rsid w:val="00957888"/>
    <w:rsid w:val="00D46F6A"/>
    <w:rsid w:val="00DB06C5"/>
    <w:rsid w:val="00F66EE8"/>
    <w:rsid w:val="00FC3CB6"/>
    <w:rsid w:val="00FE4E5C"/>
    <w:rsid w:val="29AA0224"/>
    <w:rsid w:val="5C30D8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8BE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6A5F"/>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336A5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36A5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36A5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36A5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336A5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336A5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336A5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336A5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336A5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6A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6A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6A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6A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6A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6A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6A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6A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6A5F"/>
    <w:rPr>
      <w:rFonts w:eastAsiaTheme="majorEastAsia" w:cstheme="majorBidi"/>
      <w:color w:val="272727" w:themeColor="text1" w:themeTint="D8"/>
    </w:rPr>
  </w:style>
  <w:style w:type="paragraph" w:styleId="Titel">
    <w:name w:val="Title"/>
    <w:basedOn w:val="Standaard"/>
    <w:next w:val="Standaard"/>
    <w:link w:val="TitelChar"/>
    <w:uiPriority w:val="10"/>
    <w:qFormat/>
    <w:rsid w:val="00336A5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36A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6A5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36A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6A5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336A5F"/>
    <w:rPr>
      <w:i/>
      <w:iCs/>
      <w:color w:val="404040" w:themeColor="text1" w:themeTint="BF"/>
    </w:rPr>
  </w:style>
  <w:style w:type="paragraph" w:styleId="Lijstalinea">
    <w:name w:val="List Paragraph"/>
    <w:basedOn w:val="Standaard"/>
    <w:uiPriority w:val="34"/>
    <w:qFormat/>
    <w:rsid w:val="00336A5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336A5F"/>
    <w:rPr>
      <w:i/>
      <w:iCs/>
      <w:color w:val="0F4761" w:themeColor="accent1" w:themeShade="BF"/>
    </w:rPr>
  </w:style>
  <w:style w:type="paragraph" w:styleId="Duidelijkcitaat">
    <w:name w:val="Intense Quote"/>
    <w:basedOn w:val="Standaard"/>
    <w:next w:val="Standaard"/>
    <w:link w:val="DuidelijkcitaatChar"/>
    <w:uiPriority w:val="30"/>
    <w:qFormat/>
    <w:rsid w:val="00336A5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336A5F"/>
    <w:rPr>
      <w:i/>
      <w:iCs/>
      <w:color w:val="0F4761" w:themeColor="accent1" w:themeShade="BF"/>
    </w:rPr>
  </w:style>
  <w:style w:type="character" w:styleId="Intensieveverwijzing">
    <w:name w:val="Intense Reference"/>
    <w:basedOn w:val="Standaardalinea-lettertype"/>
    <w:uiPriority w:val="32"/>
    <w:qFormat/>
    <w:rsid w:val="00336A5F"/>
    <w:rPr>
      <w:b/>
      <w:bCs/>
      <w:smallCaps/>
      <w:color w:val="0F4761" w:themeColor="accent1" w:themeShade="BF"/>
      <w:spacing w:val="5"/>
    </w:rPr>
  </w:style>
  <w:style w:type="paragraph" w:styleId="Koptekst">
    <w:name w:val="header"/>
    <w:basedOn w:val="Standaard"/>
    <w:link w:val="KoptekstChar"/>
    <w:rsid w:val="00336A5F"/>
    <w:pPr>
      <w:tabs>
        <w:tab w:val="center" w:pos="4536"/>
        <w:tab w:val="right" w:pos="9072"/>
      </w:tabs>
    </w:pPr>
  </w:style>
  <w:style w:type="character" w:customStyle="1" w:styleId="KoptekstChar">
    <w:name w:val="Koptekst Char"/>
    <w:basedOn w:val="Standaardalinea-lettertype"/>
    <w:link w:val="Koptekst"/>
    <w:rsid w:val="00336A5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36A5F"/>
    <w:pPr>
      <w:tabs>
        <w:tab w:val="center" w:pos="4536"/>
        <w:tab w:val="right" w:pos="9072"/>
      </w:tabs>
    </w:pPr>
  </w:style>
  <w:style w:type="character" w:customStyle="1" w:styleId="VoettekstChar">
    <w:name w:val="Voettekst Char"/>
    <w:basedOn w:val="Standaardalinea-lettertype"/>
    <w:link w:val="Voettekst"/>
    <w:rsid w:val="00336A5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36A5F"/>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336A5F"/>
    <w:rPr>
      <w:rFonts w:ascii="Verdana" w:hAnsi="Verdana"/>
      <w:noProof/>
      <w:sz w:val="13"/>
      <w:szCs w:val="24"/>
      <w:lang w:eastAsia="nl-NL"/>
    </w:rPr>
  </w:style>
  <w:style w:type="paragraph" w:customStyle="1" w:styleId="Huisstijl-Gegeven">
    <w:name w:val="Huisstijl-Gegeven"/>
    <w:basedOn w:val="Standaard"/>
    <w:link w:val="Huisstijl-GegevenCharChar"/>
    <w:rsid w:val="00336A5F"/>
    <w:pPr>
      <w:spacing w:after="92" w:line="180" w:lineRule="exact"/>
    </w:pPr>
    <w:rPr>
      <w:rFonts w:eastAsiaTheme="minorHAnsi" w:cstheme="minorBidi"/>
      <w:noProof/>
      <w:kern w:val="2"/>
      <w:sz w:val="13"/>
      <w14:ligatures w14:val="standardContextual"/>
    </w:rPr>
  </w:style>
  <w:style w:type="paragraph" w:customStyle="1" w:styleId="Huisstijl-Rubricering">
    <w:name w:val="Huisstijl-Rubricering"/>
    <w:basedOn w:val="Standaard"/>
    <w:rsid w:val="00336A5F"/>
    <w:pPr>
      <w:adjustRightInd w:val="0"/>
      <w:spacing w:line="180" w:lineRule="exact"/>
    </w:pPr>
    <w:rPr>
      <w:rFonts w:cs="Verdana-Bold"/>
      <w:b/>
      <w:bCs/>
      <w:smallCaps/>
      <w:noProof/>
      <w:sz w:val="13"/>
      <w:szCs w:val="13"/>
    </w:rPr>
  </w:style>
  <w:style w:type="paragraph" w:customStyle="1" w:styleId="Huisstijl-NAW">
    <w:name w:val="Huisstijl-NAW"/>
    <w:basedOn w:val="Standaard"/>
    <w:rsid w:val="00336A5F"/>
    <w:pPr>
      <w:adjustRightInd w:val="0"/>
    </w:pPr>
    <w:rPr>
      <w:rFonts w:cs="Verdana"/>
      <w:noProof/>
      <w:szCs w:val="18"/>
    </w:rPr>
  </w:style>
  <w:style w:type="paragraph" w:customStyle="1" w:styleId="Huisstijl-Kopje">
    <w:name w:val="Huisstijl-Kopje"/>
    <w:basedOn w:val="Huisstijl-Gegeven"/>
    <w:rsid w:val="00336A5F"/>
    <w:pPr>
      <w:spacing w:after="0"/>
    </w:pPr>
    <w:rPr>
      <w:b/>
    </w:rPr>
  </w:style>
  <w:style w:type="paragraph" w:customStyle="1" w:styleId="Huisstijl-Paginanummering">
    <w:name w:val="Huisstijl-Paginanummering"/>
    <w:basedOn w:val="Standaard"/>
    <w:rsid w:val="00336A5F"/>
    <w:pPr>
      <w:spacing w:line="180" w:lineRule="exact"/>
    </w:pPr>
    <w:rPr>
      <w:noProof/>
      <w:sz w:val="13"/>
    </w:rPr>
  </w:style>
  <w:style w:type="character" w:customStyle="1" w:styleId="Huisstijl-AdresChar">
    <w:name w:val="Huisstijl-Adres Char"/>
    <w:link w:val="Huisstijl-Adres"/>
    <w:locked/>
    <w:rsid w:val="00336A5F"/>
    <w:rPr>
      <w:rFonts w:ascii="Verdana" w:eastAsia="Times New Roman" w:hAnsi="Verdana" w:cs="Verdana"/>
      <w:noProof/>
      <w:kern w:val="0"/>
      <w:sz w:val="13"/>
      <w:szCs w:val="13"/>
      <w:lang w:eastAsia="nl-NL"/>
      <w14:ligatures w14:val="none"/>
    </w:rPr>
  </w:style>
  <w:style w:type="table" w:styleId="Rastertabel5donker-Accent1">
    <w:name w:val="Grid Table 5 Dark Accent 1"/>
    <w:basedOn w:val="Standaardtabel"/>
    <w:uiPriority w:val="50"/>
    <w:rsid w:val="00336A5F"/>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232</ap:Words>
  <ap:Characters>1279</ap:Characters>
  <ap:DocSecurity>0</ap:DocSecurity>
  <ap:Lines>10</ap:Lines>
  <ap:Paragraphs>3</ap:Paragraphs>
  <ap:ScaleCrop>false</ap:ScaleCrop>
  <ap:LinksUpToDate>false</ap:LinksUpToDate>
  <ap:CharactersWithSpaces>1508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2025-06-02T13:48:00.0000000Z</dcterms:created>
  <dcterms:modified xsi:type="dcterms:W3CDTF">2025-06-02T13:48:00.0000000Z</dcterms:modified>
  <version/>
  <category/>
</coreProperties>
</file>