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4A0B" w:rsidR="00AD19E2" w:rsidRDefault="00B94A0B" w14:paraId="0157E526" w14:textId="36B8E627">
      <w:pPr>
        <w:rPr>
          <w:b/>
          <w:bCs/>
        </w:rPr>
      </w:pPr>
      <w:bookmarkStart w:name="_Hlk180676620" w:id="0"/>
      <w:r w:rsidRPr="00B94A0B">
        <w:rPr>
          <w:b/>
          <w:bCs/>
        </w:rPr>
        <w:t>Stuk 8</w:t>
      </w:r>
    </w:p>
    <w:p w:rsidRPr="00B03C09" w:rsidR="00592F9F" w:rsidP="00367454" w:rsidRDefault="00857D99" w14:paraId="23FEA0C6" w14:textId="77777777">
      <w:pPr>
        <w:rPr>
          <w:b/>
        </w:rPr>
      </w:pPr>
      <w:r w:rsidRPr="00B03C09">
        <w:rPr>
          <w:b/>
        </w:rPr>
        <w:t>Vergaderpunten</w:t>
      </w:r>
    </w:p>
    <w:p w:rsidR="00A15D93" w:rsidP="003D176B" w:rsidRDefault="00672F70" w14:paraId="7A6A87B8" w14:textId="5ED331C7">
      <w:pPr>
        <w:numPr>
          <w:ilvl w:val="0"/>
          <w:numId w:val="31"/>
        </w:numPr>
      </w:pPr>
      <w:r>
        <w:t>Aanleiding</w:t>
      </w:r>
    </w:p>
    <w:p w:rsidR="00AD19E2" w:rsidP="003D176B" w:rsidRDefault="00672F70" w14:paraId="63E5A799" w14:textId="5746A167">
      <w:pPr>
        <w:numPr>
          <w:ilvl w:val="0"/>
          <w:numId w:val="31"/>
        </w:numPr>
      </w:pPr>
      <w:r>
        <w:t>Geagendeerd Beleid</w:t>
      </w:r>
      <w:r w:rsidR="007B69D9">
        <w:t xml:space="preserve"> Industrie</w:t>
      </w:r>
    </w:p>
    <w:p w:rsidR="00AD19E2" w:rsidP="003D176B" w:rsidRDefault="00672F70" w14:paraId="7C5B83A7" w14:textId="279F4821">
      <w:pPr>
        <w:numPr>
          <w:ilvl w:val="0"/>
          <w:numId w:val="31"/>
        </w:numPr>
      </w:pPr>
      <w:r>
        <w:t>Alternatief Beleid</w:t>
      </w:r>
      <w:r w:rsidR="007B69D9">
        <w:t xml:space="preserve"> Industrie </w:t>
      </w:r>
    </w:p>
    <w:p w:rsidR="00DA7A38" w:rsidP="003D176B" w:rsidRDefault="00DA7A38" w14:paraId="73D9531E" w14:textId="116F81DF">
      <w:pPr>
        <w:numPr>
          <w:ilvl w:val="0"/>
          <w:numId w:val="31"/>
        </w:numPr>
      </w:pPr>
      <w:r>
        <w:t>Actualiteiten</w:t>
      </w:r>
    </w:p>
    <w:p w:rsidRPr="00711DF6" w:rsidR="00711DF6" w:rsidP="00711DF6" w:rsidRDefault="00711DF6" w14:paraId="0A07ABBE" w14:textId="77777777"/>
    <w:p w:rsidRPr="007953C9" w:rsidR="00672F70" w:rsidP="00672F70" w:rsidRDefault="00672F70" w14:paraId="3B7D4C19" w14:textId="77777777">
      <w:pPr>
        <w:rPr>
          <w:b/>
          <w:bCs/>
          <w:sz w:val="20"/>
          <w:szCs w:val="28"/>
          <w:u w:val="single"/>
        </w:rPr>
      </w:pPr>
      <w:r w:rsidRPr="007953C9">
        <w:rPr>
          <w:b/>
          <w:bCs/>
          <w:sz w:val="20"/>
          <w:szCs w:val="28"/>
          <w:u w:val="single"/>
        </w:rPr>
        <w:t>Aanleiding</w:t>
      </w:r>
    </w:p>
    <w:p w:rsidRPr="005E6CEC" w:rsidR="00DA7A38" w:rsidP="00DA7A38" w:rsidRDefault="00DA7A38" w14:paraId="3C2FD0D9" w14:textId="77777777">
      <w:pPr>
        <w:pStyle w:val="Lijstalinea"/>
        <w:numPr>
          <w:ilvl w:val="0"/>
          <w:numId w:val="25"/>
        </w:numPr>
        <w:rPr>
          <w:b/>
          <w:bCs/>
          <w:u w:val="single"/>
        </w:rPr>
      </w:pPr>
      <w:r w:rsidRPr="007953C9">
        <w:t xml:space="preserve">Het kabinet rapporteert twee keer per jaar over de voortgang van het klimaatbeleid, aansluitend bij de begrotingscyclus. De </w:t>
      </w:r>
      <w:proofErr w:type="spellStart"/>
      <w:r w:rsidRPr="007953C9">
        <w:t>voortgangsoverleggen</w:t>
      </w:r>
      <w:proofErr w:type="spellEnd"/>
      <w:r w:rsidRPr="007953C9">
        <w:t xml:space="preserve"> in het najaar, zijn bedoeld ter voorbereiding op de rapportage van het klimaatbeleid in het voorjaar 2025. </w:t>
      </w:r>
    </w:p>
    <w:p w:rsidRPr="007953C9" w:rsidR="00DA7A38" w:rsidP="00DA7A38" w:rsidRDefault="00DA7A38" w14:paraId="116BF8DD" w14:textId="77777777">
      <w:pPr>
        <w:pStyle w:val="Lijstalinea"/>
        <w:numPr>
          <w:ilvl w:val="0"/>
          <w:numId w:val="25"/>
        </w:numPr>
        <w:rPr>
          <w:b/>
          <w:bCs/>
          <w:u w:val="single"/>
        </w:rPr>
      </w:pPr>
      <w:r>
        <w:t>Belangrijke input hiervoor is de</w:t>
      </w:r>
      <w:r w:rsidRPr="007953C9">
        <w:t xml:space="preserve"> Klimaat en Energieverkenning (KEV) van 2024, uitgevoerd door het PBL, </w:t>
      </w:r>
      <w:r>
        <w:t xml:space="preserve">dat </w:t>
      </w:r>
      <w:r w:rsidRPr="007953C9">
        <w:t xml:space="preserve">verslag </w:t>
      </w:r>
      <w:r>
        <w:t xml:space="preserve">doet van </w:t>
      </w:r>
      <w:r w:rsidRPr="007953C9">
        <w:t>de verwachtte effecten van het gevoerde klimaatbeleid.</w:t>
      </w:r>
    </w:p>
    <w:p w:rsidRPr="000B3C18" w:rsidR="00DA7A38" w:rsidP="00DA7A38" w:rsidRDefault="00DA7A38" w14:paraId="7636FC91" w14:textId="77777777">
      <w:pPr>
        <w:pStyle w:val="Lijstalinea"/>
        <w:numPr>
          <w:ilvl w:val="0"/>
          <w:numId w:val="25"/>
        </w:numPr>
      </w:pPr>
      <w:r w:rsidRPr="00E571F5">
        <w:rPr>
          <w:szCs w:val="18"/>
        </w:rPr>
        <w:t>Op 24 oktober jl. heeft PBL de jaarlijks</w:t>
      </w:r>
      <w:r>
        <w:rPr>
          <w:szCs w:val="18"/>
        </w:rPr>
        <w:t>e</w:t>
      </w:r>
      <w:r w:rsidRPr="00E571F5">
        <w:rPr>
          <w:szCs w:val="18"/>
        </w:rPr>
        <w:t xml:space="preserve"> KEV gepubliceerd. De industrie komt in 2030 naar verwachting uit op 38,5 megaton restemissie uit (met een bandbreedte van 33,3 tot 42,5 (inclusief geagendeerd beleid is dit 32,1 – 41,3). Dit is een reductie van 56% t.o.v. 1990. </w:t>
      </w:r>
    </w:p>
    <w:p w:rsidRPr="007953C9" w:rsidR="00DA7A38" w:rsidP="00DA7A38" w:rsidRDefault="00DA7A38" w14:paraId="36842F0D" w14:textId="77777777">
      <w:pPr>
        <w:pStyle w:val="Lijstalinea"/>
        <w:numPr>
          <w:ilvl w:val="0"/>
          <w:numId w:val="25"/>
        </w:numPr>
      </w:pPr>
      <w:r w:rsidRPr="00E571F5">
        <w:rPr>
          <w:szCs w:val="18"/>
        </w:rPr>
        <w:t xml:space="preserve">Het restemissiedoel voor de industrie in 2030 ligt op 29,1 </w:t>
      </w:r>
      <w:proofErr w:type="spellStart"/>
      <w:r w:rsidRPr="00E571F5">
        <w:rPr>
          <w:szCs w:val="18"/>
        </w:rPr>
        <w:t>Mton</w:t>
      </w:r>
      <w:proofErr w:type="spellEnd"/>
      <w:r>
        <w:rPr>
          <w:szCs w:val="18"/>
        </w:rPr>
        <w:t xml:space="preserve"> (66,5% </w:t>
      </w:r>
      <w:proofErr w:type="spellStart"/>
      <w:r>
        <w:rPr>
          <w:szCs w:val="18"/>
        </w:rPr>
        <w:t>tov</w:t>
      </w:r>
      <w:proofErr w:type="spellEnd"/>
      <w:r>
        <w:rPr>
          <w:szCs w:val="18"/>
        </w:rPr>
        <w:t xml:space="preserve"> 1990)</w:t>
      </w:r>
      <w:r w:rsidRPr="00E571F5">
        <w:rPr>
          <w:szCs w:val="18"/>
        </w:rPr>
        <w:t>.</w:t>
      </w:r>
      <w:r>
        <w:rPr>
          <w:szCs w:val="18"/>
        </w:rPr>
        <w:t xml:space="preserve"> Op basis van de scenario’s die het PBL doorrekent is de kans op het realiseren van de doelstelling van de klimaatsector industrie minder dan 5%</w:t>
      </w:r>
      <w:r w:rsidRPr="007953C9">
        <w:t>.</w:t>
      </w:r>
    </w:p>
    <w:p w:rsidRPr="007953C9" w:rsidR="00DA7A38" w:rsidP="00DA7A38" w:rsidRDefault="00DA7A38" w14:paraId="080DE09D" w14:textId="77777777">
      <w:pPr>
        <w:pStyle w:val="Lijstalinea"/>
        <w:numPr>
          <w:ilvl w:val="0"/>
          <w:numId w:val="25"/>
        </w:numPr>
      </w:pPr>
      <w:r w:rsidRPr="007953C9">
        <w:t>In dit gesprek wordt stilgestaan bij de stand van zaken van de klimaat- en energiemaatregelen voor de industrie die reeds in uitvoering zijn en hoe eventuele knelpunten in de uitvoering kunnen worden weggenomen. Daarnaast wordt stilgestaan bij welke alternatieve maatregelen in de sector mogelijk zijn om invulling te geven aan de klimaat- en energiebesparingsdoelen</w:t>
      </w:r>
      <w:r>
        <w:t xml:space="preserve"> en bijdragen aan de verduurzaming van de industrie</w:t>
      </w:r>
      <w:r w:rsidRPr="007953C9">
        <w:t xml:space="preserve">. </w:t>
      </w:r>
    </w:p>
    <w:p w:rsidRPr="007953C9" w:rsidR="00DA7A38" w:rsidP="00DA7A38" w:rsidRDefault="00DA7A38" w14:paraId="176EA72D" w14:textId="77777777">
      <w:pPr>
        <w:pStyle w:val="Lijstalinea"/>
        <w:numPr>
          <w:ilvl w:val="0"/>
          <w:numId w:val="25"/>
        </w:numPr>
      </w:pPr>
      <w:r w:rsidRPr="007953C9">
        <w:t>Doel is om tot een gedeeld beeld te komen van</w:t>
      </w:r>
      <w:r>
        <w:t xml:space="preserve"> </w:t>
      </w:r>
      <w:proofErr w:type="spellStart"/>
      <w:r>
        <w:t>denkwijzes</w:t>
      </w:r>
      <w:proofErr w:type="spellEnd"/>
      <w:r>
        <w:t xml:space="preserve"> en</w:t>
      </w:r>
      <w:r w:rsidRPr="007953C9">
        <w:t xml:space="preserve"> maatregelen die</w:t>
      </w:r>
      <w:r>
        <w:t xml:space="preserve"> mogelijk</w:t>
      </w:r>
      <w:r w:rsidRPr="007953C9">
        <w:t xml:space="preserve"> onderdeel </w:t>
      </w:r>
      <w:r>
        <w:t>kunnen</w:t>
      </w:r>
      <w:r w:rsidRPr="007953C9">
        <w:t xml:space="preserve"> vormen van de Voorjaarsnota 2025 en komende periode worden uitgewerkt.</w:t>
      </w:r>
    </w:p>
    <w:p w:rsidR="00DA7A38" w:rsidP="00DA7A38" w:rsidRDefault="00DA7A38" w14:paraId="0B102F69" w14:textId="77777777">
      <w:pPr>
        <w:pStyle w:val="Lijstalinea"/>
        <w:numPr>
          <w:ilvl w:val="0"/>
          <w:numId w:val="25"/>
        </w:numPr>
      </w:pPr>
      <w:r w:rsidRPr="007953C9">
        <w:lastRenderedPageBreak/>
        <w:t>Maatregelen op het gebied van circulaire economie worden besproken in een apart BWO CE met I&amp;W.</w:t>
      </w:r>
    </w:p>
    <w:p w:rsidRPr="007953C9" w:rsidR="00672F70" w:rsidP="00672F70" w:rsidRDefault="00672F70" w14:paraId="69E636EB" w14:textId="77777777">
      <w:pPr>
        <w:pStyle w:val="Lijstalinea"/>
        <w:ind w:left="360"/>
      </w:pPr>
    </w:p>
    <w:p w:rsidRPr="007953C9" w:rsidR="00672F70" w:rsidP="00672F70" w:rsidRDefault="00672F70" w14:paraId="3FD5C1DE" w14:textId="77777777">
      <w:pPr>
        <w:pStyle w:val="Lijstalinea"/>
        <w:ind w:left="360"/>
      </w:pPr>
    </w:p>
    <w:p w:rsidRPr="007953C9" w:rsidR="00672F70" w:rsidP="00672F70" w:rsidRDefault="00672F70" w14:paraId="067B3C17" w14:textId="77777777">
      <w:pPr>
        <w:pStyle w:val="Lijstalinea"/>
        <w:numPr>
          <w:ilvl w:val="0"/>
          <w:numId w:val="19"/>
        </w:numPr>
        <w:rPr>
          <w:b/>
          <w:bCs/>
          <w:sz w:val="20"/>
          <w:szCs w:val="28"/>
        </w:rPr>
      </w:pPr>
      <w:r>
        <w:rPr>
          <w:b/>
          <w:bCs/>
          <w:sz w:val="20"/>
          <w:szCs w:val="28"/>
          <w:u w:val="single"/>
        </w:rPr>
        <w:t xml:space="preserve"> Geagendeerd Beleid </w:t>
      </w:r>
    </w:p>
    <w:p w:rsidRPr="007953C9" w:rsidR="008F3FFE" w:rsidP="008F3FFE" w:rsidRDefault="008F3FFE" w14:paraId="38EEAC6E" w14:textId="77777777">
      <w:pPr>
        <w:pStyle w:val="Lijstalinea"/>
        <w:numPr>
          <w:ilvl w:val="0"/>
          <w:numId w:val="23"/>
        </w:numPr>
      </w:pPr>
      <w:r w:rsidRPr="007953C9">
        <w:t xml:space="preserve">In de bijlage is een overzicht opgenomen van de industriemaatregelen die afgelopen jaren zijn getroffen en de huidige status. Hierbij is gebruikgemaakt van informatie van de </w:t>
      </w:r>
      <w:proofErr w:type="spellStart"/>
      <w:r w:rsidRPr="007953C9">
        <w:rPr>
          <w:i/>
          <w:iCs/>
        </w:rPr>
        <w:t>workflowtool</w:t>
      </w:r>
      <w:proofErr w:type="spellEnd"/>
      <w:r w:rsidRPr="007953C9">
        <w:t>, aangevuld met de inhoud van het HLA en de uitkomsten van de augustusbesluitvorming.</w:t>
      </w:r>
      <w:r>
        <w:t xml:space="preserve"> </w:t>
      </w:r>
    </w:p>
    <w:p w:rsidR="008F3FFE" w:rsidP="008F3FFE" w:rsidRDefault="008F3FFE" w14:paraId="3759D46C" w14:textId="77777777">
      <w:pPr>
        <w:pStyle w:val="Lijstalinea"/>
        <w:numPr>
          <w:ilvl w:val="0"/>
          <w:numId w:val="23"/>
        </w:numPr>
      </w:pPr>
      <w:r w:rsidRPr="007953C9">
        <w:t>Hieruit komt naar voren dat de uitvoering van</w:t>
      </w:r>
      <w:r>
        <w:t xml:space="preserve"> geagendeerd en</w:t>
      </w:r>
      <w:r w:rsidRPr="007953C9">
        <w:t xml:space="preserve"> reeds ingezet beleid over het algemeen voortgang laat zien, maar er een aantal (grotere) maatregelen vertraagd zijn.</w:t>
      </w:r>
      <w:r>
        <w:t xml:space="preserve"> </w:t>
      </w:r>
    </w:p>
    <w:p w:rsidR="008F3FFE" w:rsidP="008F3FFE" w:rsidRDefault="008F3FFE" w14:paraId="0C37129F" w14:textId="77777777">
      <w:pPr>
        <w:pStyle w:val="Lijstalinea"/>
        <w:numPr>
          <w:ilvl w:val="0"/>
          <w:numId w:val="23"/>
        </w:numPr>
      </w:pPr>
      <w:r>
        <w:t xml:space="preserve">Aandachtspunt is dat bepaalde klimaatfondsmaatregelen als voorwaarde het verhogen van de CO2-heffing hadden (zie bijlage ophoging perceel maatwerk en </w:t>
      </w:r>
      <w:proofErr w:type="spellStart"/>
      <w:r>
        <w:t>internsivering</w:t>
      </w:r>
      <w:proofErr w:type="spellEnd"/>
      <w:r>
        <w:t xml:space="preserve"> van de DEI+). </w:t>
      </w:r>
    </w:p>
    <w:p w:rsidRPr="007953C9" w:rsidR="008F3FFE" w:rsidP="008F3FFE" w:rsidRDefault="008F3FFE" w14:paraId="37D21A01" w14:textId="77777777">
      <w:pPr>
        <w:pStyle w:val="Lijstalinea"/>
        <w:numPr>
          <w:ilvl w:val="0"/>
          <w:numId w:val="23"/>
        </w:numPr>
      </w:pPr>
      <w:r>
        <w:t xml:space="preserve">Nu de verhoging van de CO2-heffing n.a.v. het HLA geen doorgang vindt, zal op alternatieve wijze invulling aan deze voorwaarde moeten worden gegeven </w:t>
      </w:r>
      <w:proofErr w:type="spellStart"/>
      <w:r>
        <w:t>alsvorens</w:t>
      </w:r>
      <w:proofErr w:type="spellEnd"/>
      <w:r>
        <w:t xml:space="preserve"> de middelen kunnen worden toegekend. Deze beleidskeuzes worden geadresseerd onder agendapunt 2: Alternatief beleid. </w:t>
      </w:r>
    </w:p>
    <w:p w:rsidRPr="007953C9" w:rsidR="008F3FFE" w:rsidP="008F3FFE" w:rsidRDefault="008F3FFE" w14:paraId="123C73B4" w14:textId="77777777">
      <w:pPr>
        <w:pStyle w:val="Lijstalinea"/>
        <w:numPr>
          <w:ilvl w:val="0"/>
          <w:numId w:val="23"/>
        </w:numPr>
      </w:pPr>
      <w:r w:rsidRPr="007953C9">
        <w:t xml:space="preserve">De volgende </w:t>
      </w:r>
      <w:r>
        <w:t xml:space="preserve">geagendeerde </w:t>
      </w:r>
      <w:r w:rsidRPr="007953C9">
        <w:t xml:space="preserve">maatregelen </w:t>
      </w:r>
      <w:r>
        <w:t xml:space="preserve">vragen </w:t>
      </w:r>
      <w:r w:rsidRPr="007953C9">
        <w:t>om specifieke aandacht:</w:t>
      </w:r>
    </w:p>
    <w:p w:rsidRPr="007953C9" w:rsidR="00672F70" w:rsidP="00672F70" w:rsidRDefault="00672F70" w14:paraId="4AC868B0" w14:textId="77777777">
      <w:pPr>
        <w:rPr>
          <w:b/>
          <w:bCs/>
        </w:rPr>
      </w:pPr>
    </w:p>
    <w:p w:rsidR="00672F70" w:rsidP="00672F70" w:rsidRDefault="00672F70" w14:paraId="0565090C" w14:textId="77777777">
      <w:pPr>
        <w:pBdr>
          <w:top w:val="single" w:color="auto" w:sz="4" w:space="1"/>
          <w:left w:val="single" w:color="auto" w:sz="4" w:space="4"/>
          <w:bottom w:val="single" w:color="auto" w:sz="4" w:space="15"/>
          <w:right w:val="single" w:color="auto" w:sz="4" w:space="4"/>
        </w:pBdr>
      </w:pPr>
      <w:r w:rsidRPr="007953C9">
        <w:rPr>
          <w:b/>
          <w:bCs/>
        </w:rPr>
        <w:t>Bespreekpunt</w:t>
      </w:r>
      <w:r>
        <w:rPr>
          <w:b/>
          <w:bCs/>
        </w:rPr>
        <w:t xml:space="preserve"> agendapunt 1a-1c</w:t>
      </w:r>
      <w:r w:rsidRPr="007953C9">
        <w:t>:</w:t>
      </w:r>
    </w:p>
    <w:p w:rsidRPr="007953C9" w:rsidR="00672F70" w:rsidP="00672F70" w:rsidRDefault="00672F70" w14:paraId="1018D46C" w14:textId="77777777">
      <w:pPr>
        <w:pBdr>
          <w:top w:val="single" w:color="auto" w:sz="4" w:space="1"/>
          <w:left w:val="single" w:color="auto" w:sz="4" w:space="4"/>
          <w:bottom w:val="single" w:color="auto" w:sz="4" w:space="15"/>
          <w:right w:val="single" w:color="auto" w:sz="4" w:space="4"/>
        </w:pBdr>
      </w:pPr>
    </w:p>
    <w:p w:rsidRPr="007953C9" w:rsidR="00672F70" w:rsidP="00672F70" w:rsidRDefault="00672F70" w14:paraId="2399FC84" w14:textId="77777777">
      <w:pPr>
        <w:pBdr>
          <w:top w:val="single" w:color="auto" w:sz="4" w:space="1"/>
          <w:left w:val="single" w:color="auto" w:sz="4" w:space="4"/>
          <w:bottom w:val="single" w:color="auto" w:sz="4" w:space="15"/>
          <w:right w:val="single" w:color="auto" w:sz="4" w:space="4"/>
        </w:pBdr>
      </w:pPr>
      <w:r w:rsidRPr="007953C9">
        <w:rPr>
          <w:i/>
          <w:iCs/>
        </w:rPr>
        <w:t>Welke aandachtspunten zijn er bij de uitwerking en uitvoering van dit beleid?</w:t>
      </w:r>
      <w:r w:rsidRPr="007953C9">
        <w:t xml:space="preserve"> </w:t>
      </w:r>
    </w:p>
    <w:p w:rsidRPr="007953C9" w:rsidR="00672F70" w:rsidP="00672F70" w:rsidRDefault="00672F70" w14:paraId="65792027" w14:textId="77777777">
      <w:pPr>
        <w:rPr>
          <w:rFonts w:eastAsia="Aptos"/>
          <w:lang w:eastAsia="en-US"/>
        </w:rPr>
      </w:pPr>
    </w:p>
    <w:p w:rsidRPr="007953C9" w:rsidR="00672F70" w:rsidP="00672F70" w:rsidRDefault="00672F70" w14:paraId="72D36DF4" w14:textId="77777777">
      <w:pPr>
        <w:pStyle w:val="Lijstalinea"/>
        <w:ind w:left="360"/>
        <w:rPr>
          <w:b/>
          <w:bCs/>
          <w:u w:val="single"/>
        </w:rPr>
      </w:pPr>
      <w:r w:rsidRPr="007953C9">
        <w:rPr>
          <w:b/>
          <w:bCs/>
          <w:u w:val="single"/>
        </w:rPr>
        <w:t>1</w:t>
      </w:r>
      <w:r>
        <w:rPr>
          <w:b/>
          <w:bCs/>
          <w:u w:val="single"/>
        </w:rPr>
        <w:t>a</w:t>
      </w:r>
      <w:r w:rsidRPr="007953C9">
        <w:rPr>
          <w:b/>
          <w:bCs/>
          <w:u w:val="single"/>
        </w:rPr>
        <w:t xml:space="preserve">. Normering </w:t>
      </w:r>
      <w:r>
        <w:rPr>
          <w:b/>
          <w:bCs/>
          <w:u w:val="single"/>
        </w:rPr>
        <w:t xml:space="preserve">verbod nieuwe </w:t>
      </w:r>
      <w:r w:rsidRPr="007953C9">
        <w:rPr>
          <w:b/>
          <w:bCs/>
          <w:u w:val="single"/>
        </w:rPr>
        <w:t>fossiel warmte-opwek</w:t>
      </w:r>
    </w:p>
    <w:p w:rsidRPr="00DF1E82" w:rsidR="00D958E0" w:rsidP="00D958E0" w:rsidRDefault="00D958E0" w14:paraId="7589DE06" w14:textId="128A165A">
      <w:pPr>
        <w:pStyle w:val="Lijstalinea"/>
        <w:numPr>
          <w:ilvl w:val="0"/>
          <w:numId w:val="26"/>
        </w:numPr>
      </w:pPr>
      <w:r w:rsidRPr="00DF1E82">
        <w:t>Deze maatregel komt voort uit het pakket bij VJN 23. Maatregel is gericht op het in beweging krijgen van achterblijvers in de energietransitie, omdat de verplichting alleen geldt voor technieken die rendabel zijn in de markt</w:t>
      </w:r>
      <w:r w:rsidRPr="00DF1E82" w:rsidR="001F2D86">
        <w:t>.</w:t>
      </w:r>
    </w:p>
    <w:p w:rsidRPr="00DF1E82" w:rsidR="00D958E0" w:rsidP="00D958E0" w:rsidRDefault="00D958E0" w14:paraId="451772E8" w14:textId="2647698C">
      <w:pPr>
        <w:pStyle w:val="Lijstalinea"/>
        <w:numPr>
          <w:ilvl w:val="0"/>
          <w:numId w:val="26"/>
        </w:numPr>
      </w:pPr>
      <w:r w:rsidRPr="00DF1E82">
        <w:t xml:space="preserve">Meest waarschijnlijke route voor invoering loopt via de omgevingswet. </w:t>
      </w:r>
    </w:p>
    <w:p w:rsidRPr="00DF1E82" w:rsidR="00D958E0" w:rsidP="00D958E0" w:rsidRDefault="00D958E0" w14:paraId="026651EE" w14:textId="77777777">
      <w:pPr>
        <w:pStyle w:val="Lijstalinea"/>
        <w:numPr>
          <w:ilvl w:val="0"/>
          <w:numId w:val="26"/>
        </w:numPr>
      </w:pPr>
      <w:r w:rsidRPr="00DF1E82">
        <w:t xml:space="preserve">Om het voorstel verder te brengen is een besluit met VRO nodig of de maatregel doorgezet wordt. Hierbij zou discussie met VRO kunnen ontstaan over of deze maatregel wordt beschouwd als nationale kop. </w:t>
      </w:r>
    </w:p>
    <w:p w:rsidRPr="0095762F" w:rsidR="00672F70" w:rsidP="00D958E0" w:rsidRDefault="00D958E0" w14:paraId="1AE0252A" w14:textId="09399DC5">
      <w:pPr>
        <w:pStyle w:val="Lijstalinea"/>
        <w:numPr>
          <w:ilvl w:val="0"/>
          <w:numId w:val="26"/>
        </w:numPr>
      </w:pPr>
      <w:r w:rsidRPr="00DF1E82">
        <w:t>VI is momenteel in overleg met VRO over de uitwerking van deze maatregel</w:t>
      </w:r>
    </w:p>
    <w:p w:rsidRPr="007953C9" w:rsidR="00D958E0" w:rsidP="00D958E0" w:rsidRDefault="00D958E0" w14:paraId="1C372C87" w14:textId="77777777"/>
    <w:p w:rsidRPr="007953C9" w:rsidR="00672F70" w:rsidP="00672F70" w:rsidRDefault="00672F70" w14:paraId="23FE7B6D" w14:textId="77777777">
      <w:pPr>
        <w:ind w:left="360"/>
        <w:rPr>
          <w:b/>
          <w:bCs/>
          <w:u w:val="single"/>
        </w:rPr>
      </w:pPr>
      <w:r w:rsidRPr="007953C9">
        <w:rPr>
          <w:b/>
          <w:bCs/>
          <w:u w:val="single"/>
        </w:rPr>
        <w:t>1</w:t>
      </w:r>
      <w:r>
        <w:rPr>
          <w:b/>
          <w:bCs/>
          <w:u w:val="single"/>
        </w:rPr>
        <w:t>b</w:t>
      </w:r>
      <w:r w:rsidRPr="007953C9">
        <w:rPr>
          <w:b/>
          <w:bCs/>
          <w:u w:val="single"/>
        </w:rPr>
        <w:t xml:space="preserve">. </w:t>
      </w:r>
      <w:r>
        <w:rPr>
          <w:b/>
          <w:bCs/>
          <w:u w:val="single"/>
        </w:rPr>
        <w:t xml:space="preserve">Ter info – flexibiliteitsopties CO2-heffing </w:t>
      </w:r>
    </w:p>
    <w:p w:rsidRPr="007953C9" w:rsidR="00672F70" w:rsidP="00672F70" w:rsidRDefault="00672F70" w14:paraId="74D1BCCA" w14:textId="019B0619">
      <w:pPr>
        <w:pStyle w:val="Lijstalinea"/>
        <w:numPr>
          <w:ilvl w:val="0"/>
          <w:numId w:val="26"/>
        </w:numPr>
        <w:rPr>
          <w:rFonts w:eastAsia="Calibri"/>
          <w:lang w:eastAsia="en-US"/>
        </w:rPr>
      </w:pPr>
      <w:r w:rsidRPr="005E6CEC">
        <w:rPr>
          <w:rFonts w:eastAsia="Calibri"/>
          <w:lang w:eastAsia="en-US"/>
        </w:rPr>
        <w:t>Het kabinet</w:t>
      </w:r>
      <w:r>
        <w:rPr>
          <w:rFonts w:eastAsia="Calibri"/>
          <w:i/>
          <w:iCs/>
          <w:lang w:eastAsia="en-US"/>
        </w:rPr>
        <w:t xml:space="preserve"> </w:t>
      </w:r>
      <w:r w:rsidRPr="007953C9">
        <w:rPr>
          <w:rFonts w:eastAsiaTheme="minorHAnsi" w:cstheme="minorBidi"/>
          <w:kern w:val="2"/>
          <w:lang w:eastAsia="en-US"/>
          <w14:ligatures w14:val="standardContextual"/>
        </w:rPr>
        <w:t xml:space="preserve">heeft </w:t>
      </w:r>
      <w:r w:rsidR="00715C3A">
        <w:rPr>
          <w:rFonts w:eastAsiaTheme="minorHAnsi" w:cstheme="minorBidi"/>
          <w:kern w:val="2"/>
          <w:lang w:eastAsia="en-US"/>
          <w14:ligatures w14:val="standardContextual"/>
        </w:rPr>
        <w:t xml:space="preserve">n.a.v. Motie Erkens </w:t>
      </w:r>
      <w:r w:rsidRPr="007953C9">
        <w:rPr>
          <w:rFonts w:eastAsiaTheme="minorHAnsi" w:cstheme="minorBidi"/>
          <w:kern w:val="2"/>
          <w:lang w:eastAsia="en-US"/>
          <w14:ligatures w14:val="standardContextual"/>
        </w:rPr>
        <w:t xml:space="preserve">extern onderzoek laten uitvoeren naar mogelijke alternatieven voor een aparte hardheidsclausule. Dit is </w:t>
      </w:r>
      <w:r w:rsidRPr="007953C9">
        <w:rPr>
          <w:rFonts w:eastAsiaTheme="minorHAnsi" w:cstheme="minorBidi"/>
          <w:kern w:val="2"/>
          <w:lang w:eastAsia="en-US"/>
          <w14:ligatures w14:val="standardContextual"/>
        </w:rPr>
        <w:lastRenderedPageBreak/>
        <w:t>geconcretiseerd als een verkenning naar nieuwe flexibiliteitsopties binnen de CO</w:t>
      </w:r>
      <w:r w:rsidRPr="007953C9">
        <w:rPr>
          <w:rFonts w:eastAsiaTheme="minorHAnsi" w:cstheme="minorBidi"/>
          <w:kern w:val="2"/>
          <w:vertAlign w:val="subscript"/>
          <w:lang w:eastAsia="en-US"/>
          <w14:ligatures w14:val="standardContextual"/>
        </w:rPr>
        <w:t>2</w:t>
      </w:r>
      <w:r w:rsidRPr="007953C9">
        <w:rPr>
          <w:rFonts w:eastAsiaTheme="minorHAnsi" w:cstheme="minorBidi"/>
          <w:kern w:val="2"/>
          <w:lang w:eastAsia="en-US"/>
          <w14:ligatures w14:val="standardContextual"/>
        </w:rPr>
        <w:t>-heffing industrie.</w:t>
      </w:r>
    </w:p>
    <w:p w:rsidRPr="007953C9" w:rsidR="00672F70" w:rsidP="00672F70" w:rsidRDefault="00672F70" w14:paraId="2D449A6E" w14:textId="77777777">
      <w:pPr>
        <w:pStyle w:val="Lijstalinea"/>
        <w:numPr>
          <w:ilvl w:val="0"/>
          <w:numId w:val="26"/>
        </w:numPr>
        <w:rPr>
          <w:rFonts w:eastAsia="Calibri"/>
          <w:lang w:eastAsia="en-US"/>
        </w:rPr>
      </w:pPr>
      <w:r w:rsidRPr="007953C9">
        <w:rPr>
          <w:rFonts w:eastAsia="Calibri"/>
          <w:lang w:eastAsia="en-US"/>
        </w:rPr>
        <w:t>Het kabinet heeft aangekondigd de optie van het opstellen van een handelsplatform en de optie voor het lenen van toekomstige dispensatierechten nader uit</w:t>
      </w:r>
      <w:r>
        <w:rPr>
          <w:rFonts w:eastAsia="Calibri"/>
          <w:lang w:eastAsia="en-US"/>
        </w:rPr>
        <w:t xml:space="preserve"> te </w:t>
      </w:r>
      <w:r w:rsidRPr="007953C9">
        <w:rPr>
          <w:rFonts w:eastAsia="Calibri"/>
          <w:lang w:eastAsia="en-US"/>
        </w:rPr>
        <w:t xml:space="preserve">werken en </w:t>
      </w:r>
      <w:r>
        <w:rPr>
          <w:rFonts w:eastAsia="Calibri"/>
          <w:lang w:eastAsia="en-US"/>
        </w:rPr>
        <w:t xml:space="preserve">te </w:t>
      </w:r>
      <w:r w:rsidRPr="007953C9">
        <w:rPr>
          <w:rFonts w:eastAsia="Calibri"/>
          <w:lang w:eastAsia="en-US"/>
        </w:rPr>
        <w:t>onderzoeken hoe deze in de praktijk k</w:t>
      </w:r>
      <w:r>
        <w:rPr>
          <w:rFonts w:eastAsia="Calibri"/>
          <w:lang w:eastAsia="en-US"/>
        </w:rPr>
        <w:t>unnen</w:t>
      </w:r>
      <w:r w:rsidRPr="007953C9">
        <w:rPr>
          <w:rFonts w:eastAsia="Calibri"/>
          <w:lang w:eastAsia="en-US"/>
        </w:rPr>
        <w:t xml:space="preserve"> werken. Het lenen van toekomstige dispensatierechten heeft </w:t>
      </w:r>
      <w:r>
        <w:rPr>
          <w:rFonts w:eastAsia="Calibri"/>
          <w:lang w:eastAsia="en-US"/>
        </w:rPr>
        <w:t xml:space="preserve">naar verwachting </w:t>
      </w:r>
      <w:r w:rsidRPr="007953C9">
        <w:rPr>
          <w:rFonts w:eastAsia="Calibri"/>
          <w:lang w:eastAsia="en-US"/>
        </w:rPr>
        <w:t>de grootste impact op het handelingsperspectief voor bedrijven, maar lijkt uitvoeringstechnisch en juridisch uitdagend en vergroot de complexiteit van het instrument.</w:t>
      </w:r>
    </w:p>
    <w:p w:rsidRPr="007953C9" w:rsidR="00672F70" w:rsidP="00672F70" w:rsidRDefault="00672F70" w14:paraId="3BE529FB" w14:textId="77777777">
      <w:pPr>
        <w:pStyle w:val="Lijstalinea"/>
        <w:numPr>
          <w:ilvl w:val="0"/>
          <w:numId w:val="26"/>
        </w:numPr>
        <w:rPr>
          <w:rFonts w:eastAsia="Calibri"/>
          <w:lang w:eastAsia="en-US"/>
        </w:rPr>
      </w:pPr>
      <w:r w:rsidRPr="007953C9">
        <w:rPr>
          <w:rFonts w:eastAsia="Calibri"/>
          <w:lang w:eastAsia="en-US"/>
        </w:rPr>
        <w:t>In de voorjaarsbesluitvorming 2025 besluit het kabinet of verder wordt gegaan met de uitgewerkte en onderzochte flexibiliteitsopties in de CO</w:t>
      </w:r>
      <w:r w:rsidRPr="007953C9">
        <w:rPr>
          <w:rFonts w:eastAsia="Calibri"/>
          <w:vertAlign w:val="subscript"/>
          <w:lang w:eastAsia="en-US"/>
        </w:rPr>
        <w:t>2</w:t>
      </w:r>
      <w:r w:rsidRPr="007953C9">
        <w:rPr>
          <w:rFonts w:eastAsia="Calibri"/>
          <w:lang w:eastAsia="en-US"/>
        </w:rPr>
        <w:t>-heffing industrie.</w:t>
      </w:r>
    </w:p>
    <w:p w:rsidRPr="007953C9" w:rsidR="00672F70" w:rsidP="00672F70" w:rsidRDefault="00672F70" w14:paraId="6188489D" w14:textId="77777777"/>
    <w:p w:rsidRPr="007953C9" w:rsidR="00672F70" w:rsidP="00672F70" w:rsidRDefault="00672F70" w14:paraId="4456A559" w14:textId="77777777">
      <w:pPr>
        <w:pStyle w:val="Lijstalinea"/>
        <w:ind w:left="360"/>
        <w:rPr>
          <w:b/>
          <w:bCs/>
          <w:u w:val="single"/>
        </w:rPr>
      </w:pPr>
      <w:r w:rsidRPr="007953C9">
        <w:rPr>
          <w:b/>
          <w:bCs/>
          <w:u w:val="single"/>
        </w:rPr>
        <w:t>1</w:t>
      </w:r>
      <w:r>
        <w:rPr>
          <w:b/>
          <w:bCs/>
          <w:u w:val="single"/>
        </w:rPr>
        <w:t>c</w:t>
      </w:r>
      <w:r w:rsidRPr="007953C9">
        <w:rPr>
          <w:b/>
          <w:bCs/>
          <w:u w:val="single"/>
        </w:rPr>
        <w:t>. Ter info - Energiebesparingsdoelen</w:t>
      </w:r>
    </w:p>
    <w:p w:rsidR="00BC23AC" w:rsidP="00BC23AC" w:rsidRDefault="00BC23AC" w14:paraId="7A994C69" w14:textId="77777777">
      <w:pPr>
        <w:pStyle w:val="Lijstalinea"/>
        <w:numPr>
          <w:ilvl w:val="0"/>
          <w:numId w:val="21"/>
        </w:numPr>
      </w:pPr>
      <w:r>
        <w:t xml:space="preserve">Het is van belang tevens in te zetten op energiebesparing, omwille van </w:t>
      </w:r>
      <w:r w:rsidRPr="00CF6A52">
        <w:t>betaalbaarheid, leveringszekerheid, netcongestie en strategische onafhankelijkheid.</w:t>
      </w:r>
    </w:p>
    <w:p w:rsidRPr="007953C9" w:rsidR="00BC23AC" w:rsidP="00BC23AC" w:rsidRDefault="00BC23AC" w14:paraId="661544B7" w14:textId="77777777">
      <w:pPr>
        <w:pStyle w:val="Geenafstand"/>
        <w:numPr>
          <w:ilvl w:val="0"/>
          <w:numId w:val="21"/>
        </w:numPr>
      </w:pPr>
      <w:r w:rsidRPr="00544CDE">
        <w:rPr>
          <w:rFonts w:eastAsia="Verdana" w:cs="Verdana"/>
          <w:szCs w:val="18"/>
        </w:rPr>
        <w:t xml:space="preserve">Uit de EU-richtlijn voor energie efficiency volgt eens bindend doel op EU-niveau en een indicatief doel op nationaal niveau. De nationale bijdrage kan </w:t>
      </w:r>
      <w:proofErr w:type="spellStart"/>
      <w:r w:rsidRPr="00544CDE">
        <w:rPr>
          <w:rFonts w:eastAsia="Verdana" w:cs="Verdana"/>
          <w:szCs w:val="18"/>
        </w:rPr>
        <w:t>doorvertaald</w:t>
      </w:r>
      <w:proofErr w:type="spellEnd"/>
      <w:r w:rsidRPr="00544CDE">
        <w:rPr>
          <w:rFonts w:eastAsia="Verdana" w:cs="Verdana"/>
          <w:szCs w:val="18"/>
        </w:rPr>
        <w:t xml:space="preserve"> worden naar sectorale streefwaarden. </w:t>
      </w:r>
    </w:p>
    <w:p w:rsidR="00BC23AC" w:rsidP="00BC23AC" w:rsidRDefault="00BC23AC" w14:paraId="58FA01F6" w14:textId="77777777">
      <w:pPr>
        <w:pStyle w:val="Lijstalinea"/>
        <w:numPr>
          <w:ilvl w:val="0"/>
          <w:numId w:val="21"/>
        </w:numPr>
      </w:pPr>
      <w:r>
        <w:t>In lijn hiermee wordt bij het in beeld brengen van maatregelen gelet op een zo mogelijke synergie tussen klimaat- en energiebesparingsmaatregelen.</w:t>
      </w:r>
    </w:p>
    <w:p w:rsidR="00BC23AC" w:rsidP="00BC23AC" w:rsidRDefault="00BC23AC" w14:paraId="0A2A2046" w14:textId="77777777">
      <w:pPr>
        <w:pStyle w:val="Lijstalinea"/>
        <w:numPr>
          <w:ilvl w:val="0"/>
          <w:numId w:val="21"/>
        </w:numPr>
      </w:pPr>
      <w:r>
        <w:t xml:space="preserve">Voor meer toelichting op de energiebesparingsopgave en potentieel voor de industrie zie bijlage 3. </w:t>
      </w:r>
    </w:p>
    <w:p w:rsidRPr="007953C9" w:rsidR="00672F70" w:rsidP="00672F70" w:rsidRDefault="00672F70" w14:paraId="1ECBDDCB" w14:textId="77777777">
      <w:pPr>
        <w:rPr>
          <w:i/>
          <w:iCs/>
        </w:rPr>
      </w:pPr>
    </w:p>
    <w:p w:rsidR="00672F70" w:rsidP="00672F70" w:rsidRDefault="00672F70" w14:paraId="0E087CE8" w14:textId="77777777">
      <w:pPr>
        <w:pStyle w:val="Lijstalinea"/>
        <w:ind w:left="360"/>
        <w:rPr>
          <w:b/>
          <w:bCs/>
          <w:u w:val="single"/>
        </w:rPr>
      </w:pPr>
      <w:r>
        <w:rPr>
          <w:b/>
          <w:bCs/>
          <w:u w:val="single"/>
        </w:rPr>
        <w:t xml:space="preserve">1.d </w:t>
      </w:r>
      <w:r w:rsidRPr="0056710A">
        <w:rPr>
          <w:b/>
          <w:bCs/>
          <w:u w:val="single"/>
        </w:rPr>
        <w:t>Doorlooptijd CO2-heffing</w:t>
      </w:r>
      <w:r>
        <w:rPr>
          <w:b/>
          <w:bCs/>
          <w:u w:val="single"/>
        </w:rPr>
        <w:t xml:space="preserve"> in het kader van maatwerkafspraken</w:t>
      </w:r>
      <w:r w:rsidRPr="0056710A">
        <w:rPr>
          <w:b/>
          <w:bCs/>
          <w:u w:val="single"/>
        </w:rPr>
        <w:t>:</w:t>
      </w:r>
    </w:p>
    <w:p w:rsidR="00EF1046" w:rsidP="00672F70" w:rsidRDefault="00EF1046" w14:paraId="65703249" w14:textId="77777777">
      <w:pPr>
        <w:pStyle w:val="Lijstalinea"/>
        <w:ind w:left="360"/>
        <w:rPr>
          <w:b/>
          <w:bCs/>
          <w:u w:val="single"/>
        </w:rPr>
      </w:pPr>
    </w:p>
    <w:p w:rsidRPr="007953C9" w:rsidR="00EF1046" w:rsidP="00EF1046" w:rsidRDefault="00EF1046" w14:paraId="74AB3D0B" w14:textId="77777777">
      <w:pPr>
        <w:pBdr>
          <w:top w:val="single" w:color="auto" w:sz="4" w:space="1"/>
          <w:left w:val="single" w:color="auto" w:sz="4" w:space="0"/>
          <w:bottom w:val="single" w:color="auto" w:sz="4" w:space="1"/>
          <w:right w:val="single" w:color="auto" w:sz="4" w:space="4"/>
        </w:pBdr>
      </w:pPr>
      <w:r w:rsidRPr="007953C9">
        <w:rPr>
          <w:b/>
          <w:bCs/>
        </w:rPr>
        <w:t>Bespreekpunt</w:t>
      </w:r>
      <w:r>
        <w:rPr>
          <w:b/>
          <w:bCs/>
        </w:rPr>
        <w:t xml:space="preserve"> agendapunt 1d.</w:t>
      </w:r>
      <w:r w:rsidRPr="007953C9">
        <w:t xml:space="preserve">: </w:t>
      </w:r>
    </w:p>
    <w:p w:rsidRPr="007953C9" w:rsidR="00EF1046" w:rsidP="00EF1046" w:rsidRDefault="00EF1046" w14:paraId="6851BC17" w14:textId="77777777">
      <w:pPr>
        <w:pBdr>
          <w:top w:val="single" w:color="auto" w:sz="4" w:space="1"/>
          <w:left w:val="single" w:color="auto" w:sz="4" w:space="0"/>
          <w:bottom w:val="single" w:color="auto" w:sz="4" w:space="1"/>
          <w:right w:val="single" w:color="auto" w:sz="4" w:space="4"/>
        </w:pBdr>
        <w:rPr>
          <w:i/>
          <w:iCs/>
        </w:rPr>
      </w:pPr>
      <w:r>
        <w:rPr>
          <w:i/>
          <w:iCs/>
        </w:rPr>
        <w:t xml:space="preserve">Hoe moet met de looptijd van de CO2-heffing worden omgegaan in het kader van de maatwerkafspraken? </w:t>
      </w:r>
    </w:p>
    <w:p w:rsidR="00EF1046" w:rsidP="00672F70" w:rsidRDefault="00EF1046" w14:paraId="0E2C4F5D" w14:textId="77777777">
      <w:pPr>
        <w:pStyle w:val="Lijstalinea"/>
        <w:ind w:left="360"/>
        <w:rPr>
          <w:b/>
          <w:bCs/>
          <w:u w:val="single"/>
        </w:rPr>
      </w:pPr>
    </w:p>
    <w:p w:rsidRPr="00B41BCB" w:rsidR="00EF1046" w:rsidP="00EF1046" w:rsidRDefault="00EF1046" w14:paraId="3A3C2F53" w14:textId="77777777">
      <w:pPr>
        <w:pStyle w:val="Lijstalinea"/>
        <w:numPr>
          <w:ilvl w:val="0"/>
          <w:numId w:val="30"/>
        </w:numPr>
        <w:rPr>
          <w:b/>
          <w:bCs/>
          <w:u w:val="single"/>
        </w:rPr>
      </w:pPr>
      <w:r>
        <w:t xml:space="preserve">KGG wenst duidelijkheid over hoe de CO2-heffing in de maatwerkafspraken moet worden meegenomen met betrekking tot de doorlooptijd. </w:t>
      </w:r>
    </w:p>
    <w:p w:rsidR="00EF1046" w:rsidP="00EF1046" w:rsidRDefault="00EF1046" w14:paraId="31F0617D" w14:textId="77777777">
      <w:pPr>
        <w:pStyle w:val="Lijstalinea"/>
        <w:numPr>
          <w:ilvl w:val="0"/>
          <w:numId w:val="22"/>
        </w:numPr>
      </w:pPr>
      <w:r w:rsidRPr="007953C9">
        <w:t xml:space="preserve">In eerdere </w:t>
      </w:r>
      <w:proofErr w:type="spellStart"/>
      <w:r w:rsidRPr="007953C9">
        <w:t>BWO</w:t>
      </w:r>
      <w:r>
        <w:t>’</w:t>
      </w:r>
      <w:r w:rsidRPr="007953C9">
        <w:t>s</w:t>
      </w:r>
      <w:proofErr w:type="spellEnd"/>
      <w:r w:rsidRPr="007953C9">
        <w:t xml:space="preserve"> zijn</w:t>
      </w:r>
      <w:r>
        <w:t xml:space="preserve"> expliciet</w:t>
      </w:r>
      <w:r w:rsidRPr="007953C9">
        <w:t xml:space="preserve"> afspraken gemaakt over de periode 2030-2032</w:t>
      </w:r>
      <w:r>
        <w:t xml:space="preserve"> en naar de Kamer is in 2023 gecommuniceerd dat de </w:t>
      </w:r>
      <w:r w:rsidRPr="00FE2DC7">
        <w:t>CO2-heffing wordt verlengd tot en met 2032</w:t>
      </w:r>
      <w:r w:rsidRPr="007953C9">
        <w:t xml:space="preserve">. </w:t>
      </w:r>
      <w:r>
        <w:t xml:space="preserve">Helaas is er onduidelijkheid ontstaan over wat er met deze afspraak concreet wordt bedoeld (1) dat de heffing na 2032 stopt of (2) dat het </w:t>
      </w:r>
      <w:proofErr w:type="spellStart"/>
      <w:r>
        <w:t>prijspad</w:t>
      </w:r>
      <w:proofErr w:type="spellEnd"/>
      <w:r>
        <w:t xml:space="preserve"> tot 2032 wordt vastgesteld. </w:t>
      </w:r>
    </w:p>
    <w:p w:rsidRPr="0007052C" w:rsidR="00EF1046" w:rsidP="00EF1046" w:rsidRDefault="00EF1046" w14:paraId="6DD8C62F" w14:textId="77777777">
      <w:pPr>
        <w:pStyle w:val="Lijstalinea"/>
        <w:numPr>
          <w:ilvl w:val="0"/>
          <w:numId w:val="22"/>
        </w:numPr>
        <w:rPr>
          <w:b/>
          <w:bCs/>
          <w:u w:val="single"/>
        </w:rPr>
      </w:pPr>
      <w:r w:rsidRPr="007953C9">
        <w:lastRenderedPageBreak/>
        <w:t xml:space="preserve">In de wet </w:t>
      </w:r>
      <w:r>
        <w:t>is er geen einddatum voor de CO2-heffing industrie vastgelegd en daalt het aantal dispensatierechten (de vrijgestelde uitstoot) naar nul in 2039. Het tarief blijft na 2030 constant (behalve de jaarlijkse prijsindexatie).</w:t>
      </w:r>
    </w:p>
    <w:p w:rsidRPr="002711E5" w:rsidR="00EF1046" w:rsidP="00EF1046" w:rsidRDefault="00EF1046" w14:paraId="3037E7BF" w14:textId="77777777">
      <w:pPr>
        <w:pStyle w:val="Lijstalinea"/>
        <w:ind w:left="360"/>
        <w:rPr>
          <w:b/>
          <w:bCs/>
          <w:u w:val="single"/>
        </w:rPr>
      </w:pPr>
      <w:r>
        <w:t xml:space="preserve">Ook de KEV-raming van industrieel doelbereik loopt door na 2032, en is gestoeld op de CO2-heffing zonder einddatum. </w:t>
      </w:r>
    </w:p>
    <w:p w:rsidR="00EF1046" w:rsidP="00EF1046" w:rsidRDefault="00EF1046" w14:paraId="6BC248CD" w14:textId="77777777">
      <w:pPr>
        <w:pStyle w:val="Lijstalinea"/>
        <w:numPr>
          <w:ilvl w:val="0"/>
          <w:numId w:val="22"/>
        </w:numPr>
      </w:pPr>
      <w:r w:rsidRPr="008F2064">
        <w:t>KGG/VI gaat in het traject van de maatwerkafspraken er nu vanuit dat de CO2-heffing na 2032 stopt. De CO2-heffing heeft een belangrijke impact op de business case van verduurzamingsmaatregelen</w:t>
      </w:r>
      <w:r>
        <w:t xml:space="preserve"> in de industrie. Het effect op de lopende maatwerktrajecten van een verdere doorlooptijd van de CO2-heffing na 2032 wordt getracht de komende weken in beeld te brengen.</w:t>
      </w:r>
    </w:p>
    <w:p w:rsidR="00672F70" w:rsidP="00672F70" w:rsidRDefault="00672F70" w14:paraId="788152FA" w14:textId="77777777">
      <w:pPr>
        <w:pStyle w:val="Lijstalinea"/>
        <w:ind w:left="360"/>
      </w:pPr>
    </w:p>
    <w:p w:rsidR="00672F70" w:rsidP="00672F70" w:rsidRDefault="00672F70" w14:paraId="08A36B62" w14:textId="77777777">
      <w:pPr>
        <w:rPr>
          <w:b/>
          <w:bCs/>
          <w:u w:val="single"/>
        </w:rPr>
      </w:pPr>
    </w:p>
    <w:p w:rsidR="00672F70" w:rsidP="00672F70" w:rsidRDefault="00672F70" w14:paraId="005B43E1" w14:textId="77777777"/>
    <w:p w:rsidR="00672F70" w:rsidP="00672F70" w:rsidRDefault="00672F70" w14:paraId="63427155" w14:textId="77777777"/>
    <w:p w:rsidR="00672F70" w:rsidP="00672F70" w:rsidRDefault="00672F70" w14:paraId="4704677D" w14:textId="77777777"/>
    <w:p w:rsidR="00672F70" w:rsidP="00672F70" w:rsidRDefault="00672F70" w14:paraId="459C50D5" w14:textId="77777777"/>
    <w:p w:rsidR="00672F70" w:rsidP="00672F70" w:rsidRDefault="00672F70" w14:paraId="1098500E" w14:textId="77777777"/>
    <w:p w:rsidR="00672F70" w:rsidP="00672F70" w:rsidRDefault="00672F70" w14:paraId="42E17B9A" w14:textId="77777777"/>
    <w:p w:rsidR="00672F70" w:rsidP="00672F70" w:rsidRDefault="00672F70" w14:paraId="4EE81C49" w14:textId="77777777"/>
    <w:p w:rsidR="00672F70" w:rsidP="00672F70" w:rsidRDefault="00672F70" w14:paraId="147FD1EC" w14:textId="77777777"/>
    <w:p w:rsidR="00672F70" w:rsidP="00672F70" w:rsidRDefault="00672F70" w14:paraId="698E24AA" w14:textId="77777777"/>
    <w:p w:rsidR="00672F70" w:rsidP="00672F70" w:rsidRDefault="00672F70" w14:paraId="76B05E61" w14:textId="77777777"/>
    <w:p w:rsidR="00672F70" w:rsidP="00672F70" w:rsidRDefault="00672F70" w14:paraId="5ECB3B88" w14:textId="77777777"/>
    <w:p w:rsidR="00672F70" w:rsidP="00672F70" w:rsidRDefault="00672F70" w14:paraId="0A31B40C" w14:textId="77777777"/>
    <w:p w:rsidR="00672F70" w:rsidP="00672F70" w:rsidRDefault="00672F70" w14:paraId="32B86BCC" w14:textId="77777777"/>
    <w:p w:rsidRPr="007953C9" w:rsidR="00672F70" w:rsidP="00672F70" w:rsidRDefault="00672F70" w14:paraId="5E871340" w14:textId="77777777"/>
    <w:p w:rsidRPr="007953C9" w:rsidR="00672F70" w:rsidP="00672F70" w:rsidRDefault="00672F70" w14:paraId="4847C7D5" w14:textId="77777777">
      <w:pPr>
        <w:pStyle w:val="Lijstalinea"/>
        <w:numPr>
          <w:ilvl w:val="0"/>
          <w:numId w:val="19"/>
        </w:numPr>
        <w:rPr>
          <w:b/>
          <w:bCs/>
          <w:sz w:val="20"/>
          <w:szCs w:val="28"/>
          <w:u w:val="single"/>
        </w:rPr>
      </w:pPr>
      <w:r>
        <w:rPr>
          <w:b/>
          <w:bCs/>
          <w:sz w:val="20"/>
          <w:szCs w:val="28"/>
          <w:u w:val="single"/>
        </w:rPr>
        <w:t>A</w:t>
      </w:r>
      <w:r w:rsidRPr="007953C9">
        <w:rPr>
          <w:b/>
          <w:bCs/>
          <w:sz w:val="20"/>
          <w:szCs w:val="28"/>
          <w:u w:val="single"/>
        </w:rPr>
        <w:t>lternatief beleid</w:t>
      </w:r>
    </w:p>
    <w:p w:rsidR="00CA0EB1" w:rsidP="00CA0EB1" w:rsidRDefault="00CA0EB1" w14:paraId="77B3AEA1" w14:textId="77777777">
      <w:pPr>
        <w:pStyle w:val="Lijstalinea"/>
        <w:numPr>
          <w:ilvl w:val="0"/>
          <w:numId w:val="24"/>
        </w:numPr>
      </w:pPr>
      <w:r w:rsidRPr="007953C9">
        <w:t xml:space="preserve">Conform afspraak in het HLA zal het kabinet alternatieve maatregelen treffen als de klimaat- en energiedoelen niet binnen bereik zijn. </w:t>
      </w:r>
    </w:p>
    <w:p w:rsidRPr="007953C9" w:rsidR="00CA0EB1" w:rsidP="00CA0EB1" w:rsidRDefault="00CA0EB1" w14:paraId="433F4934" w14:textId="77777777">
      <w:pPr>
        <w:pStyle w:val="Lijstalinea"/>
        <w:numPr>
          <w:ilvl w:val="0"/>
          <w:numId w:val="24"/>
        </w:numPr>
      </w:pPr>
      <w:r>
        <w:t xml:space="preserve">Voor de sector industrie beslaat alternatief beleid zowel beleid gericht op de randvoorwaarden, als beleid gericht op een aanvullende </w:t>
      </w:r>
      <w:proofErr w:type="spellStart"/>
      <w:r>
        <w:t>verduurzamings</w:t>
      </w:r>
      <w:proofErr w:type="spellEnd"/>
      <w:r>
        <w:t xml:space="preserve"> prikkel voor de industrie. </w:t>
      </w:r>
    </w:p>
    <w:p w:rsidRPr="007953C9" w:rsidR="00CA0EB1" w:rsidP="00CA0EB1" w:rsidRDefault="00CA0EB1" w14:paraId="6DE82D53" w14:textId="77777777">
      <w:pPr>
        <w:pStyle w:val="Lijstalinea"/>
        <w:numPr>
          <w:ilvl w:val="0"/>
          <w:numId w:val="24"/>
        </w:numPr>
      </w:pPr>
      <w:r w:rsidRPr="007953C9">
        <w:t xml:space="preserve">De volgende alternatieve maatregelen zullen komende tijd inhoudelijk verder worden uitgewerkt </w:t>
      </w:r>
      <w:proofErr w:type="spellStart"/>
      <w:r w:rsidRPr="007953C9">
        <w:t>tbv</w:t>
      </w:r>
      <w:proofErr w:type="spellEnd"/>
      <w:r w:rsidRPr="007953C9">
        <w:t xml:space="preserve"> besluitvorming in het voorjaar</w:t>
      </w:r>
      <w:r>
        <w:t xml:space="preserve"> 2025</w:t>
      </w:r>
      <w:r w:rsidRPr="007953C9">
        <w:t>:</w:t>
      </w:r>
    </w:p>
    <w:p w:rsidRPr="007953C9" w:rsidR="00672F70" w:rsidP="00672F70" w:rsidRDefault="00672F70" w14:paraId="325C8249" w14:textId="77777777">
      <w:pPr>
        <w:rPr>
          <w:b/>
          <w:bCs/>
        </w:rPr>
      </w:pPr>
    </w:p>
    <w:p w:rsidRPr="007953C9" w:rsidR="00672F70" w:rsidP="00672F70" w:rsidRDefault="00672F70" w14:paraId="21FEE6FD" w14:textId="77777777">
      <w:pPr>
        <w:pBdr>
          <w:top w:val="single" w:color="auto" w:sz="4" w:space="1"/>
          <w:left w:val="single" w:color="auto" w:sz="4" w:space="0"/>
          <w:bottom w:val="single" w:color="auto" w:sz="4" w:space="1"/>
          <w:right w:val="single" w:color="auto" w:sz="4" w:space="4"/>
        </w:pBdr>
      </w:pPr>
      <w:r w:rsidRPr="007953C9">
        <w:rPr>
          <w:b/>
          <w:bCs/>
        </w:rPr>
        <w:t>Bespreekpunt</w:t>
      </w:r>
      <w:r w:rsidRPr="007953C9">
        <w:t xml:space="preserve">: </w:t>
      </w:r>
    </w:p>
    <w:p w:rsidRPr="007953C9" w:rsidR="00672F70" w:rsidP="00672F70" w:rsidRDefault="00672F70" w14:paraId="4AF041CA" w14:textId="77777777">
      <w:pPr>
        <w:pBdr>
          <w:top w:val="single" w:color="auto" w:sz="4" w:space="1"/>
          <w:left w:val="single" w:color="auto" w:sz="4" w:space="0"/>
          <w:bottom w:val="single" w:color="auto" w:sz="4" w:space="1"/>
          <w:right w:val="single" w:color="auto" w:sz="4" w:space="4"/>
        </w:pBdr>
        <w:rPr>
          <w:i/>
          <w:iCs/>
        </w:rPr>
      </w:pPr>
      <w:r w:rsidRPr="007953C9">
        <w:rPr>
          <w:i/>
          <w:iCs/>
        </w:rPr>
        <w:t>Akkoord met uitwerking van onderstaande maatregelen t.b.v. besluitvorming over alternatief beleid in voorjaar 2025?</w:t>
      </w:r>
    </w:p>
    <w:p w:rsidR="00672F70" w:rsidP="00672F70" w:rsidRDefault="00672F70" w14:paraId="7E18BFF7" w14:textId="77777777">
      <w:pPr>
        <w:rPr>
          <w:b/>
          <w:bCs/>
          <w:u w:val="single"/>
        </w:rPr>
      </w:pPr>
    </w:p>
    <w:p w:rsidR="00672F70" w:rsidP="00672F70" w:rsidRDefault="00672F70" w14:paraId="168961EA" w14:textId="77777777">
      <w:pPr>
        <w:rPr>
          <w:b/>
          <w:bCs/>
          <w:u w:val="single"/>
        </w:rPr>
      </w:pPr>
      <w:r>
        <w:rPr>
          <w:b/>
          <w:bCs/>
          <w:u w:val="single"/>
        </w:rPr>
        <w:lastRenderedPageBreak/>
        <w:t>2</w:t>
      </w:r>
      <w:r w:rsidRPr="16DF8189">
        <w:rPr>
          <w:b/>
          <w:bCs/>
          <w:u w:val="single"/>
        </w:rPr>
        <w:t>a. Beleid gericht op randvoorwaarden, gelijk speelveld en het oplossen van knelpunten in de uitvoering</w:t>
      </w:r>
    </w:p>
    <w:p w:rsidR="00672F70" w:rsidP="00672F70" w:rsidRDefault="00672F70" w14:paraId="2F7E192A" w14:textId="77777777">
      <w:pPr>
        <w:rPr>
          <w:b/>
          <w:bCs/>
          <w:u w:val="single"/>
        </w:rPr>
      </w:pPr>
    </w:p>
    <w:p w:rsidR="00312072" w:rsidP="00312072" w:rsidRDefault="00312072" w14:paraId="284C1E04" w14:textId="77777777">
      <w:pPr>
        <w:pStyle w:val="Geenafstand"/>
        <w:numPr>
          <w:ilvl w:val="0"/>
          <w:numId w:val="27"/>
        </w:numPr>
        <w:rPr>
          <w:rFonts w:eastAsia="Verdana" w:cs="Verdana"/>
          <w:szCs w:val="18"/>
        </w:rPr>
      </w:pPr>
      <w:r w:rsidRPr="16DF8189">
        <w:rPr>
          <w:rFonts w:eastAsia="Verdana" w:cs="Verdana"/>
          <w:szCs w:val="18"/>
        </w:rPr>
        <w:t xml:space="preserve">Knelpunten in de uitvoering van maatregelen zijn steeds vaker de vertragende factor in de implementatie van klimaatmaatregelen. </w:t>
      </w:r>
    </w:p>
    <w:p w:rsidRPr="00765B31" w:rsidR="00312072" w:rsidP="00312072" w:rsidRDefault="00312072" w14:paraId="0B2846B7" w14:textId="77777777">
      <w:pPr>
        <w:pStyle w:val="Geenafstand"/>
        <w:numPr>
          <w:ilvl w:val="0"/>
          <w:numId w:val="27"/>
        </w:numPr>
        <w:rPr>
          <w:rFonts w:eastAsia="Verdana" w:cs="Verdana"/>
          <w:szCs w:val="18"/>
        </w:rPr>
      </w:pPr>
      <w:r>
        <w:rPr>
          <w:rFonts w:eastAsia="Verdana" w:cs="Verdana"/>
          <w:szCs w:val="18"/>
        </w:rPr>
        <w:t xml:space="preserve">Bij de industrie ontstaan er hierdoor disincentives of gewoonweg onmogelijkheden om op korte termijn te verduurzamen op het gebied van elektrificatie, of inzet op waterstof. </w:t>
      </w:r>
    </w:p>
    <w:p w:rsidR="00312072" w:rsidP="00312072" w:rsidRDefault="00312072" w14:paraId="232D83FE" w14:textId="77777777">
      <w:pPr>
        <w:pStyle w:val="Geenafstand"/>
        <w:numPr>
          <w:ilvl w:val="0"/>
          <w:numId w:val="27"/>
        </w:numPr>
        <w:rPr>
          <w:rFonts w:eastAsia="Verdana" w:cs="Verdana"/>
          <w:szCs w:val="18"/>
        </w:rPr>
      </w:pPr>
      <w:r w:rsidRPr="13A1AD5B">
        <w:rPr>
          <w:rFonts w:eastAsia="Verdana" w:cs="Verdana"/>
          <w:szCs w:val="18"/>
        </w:rPr>
        <w:t>In de Top 60 interviews van RVO geven bedrijven aan te willen verduurzamen, maar wordt er vaak geen FID genomen vanwege:</w:t>
      </w:r>
    </w:p>
    <w:p w:rsidR="00312072" w:rsidP="00312072" w:rsidRDefault="00312072" w14:paraId="242D72E1" w14:textId="77777777">
      <w:pPr>
        <w:pStyle w:val="Lijstalinea"/>
        <w:numPr>
          <w:ilvl w:val="1"/>
          <w:numId w:val="27"/>
        </w:numPr>
        <w:rPr>
          <w:rFonts w:eastAsia="Verdana" w:cs="Verdana"/>
          <w:szCs w:val="18"/>
        </w:rPr>
      </w:pPr>
      <w:proofErr w:type="spellStart"/>
      <w:r w:rsidRPr="13A1AD5B">
        <w:rPr>
          <w:rFonts w:eastAsia="Verdana" w:cs="Verdana"/>
          <w:szCs w:val="18"/>
        </w:rPr>
        <w:t>onrendabiliteit</w:t>
      </w:r>
      <w:proofErr w:type="spellEnd"/>
      <w:r w:rsidRPr="13A1AD5B">
        <w:rPr>
          <w:rFonts w:eastAsia="Verdana" w:cs="Verdana"/>
          <w:szCs w:val="18"/>
        </w:rPr>
        <w:t xml:space="preserve"> van verduurzamingsinvesteringen</w:t>
      </w:r>
    </w:p>
    <w:p w:rsidR="00312072" w:rsidP="00312072" w:rsidRDefault="00312072" w14:paraId="7E9CDFC7" w14:textId="77777777">
      <w:pPr>
        <w:pStyle w:val="Lijstalinea"/>
        <w:numPr>
          <w:ilvl w:val="1"/>
          <w:numId w:val="27"/>
        </w:numPr>
        <w:rPr>
          <w:rFonts w:eastAsia="Verdana" w:cs="Verdana"/>
          <w:szCs w:val="18"/>
        </w:rPr>
      </w:pPr>
      <w:r w:rsidRPr="13A1AD5B">
        <w:rPr>
          <w:rFonts w:eastAsia="Verdana" w:cs="Verdana"/>
          <w:szCs w:val="18"/>
        </w:rPr>
        <w:t>ontbrekende energie-infra</w:t>
      </w:r>
    </w:p>
    <w:p w:rsidR="00312072" w:rsidP="00312072" w:rsidRDefault="00312072" w14:paraId="6341BE6A" w14:textId="77777777">
      <w:pPr>
        <w:pStyle w:val="Lijstalinea"/>
        <w:numPr>
          <w:ilvl w:val="1"/>
          <w:numId w:val="27"/>
        </w:numPr>
        <w:rPr>
          <w:rFonts w:eastAsia="Verdana" w:cs="Verdana"/>
          <w:szCs w:val="18"/>
        </w:rPr>
      </w:pPr>
      <w:r w:rsidRPr="13A1AD5B">
        <w:rPr>
          <w:rFonts w:eastAsia="Verdana" w:cs="Verdana"/>
          <w:szCs w:val="18"/>
        </w:rPr>
        <w:t>netcongestie</w:t>
      </w:r>
    </w:p>
    <w:p w:rsidR="00312072" w:rsidP="00312072" w:rsidRDefault="00312072" w14:paraId="6C32E2B7" w14:textId="77777777">
      <w:pPr>
        <w:pStyle w:val="Lijstalinea"/>
        <w:numPr>
          <w:ilvl w:val="1"/>
          <w:numId w:val="27"/>
        </w:numPr>
        <w:rPr>
          <w:rFonts w:eastAsia="Verdana" w:cs="Verdana"/>
          <w:szCs w:val="18"/>
        </w:rPr>
      </w:pPr>
      <w:r w:rsidRPr="13A1AD5B">
        <w:rPr>
          <w:rFonts w:eastAsia="Verdana" w:cs="Verdana"/>
          <w:szCs w:val="18"/>
        </w:rPr>
        <w:t>hoge energie- en grondstofkosten</w:t>
      </w:r>
    </w:p>
    <w:p w:rsidR="00312072" w:rsidP="00312072" w:rsidRDefault="00312072" w14:paraId="77306A22" w14:textId="77777777">
      <w:pPr>
        <w:pStyle w:val="Lijstalinea"/>
        <w:numPr>
          <w:ilvl w:val="1"/>
          <w:numId w:val="27"/>
        </w:numPr>
        <w:rPr>
          <w:rFonts w:eastAsia="Verdana" w:cs="Verdana"/>
          <w:szCs w:val="18"/>
        </w:rPr>
      </w:pPr>
      <w:r w:rsidRPr="13A1AD5B">
        <w:rPr>
          <w:rFonts w:eastAsia="Verdana" w:cs="Verdana"/>
          <w:szCs w:val="18"/>
        </w:rPr>
        <w:t>onzekerheid over ontwikkeling van duurzame energieketens</w:t>
      </w:r>
    </w:p>
    <w:p w:rsidRPr="00315DCA" w:rsidR="00312072" w:rsidP="00312072" w:rsidRDefault="00312072" w14:paraId="17648AAC" w14:textId="77777777">
      <w:pPr>
        <w:pStyle w:val="Lijstalinea"/>
        <w:numPr>
          <w:ilvl w:val="1"/>
          <w:numId w:val="27"/>
        </w:numPr>
        <w:rPr>
          <w:rFonts w:eastAsia="Verdana" w:cs="Verdana"/>
          <w:szCs w:val="18"/>
        </w:rPr>
      </w:pPr>
      <w:r w:rsidRPr="13A1AD5B">
        <w:rPr>
          <w:rFonts w:eastAsia="Verdana" w:cs="Verdana"/>
          <w:szCs w:val="18"/>
        </w:rPr>
        <w:t>onzekerheid over uitwerking van regelgeving en de impact die dit heeft op hun business case, zoals de implementatie van de REDIII en de omgang met negatieve emissies.</w:t>
      </w:r>
    </w:p>
    <w:p w:rsidR="00312072" w:rsidP="6CF541F9" w:rsidRDefault="00312072" w14:paraId="3F33AFB6" w14:textId="6A65320E">
      <w:pPr>
        <w:pStyle w:val="Geenafstand"/>
        <w:numPr>
          <w:ilvl w:val="0"/>
          <w:numId w:val="27"/>
        </w:numPr>
        <w:rPr>
          <w:rFonts w:eastAsia="Verdana" w:cs="Verdana"/>
          <w:color w:val="000000" w:themeColor="text1"/>
          <w:szCs w:val="18"/>
        </w:rPr>
      </w:pPr>
      <w:r w:rsidRPr="6CF541F9">
        <w:rPr>
          <w:rFonts w:eastAsia="Verdana" w:cs="Verdana"/>
        </w:rPr>
        <w:t>O</w:t>
      </w:r>
      <w:r w:rsidRPr="6CF541F9" w:rsidR="39C623CE">
        <w:rPr>
          <w:rFonts w:eastAsia="Verdana" w:cs="Verdana"/>
          <w:color w:val="000000" w:themeColor="text1"/>
          <w:szCs w:val="18"/>
        </w:rPr>
        <w:t xml:space="preserve"> Ook om maatwerkafspraken met bedrijven te versnellen, en de doelstelling te behalen, dient er sprake te zijn van een aantrekkelijk investeringsklimaat met een gelijk speelveld en realisatie van de randvoorwaarden. Uit de KEV24 blijkt dat netcongestie met mindere mate een rol speelt bij de maatwerkafspraken omdat veel bedrijven voor de korte termijn inzetten op CCS projecten. Bij cluster 6 speelt netcongestie meer als belemmering om te kunnen verduurzamen. </w:t>
      </w:r>
    </w:p>
    <w:p w:rsidR="39C623CE" w:rsidP="6CF541F9" w:rsidRDefault="39C623CE" w14:paraId="04719B1F" w14:textId="48CFD9E3">
      <w:pPr>
        <w:pStyle w:val="Lijstalinea"/>
        <w:numPr>
          <w:ilvl w:val="0"/>
          <w:numId w:val="27"/>
        </w:numPr>
        <w:spacing w:beforeAutospacing="1" w:afterAutospacing="1" w:line="240" w:lineRule="auto"/>
        <w:rPr>
          <w:rFonts w:eastAsia="Verdana" w:cs="Verdana"/>
          <w:color w:val="000000" w:themeColor="text1"/>
          <w:szCs w:val="18"/>
        </w:rPr>
      </w:pPr>
      <w:r w:rsidRPr="6CF541F9">
        <w:rPr>
          <w:rStyle w:val="cf01"/>
          <w:rFonts w:ascii="Verdana" w:hAnsi="Verdana" w:eastAsia="Verdana" w:cs="Verdana"/>
          <w:color w:val="000000" w:themeColor="text1"/>
        </w:rPr>
        <w:t xml:space="preserve">Om via het </w:t>
      </w:r>
      <w:proofErr w:type="spellStart"/>
      <w:r w:rsidRPr="6CF541F9">
        <w:rPr>
          <w:rStyle w:val="cf01"/>
          <w:rFonts w:ascii="Verdana" w:hAnsi="Verdana" w:eastAsia="Verdana" w:cs="Verdana"/>
          <w:color w:val="000000" w:themeColor="text1"/>
        </w:rPr>
        <w:t>Aramis</w:t>
      </w:r>
      <w:proofErr w:type="spellEnd"/>
      <w:r w:rsidRPr="6CF541F9">
        <w:rPr>
          <w:rStyle w:val="cf01"/>
          <w:rFonts w:ascii="Verdana" w:hAnsi="Verdana" w:eastAsia="Verdana" w:cs="Verdana"/>
          <w:color w:val="000000" w:themeColor="text1"/>
        </w:rPr>
        <w:t xml:space="preserve"> project in of rond 2030 significante CO2-reductie te kunnen faciliteren voor de industrie is een snelle FID nodig voor het project (2025 of uiterlijk 2026). Via een taskforce worden op dit moment de handelingsopties (publiek en privaat) in beeld gebracht om dit besluitvormingsmoment te bespoedigen. </w:t>
      </w:r>
    </w:p>
    <w:p w:rsidR="39C623CE" w:rsidP="6CF541F9" w:rsidRDefault="39C623CE" w14:paraId="274BEBEC" w14:textId="6243E9B4">
      <w:pPr>
        <w:pStyle w:val="Lijstalinea"/>
        <w:numPr>
          <w:ilvl w:val="0"/>
          <w:numId w:val="27"/>
        </w:numPr>
        <w:spacing w:beforeAutospacing="1" w:afterAutospacing="1" w:line="240" w:lineRule="auto"/>
        <w:rPr>
          <w:rFonts w:eastAsia="Verdana" w:cs="Verdana"/>
          <w:color w:val="000000" w:themeColor="text1"/>
          <w:szCs w:val="18"/>
        </w:rPr>
      </w:pPr>
      <w:r w:rsidRPr="6CF541F9">
        <w:rPr>
          <w:rStyle w:val="cf01"/>
          <w:rFonts w:ascii="Verdana" w:hAnsi="Verdana" w:eastAsia="Verdana" w:cs="Verdana"/>
          <w:color w:val="000000" w:themeColor="text1"/>
        </w:rPr>
        <w:t>Recent is hier de ontwikkeling bij gekomen dat de twee private partijen in het transport van het project (Shell en Total) willen uitstappen, wat een aanvullend risico is op de voortgang. De komende tijd worden de handelingsopties verder in beeld gebracht.</w:t>
      </w:r>
    </w:p>
    <w:p w:rsidR="00312072" w:rsidP="6CF541F9" w:rsidRDefault="00312072" w14:paraId="79338753" w14:textId="6CEF85A7">
      <w:pPr>
        <w:pStyle w:val="Geenafstand"/>
        <w:numPr>
          <w:ilvl w:val="0"/>
          <w:numId w:val="27"/>
        </w:numPr>
        <w:rPr>
          <w:rFonts w:eastAsia="Verdana" w:cs="Verdana"/>
        </w:rPr>
      </w:pPr>
      <w:r w:rsidRPr="6CF541F9">
        <w:rPr>
          <w:rFonts w:eastAsia="Verdana" w:cs="Verdana"/>
        </w:rPr>
        <w:t xml:space="preserve">Alhoewel de maatregelen gericht op de randvoorwaarden in zichzelf niet leiden tot directe emissiereductie, zijn deze wel noodzakelijk voor een effectief maatregelenpakket dat leidt tot emissiereductie. </w:t>
      </w:r>
      <w:r w:rsidRPr="6CF541F9" w:rsidR="2DBD033A">
        <w:rPr>
          <w:rFonts w:eastAsia="Verdana" w:cs="Verdana"/>
        </w:rPr>
        <w:t xml:space="preserve">Dit geldt ook andersom. </w:t>
      </w:r>
    </w:p>
    <w:p w:rsidRPr="00315DCA" w:rsidR="00312072" w:rsidP="00312072" w:rsidRDefault="00312072" w14:paraId="227F949B" w14:textId="77777777">
      <w:pPr>
        <w:pStyle w:val="Geenafstand"/>
        <w:numPr>
          <w:ilvl w:val="0"/>
          <w:numId w:val="27"/>
        </w:numPr>
        <w:rPr>
          <w:rFonts w:eastAsia="Verdana" w:cs="Verdana"/>
          <w:szCs w:val="18"/>
        </w:rPr>
      </w:pPr>
      <w:r w:rsidRPr="00315DCA">
        <w:rPr>
          <w:rFonts w:eastAsia="Verdana" w:cs="Verdana"/>
          <w:szCs w:val="18"/>
        </w:rPr>
        <w:t xml:space="preserve">KGG zal de komende maanden maatregelen in kaart brengen die hiervoor mogelijk zijn. Projecten die hierbij worden meegenomen zijn o.a. de (financiering van) </w:t>
      </w:r>
      <w:proofErr w:type="spellStart"/>
      <w:r w:rsidRPr="00315DCA">
        <w:rPr>
          <w:rFonts w:eastAsia="Verdana" w:cs="Verdana"/>
          <w:szCs w:val="18"/>
        </w:rPr>
        <w:t>Aramis</w:t>
      </w:r>
      <w:proofErr w:type="spellEnd"/>
      <w:r w:rsidRPr="00315DCA">
        <w:rPr>
          <w:rFonts w:eastAsia="Verdana" w:cs="Verdana"/>
          <w:szCs w:val="18"/>
        </w:rPr>
        <w:t>, de uitwerking en implementatie van de raffinageroute en (voorkomen van verdere) vertraging van de Delta-Rijn-Corridor.</w:t>
      </w:r>
    </w:p>
    <w:p w:rsidR="00312072" w:rsidP="00312072" w:rsidRDefault="00312072" w14:paraId="1374C1AC" w14:textId="77777777">
      <w:pPr>
        <w:pStyle w:val="Lijstalinea"/>
        <w:numPr>
          <w:ilvl w:val="0"/>
          <w:numId w:val="27"/>
        </w:numPr>
        <w:rPr>
          <w:rFonts w:eastAsia="Verdana" w:cs="Verdana"/>
          <w:szCs w:val="18"/>
        </w:rPr>
      </w:pPr>
      <w:r w:rsidRPr="1392E6C2">
        <w:rPr>
          <w:rFonts w:eastAsia="Verdana" w:cs="Verdana"/>
          <w:szCs w:val="18"/>
        </w:rPr>
        <w:lastRenderedPageBreak/>
        <w:t>Daarnaast worden de aanbevelingen van het IBO Bekostiging Elektriciteitsinfrastructuur verwacht t.a.v. de bekostiging van de elektriciteitsinfrastructuur en mogelijke oplossingen voor de hoge nettarieven, die met name in de industrie momenteel de transitie belemmeren. Het IBO wordt in februari 2025 opgeleverd. Ook zal in dat kader de optie voor eventuele verlenging van de indirecte kostencompensatie (IKC) worden bezien.</w:t>
      </w:r>
    </w:p>
    <w:p w:rsidR="00672F70" w:rsidP="00672F70" w:rsidRDefault="00672F70" w14:paraId="58045574" w14:textId="77777777">
      <w:pPr>
        <w:rPr>
          <w:b/>
          <w:bCs/>
          <w:u w:val="single"/>
        </w:rPr>
      </w:pPr>
    </w:p>
    <w:p w:rsidRPr="00443C76" w:rsidR="00672F70" w:rsidP="00672F70" w:rsidRDefault="00672F70" w14:paraId="394F278C" w14:textId="77777777">
      <w:pPr>
        <w:ind w:left="720"/>
      </w:pPr>
    </w:p>
    <w:p w:rsidR="00672F70" w:rsidP="00672F70" w:rsidRDefault="00672F70" w14:paraId="2CACE89F" w14:textId="77777777">
      <w:pPr>
        <w:pStyle w:val="Lijstalinea"/>
        <w:ind w:left="0"/>
        <w:rPr>
          <w:b/>
          <w:bCs/>
          <w:u w:val="single"/>
        </w:rPr>
      </w:pPr>
      <w:r>
        <w:rPr>
          <w:b/>
          <w:bCs/>
          <w:u w:val="single"/>
        </w:rPr>
        <w:t xml:space="preserve">2b. </w:t>
      </w:r>
      <w:r w:rsidRPr="005E6CEC">
        <w:rPr>
          <w:b/>
          <w:bCs/>
          <w:u w:val="single"/>
        </w:rPr>
        <w:t xml:space="preserve">Aanvullende prikkel voor behalen sectordoel Industrie:  </w:t>
      </w:r>
    </w:p>
    <w:p w:rsidRPr="00E562AB" w:rsidR="00D970AE" w:rsidP="00D970AE" w:rsidRDefault="00D970AE" w14:paraId="5D9566E2" w14:textId="77777777">
      <w:pPr>
        <w:pStyle w:val="Lijstalinea"/>
        <w:numPr>
          <w:ilvl w:val="0"/>
          <w:numId w:val="22"/>
        </w:numPr>
        <w:rPr>
          <w:b/>
          <w:bCs/>
          <w:u w:val="single"/>
        </w:rPr>
      </w:pPr>
      <w:r>
        <w:rPr>
          <w:rFonts w:eastAsia="Verdana" w:cs="Verdana"/>
          <w:szCs w:val="18"/>
        </w:rPr>
        <w:t>De ophoging van de</w:t>
      </w:r>
      <w:r w:rsidRPr="16DF8189">
        <w:rPr>
          <w:rFonts w:eastAsia="Verdana" w:cs="Verdana"/>
          <w:szCs w:val="18"/>
        </w:rPr>
        <w:t xml:space="preserve"> CO2-heffing </w:t>
      </w:r>
      <w:r>
        <w:rPr>
          <w:rFonts w:eastAsia="Verdana" w:cs="Verdana"/>
          <w:szCs w:val="18"/>
        </w:rPr>
        <w:t>is in het</w:t>
      </w:r>
      <w:r w:rsidRPr="16DF8189">
        <w:rPr>
          <w:rFonts w:eastAsia="Verdana" w:cs="Verdana"/>
          <w:szCs w:val="18"/>
        </w:rPr>
        <w:t xml:space="preserve"> HLA</w:t>
      </w:r>
      <w:r>
        <w:rPr>
          <w:rFonts w:eastAsia="Verdana" w:cs="Verdana"/>
          <w:szCs w:val="18"/>
        </w:rPr>
        <w:t xml:space="preserve"> en RP geschrapt.</w:t>
      </w:r>
    </w:p>
    <w:p w:rsidRPr="00E562AB" w:rsidR="00D970AE" w:rsidP="00D970AE" w:rsidRDefault="00D970AE" w14:paraId="4798D7A0" w14:textId="77777777">
      <w:pPr>
        <w:pStyle w:val="Lijstalinea"/>
        <w:numPr>
          <w:ilvl w:val="0"/>
          <w:numId w:val="22"/>
        </w:numPr>
      </w:pPr>
      <w:r>
        <w:rPr>
          <w:rFonts w:eastAsia="Verdana" w:cs="Verdana"/>
          <w:szCs w:val="18"/>
        </w:rPr>
        <w:t xml:space="preserve">De </w:t>
      </w:r>
      <w:r w:rsidRPr="00843865">
        <w:rPr>
          <w:rFonts w:eastAsia="Verdana" w:cs="Verdana"/>
          <w:szCs w:val="18"/>
        </w:rPr>
        <w:t xml:space="preserve">ophoging van de CO2-heffing </w:t>
      </w:r>
      <w:r>
        <w:rPr>
          <w:rFonts w:eastAsia="Verdana" w:cs="Verdana"/>
          <w:szCs w:val="18"/>
        </w:rPr>
        <w:t xml:space="preserve">was </w:t>
      </w:r>
      <w:r w:rsidRPr="00843865">
        <w:rPr>
          <w:rFonts w:eastAsia="Verdana" w:cs="Verdana"/>
          <w:szCs w:val="18"/>
        </w:rPr>
        <w:t>een voorwaarde voor bepaalde middelen uit het Klimaatfonds.</w:t>
      </w:r>
    </w:p>
    <w:p w:rsidRPr="009433BB" w:rsidR="00D970AE" w:rsidP="00D970AE" w:rsidRDefault="00D970AE" w14:paraId="4D94E1B4" w14:textId="77777777">
      <w:pPr>
        <w:pStyle w:val="Lijstalinea"/>
        <w:numPr>
          <w:ilvl w:val="0"/>
          <w:numId w:val="22"/>
        </w:numPr>
      </w:pPr>
      <w:r>
        <w:rPr>
          <w:rFonts w:eastAsia="Verdana" w:cs="Verdana"/>
          <w:szCs w:val="18"/>
        </w:rPr>
        <w:t>Tevens laten de KEV24 cijfers zien dat het sectordoel voor de industrie zeer waarschijnlijk niet wordt behaald (kans op behalen minder dan 5%).</w:t>
      </w:r>
    </w:p>
    <w:p w:rsidRPr="0056710A" w:rsidR="00D970AE" w:rsidP="00D970AE" w:rsidRDefault="00D970AE" w14:paraId="63A3824B" w14:textId="77777777">
      <w:pPr>
        <w:pStyle w:val="Lijstalinea"/>
        <w:numPr>
          <w:ilvl w:val="0"/>
          <w:numId w:val="22"/>
        </w:numPr>
      </w:pPr>
      <w:r w:rsidRPr="009433BB">
        <w:rPr>
          <w:rFonts w:eastAsia="Verdana" w:cs="Verdana"/>
          <w:szCs w:val="18"/>
        </w:rPr>
        <w:t>De volgende opties worden daarom nader uitgewerkt</w:t>
      </w:r>
    </w:p>
    <w:p w:rsidR="00D970AE" w:rsidP="00D970AE" w:rsidRDefault="00D970AE" w14:paraId="12CA512A" w14:textId="77777777">
      <w:pPr>
        <w:rPr>
          <w:b/>
          <w:bCs/>
        </w:rPr>
      </w:pPr>
    </w:p>
    <w:p w:rsidRPr="005612C9" w:rsidR="00D970AE" w:rsidP="00D970AE" w:rsidRDefault="00D970AE" w14:paraId="76986A88" w14:textId="77777777">
      <w:pPr>
        <w:rPr>
          <w:b/>
          <w:bCs/>
        </w:rPr>
      </w:pPr>
      <w:r w:rsidRPr="005612C9">
        <w:rPr>
          <w:b/>
          <w:bCs/>
        </w:rPr>
        <w:t>CO2-heffing:</w:t>
      </w:r>
    </w:p>
    <w:p w:rsidR="00D970AE" w:rsidP="00D970AE" w:rsidRDefault="00D970AE" w14:paraId="503BDF0A" w14:textId="77777777">
      <w:pPr>
        <w:pStyle w:val="Lijstalinea"/>
        <w:numPr>
          <w:ilvl w:val="0"/>
          <w:numId w:val="27"/>
        </w:numPr>
      </w:pPr>
      <w:r w:rsidRPr="00E562AB">
        <w:t>De CO2</w:t>
      </w:r>
      <w:r>
        <w:t>-</w:t>
      </w:r>
      <w:r w:rsidRPr="00E562AB">
        <w:t xml:space="preserve">heffing is een belangrijk </w:t>
      </w:r>
      <w:r>
        <w:t xml:space="preserve">bestaand </w:t>
      </w:r>
      <w:r w:rsidRPr="00E562AB">
        <w:t>instrument om bedrijven te prikkelen om te verduurzamen</w:t>
      </w:r>
      <w:r>
        <w:t xml:space="preserve"> en voor het behalen van de klimaatdoelen</w:t>
      </w:r>
      <w:r w:rsidRPr="00E562AB">
        <w:t xml:space="preserve">. </w:t>
      </w:r>
    </w:p>
    <w:p w:rsidR="00D970AE" w:rsidP="00D970AE" w:rsidRDefault="00D970AE" w14:paraId="23E85162" w14:textId="77777777">
      <w:pPr>
        <w:pStyle w:val="Lijstalinea"/>
        <w:numPr>
          <w:ilvl w:val="0"/>
          <w:numId w:val="27"/>
        </w:numPr>
      </w:pPr>
      <w:r>
        <w:t xml:space="preserve">Wegens bovenstaande afwegingen zal de komende tijd worden verkend wat opties zijn om de CO2-heffing een </w:t>
      </w:r>
      <w:r w:rsidRPr="001D090F">
        <w:rPr>
          <w:u w:val="single"/>
        </w:rPr>
        <w:t>betere</w:t>
      </w:r>
      <w:r>
        <w:t xml:space="preserve"> prikkel te laten zijn voor de industrie. Hieronder valt ook aanscherping van de heffing. </w:t>
      </w:r>
    </w:p>
    <w:p w:rsidRPr="00E562AB" w:rsidR="00D970AE" w:rsidP="00D970AE" w:rsidRDefault="00D970AE" w14:paraId="2286F2C5" w14:textId="77777777">
      <w:pPr>
        <w:pStyle w:val="Lijstalinea"/>
        <w:numPr>
          <w:ilvl w:val="0"/>
          <w:numId w:val="27"/>
        </w:numPr>
      </w:pPr>
      <w:r>
        <w:t xml:space="preserve">Tegelijkertijd is dit een schoolvoorbeeld van een nationale kop. </w:t>
      </w:r>
      <w:r w:rsidRPr="41803E00">
        <w:rPr>
          <w:rFonts w:eastAsia="Verdana" w:cs="Verdana"/>
          <w:szCs w:val="18"/>
        </w:rPr>
        <w:t>De heffing is in internationaal opzicht een uniek instrument</w:t>
      </w:r>
      <w:r>
        <w:rPr>
          <w:rFonts w:eastAsia="Verdana" w:cs="Verdana"/>
          <w:szCs w:val="18"/>
        </w:rPr>
        <w:t xml:space="preserve">; </w:t>
      </w:r>
      <w:r w:rsidRPr="41803E00">
        <w:rPr>
          <w:rFonts w:eastAsia="Verdana" w:cs="Verdana"/>
          <w:szCs w:val="18"/>
        </w:rPr>
        <w:t>nergens anders in Europa worden</w:t>
      </w:r>
      <w:r>
        <w:rPr>
          <w:rFonts w:eastAsia="Verdana" w:cs="Verdana"/>
          <w:szCs w:val="18"/>
        </w:rPr>
        <w:t>,</w:t>
      </w:r>
      <w:r w:rsidRPr="41803E00">
        <w:rPr>
          <w:rFonts w:eastAsia="Verdana" w:cs="Verdana"/>
          <w:szCs w:val="18"/>
        </w:rPr>
        <w:t xml:space="preserve"> </w:t>
      </w:r>
      <w:r>
        <w:rPr>
          <w:rFonts w:eastAsia="Verdana" w:cs="Verdana"/>
          <w:szCs w:val="18"/>
        </w:rPr>
        <w:t>bovenop het Europese ETS,</w:t>
      </w:r>
      <w:r w:rsidRPr="41803E00">
        <w:rPr>
          <w:rFonts w:eastAsia="Verdana" w:cs="Verdana"/>
          <w:szCs w:val="18"/>
        </w:rPr>
        <w:t xml:space="preserve"> industriële emissies op deze wijze </w:t>
      </w:r>
      <w:proofErr w:type="spellStart"/>
      <w:r w:rsidRPr="41803E00">
        <w:rPr>
          <w:rFonts w:eastAsia="Verdana" w:cs="Verdana"/>
          <w:szCs w:val="18"/>
        </w:rPr>
        <w:t>beprijsd</w:t>
      </w:r>
      <w:proofErr w:type="spellEnd"/>
      <w:r w:rsidRPr="41803E00">
        <w:rPr>
          <w:rFonts w:eastAsia="Verdana" w:cs="Verdana"/>
          <w:szCs w:val="18"/>
        </w:rPr>
        <w:t>. Dit kan leiden tot weglekeffecten.</w:t>
      </w:r>
    </w:p>
    <w:p w:rsidRPr="00E562AB" w:rsidR="00D970AE" w:rsidP="00D970AE" w:rsidRDefault="00D970AE" w14:paraId="2E1C4510" w14:textId="77777777">
      <w:pPr>
        <w:pStyle w:val="Lijstalinea"/>
        <w:numPr>
          <w:ilvl w:val="0"/>
          <w:numId w:val="22"/>
        </w:numPr>
      </w:pPr>
      <w:r>
        <w:rPr>
          <w:rFonts w:eastAsia="Verdana" w:cs="Verdana"/>
          <w:szCs w:val="18"/>
        </w:rPr>
        <w:t>In de uitwerking van deze opties worden alle, uit onderzoek gebleken, relevante afwegingen, meegenomen.</w:t>
      </w:r>
    </w:p>
    <w:p w:rsidRPr="00E562AB" w:rsidR="00D970AE" w:rsidP="00D970AE" w:rsidRDefault="00D970AE" w14:paraId="0D9233F5" w14:textId="77777777">
      <w:pPr>
        <w:pStyle w:val="Lijstalinea"/>
        <w:ind w:left="360"/>
      </w:pPr>
      <w:r>
        <w:rPr>
          <w:rFonts w:eastAsia="Verdana" w:cs="Verdana"/>
          <w:szCs w:val="18"/>
        </w:rPr>
        <w:t>Hierbij kunt u denken aan:</w:t>
      </w:r>
    </w:p>
    <w:p w:rsidRPr="00E562AB" w:rsidR="00D970AE" w:rsidP="00D970AE" w:rsidRDefault="00D970AE" w14:paraId="3CDFF9DF" w14:textId="77777777">
      <w:pPr>
        <w:pStyle w:val="Lijstalinea"/>
        <w:numPr>
          <w:ilvl w:val="0"/>
          <w:numId w:val="29"/>
        </w:numPr>
      </w:pPr>
      <w:r w:rsidRPr="00423F1D">
        <w:rPr>
          <w:rFonts w:eastAsia="Verdana" w:cs="Verdana"/>
          <w:szCs w:val="18"/>
        </w:rPr>
        <w:t>Eerder genoemde problematiek in de randvoorwaarden,</w:t>
      </w:r>
    </w:p>
    <w:p w:rsidRPr="00E562AB" w:rsidR="00D970AE" w:rsidP="00D970AE" w:rsidRDefault="00D970AE" w14:paraId="7781BEDE" w14:textId="77777777">
      <w:pPr>
        <w:pStyle w:val="Lijstalinea"/>
        <w:numPr>
          <w:ilvl w:val="0"/>
          <w:numId w:val="29"/>
        </w:numPr>
      </w:pPr>
      <w:r w:rsidRPr="00423F1D">
        <w:rPr>
          <w:rFonts w:eastAsia="Verdana" w:cs="Verdana"/>
          <w:szCs w:val="18"/>
        </w:rPr>
        <w:t>Samenhang met de Europese aanpak (</w:t>
      </w:r>
      <w:proofErr w:type="spellStart"/>
      <w:r w:rsidRPr="00423F1D">
        <w:rPr>
          <w:rFonts w:eastAsia="Verdana" w:cs="Verdana"/>
          <w:szCs w:val="18"/>
        </w:rPr>
        <w:t>Draghi</w:t>
      </w:r>
      <w:proofErr w:type="spellEnd"/>
      <w:r w:rsidRPr="00423F1D">
        <w:rPr>
          <w:rFonts w:eastAsia="Verdana" w:cs="Verdana"/>
          <w:szCs w:val="18"/>
        </w:rPr>
        <w:t>, ETS-prijs),</w:t>
      </w:r>
    </w:p>
    <w:p w:rsidRPr="00E562AB" w:rsidR="00D970AE" w:rsidP="00D970AE" w:rsidRDefault="00D970AE" w14:paraId="47844934" w14:textId="77777777">
      <w:pPr>
        <w:pStyle w:val="Lijstalinea"/>
        <w:numPr>
          <w:ilvl w:val="0"/>
          <w:numId w:val="29"/>
        </w:numPr>
      </w:pPr>
      <w:r w:rsidRPr="13A1AD5B">
        <w:rPr>
          <w:rFonts w:eastAsia="Verdana" w:cs="Verdana"/>
        </w:rPr>
        <w:t>De verwachtte emissiereductie in de periode van 2030-2035 m.b.t. maatwerkaanpak</w:t>
      </w:r>
    </w:p>
    <w:p w:rsidRPr="00E562AB" w:rsidR="00D970AE" w:rsidP="00D970AE" w:rsidRDefault="00D970AE" w14:paraId="38F921CA" w14:textId="77777777">
      <w:pPr>
        <w:pStyle w:val="Lijstalinea"/>
        <w:numPr>
          <w:ilvl w:val="0"/>
          <w:numId w:val="29"/>
        </w:numPr>
      </w:pPr>
      <w:r w:rsidRPr="13A1AD5B">
        <w:rPr>
          <w:rFonts w:eastAsia="Verdana" w:cs="Verdana"/>
        </w:rPr>
        <w:t xml:space="preserve">De effecten van deze afwegingen op verduurzaming, maar ook directe lastenverzwaring, weglek en productievermindering. </w:t>
      </w:r>
    </w:p>
    <w:p w:rsidRPr="00E562AB" w:rsidR="00D970AE" w:rsidP="00D970AE" w:rsidRDefault="00D970AE" w14:paraId="48920A50" w14:textId="77777777">
      <w:pPr>
        <w:pStyle w:val="Lijstalinea"/>
        <w:numPr>
          <w:ilvl w:val="0"/>
          <w:numId w:val="29"/>
        </w:numPr>
      </w:pPr>
      <w:r>
        <w:rPr>
          <w:rFonts w:eastAsia="Verdana" w:cs="Verdana"/>
        </w:rPr>
        <w:t xml:space="preserve">Effect op de maatwerkafspraken. </w:t>
      </w:r>
    </w:p>
    <w:p w:rsidRPr="0056710A" w:rsidR="00672F70" w:rsidP="00672F70" w:rsidRDefault="00672F70" w14:paraId="523C89F5" w14:textId="77777777">
      <w:pPr>
        <w:pStyle w:val="Lijstalinea"/>
      </w:pPr>
    </w:p>
    <w:p w:rsidRPr="0056710A" w:rsidR="00672F70" w:rsidP="00672F70" w:rsidRDefault="00672F70" w14:paraId="77855C95" w14:textId="77777777">
      <w:pPr>
        <w:pStyle w:val="Lijstalinea"/>
        <w:ind w:left="0"/>
        <w:rPr>
          <w:rFonts w:eastAsia="Verdana" w:cs="Verdana"/>
          <w:b/>
          <w:bCs/>
          <w:szCs w:val="18"/>
        </w:rPr>
      </w:pPr>
      <w:r w:rsidRPr="0056710A">
        <w:rPr>
          <w:rFonts w:eastAsia="Verdana" w:cs="Verdana"/>
          <w:b/>
          <w:bCs/>
          <w:szCs w:val="18"/>
        </w:rPr>
        <w:t>Aanvullend normerend/</w:t>
      </w:r>
      <w:proofErr w:type="spellStart"/>
      <w:r w:rsidRPr="0056710A">
        <w:rPr>
          <w:rFonts w:eastAsia="Verdana" w:cs="Verdana"/>
          <w:b/>
          <w:bCs/>
          <w:szCs w:val="18"/>
        </w:rPr>
        <w:t>beprijzend</w:t>
      </w:r>
      <w:proofErr w:type="spellEnd"/>
      <w:r w:rsidRPr="0056710A">
        <w:rPr>
          <w:rFonts w:eastAsia="Verdana" w:cs="Verdana"/>
          <w:b/>
          <w:bCs/>
          <w:szCs w:val="18"/>
        </w:rPr>
        <w:t xml:space="preserve"> beleid niet-ETS1</w:t>
      </w:r>
      <w:r>
        <w:rPr>
          <w:rFonts w:eastAsia="Verdana" w:cs="Verdana"/>
          <w:b/>
          <w:bCs/>
          <w:szCs w:val="18"/>
        </w:rPr>
        <w:t xml:space="preserve"> -</w:t>
      </w:r>
      <w:r w:rsidRPr="0056710A">
        <w:rPr>
          <w:rFonts w:eastAsia="Verdana" w:cs="Verdana"/>
          <w:b/>
          <w:bCs/>
          <w:szCs w:val="18"/>
        </w:rPr>
        <w:t xml:space="preserve"> industrie:</w:t>
      </w:r>
    </w:p>
    <w:p w:rsidR="00672F70" w:rsidP="00672F70" w:rsidRDefault="00672F70" w14:paraId="523DC580" w14:textId="77777777">
      <w:pPr>
        <w:pStyle w:val="Lijstalinea"/>
        <w:numPr>
          <w:ilvl w:val="0"/>
          <w:numId w:val="20"/>
        </w:numPr>
        <w:rPr>
          <w:rFonts w:eastAsia="Verdana" w:cs="Verdana"/>
          <w:szCs w:val="18"/>
        </w:rPr>
      </w:pPr>
      <w:r>
        <w:rPr>
          <w:rFonts w:eastAsia="Verdana" w:cs="Verdana"/>
          <w:szCs w:val="18"/>
        </w:rPr>
        <w:lastRenderedPageBreak/>
        <w:t xml:space="preserve">Nader onderzoek naar reductiepotentieel en mogelijkheden om via aanvullend </w:t>
      </w:r>
      <w:proofErr w:type="spellStart"/>
      <w:r>
        <w:rPr>
          <w:rFonts w:eastAsia="Verdana" w:cs="Verdana"/>
          <w:szCs w:val="18"/>
        </w:rPr>
        <w:t>beprijzend</w:t>
      </w:r>
      <w:proofErr w:type="spellEnd"/>
      <w:r>
        <w:rPr>
          <w:rFonts w:eastAsia="Verdana" w:cs="Verdana"/>
          <w:szCs w:val="18"/>
        </w:rPr>
        <w:t xml:space="preserve"> of normerend beleid dit potentieel te ontsluiten (onderzoek </w:t>
      </w:r>
      <w:proofErr w:type="spellStart"/>
      <w:r>
        <w:rPr>
          <w:rFonts w:eastAsia="Verdana" w:cs="Verdana"/>
          <w:szCs w:val="18"/>
        </w:rPr>
        <w:t>beprijzingsniveaus</w:t>
      </w:r>
      <w:proofErr w:type="spellEnd"/>
      <w:r>
        <w:rPr>
          <w:rFonts w:eastAsia="Verdana" w:cs="Verdana"/>
          <w:szCs w:val="18"/>
        </w:rPr>
        <w:t xml:space="preserve"> FIN). </w:t>
      </w:r>
    </w:p>
    <w:p w:rsidR="00672F70" w:rsidP="00672F70" w:rsidRDefault="00672F70" w14:paraId="26CEA5A1" w14:textId="77777777">
      <w:pPr>
        <w:pStyle w:val="Lijstalinea"/>
        <w:ind w:left="0"/>
        <w:rPr>
          <w:rFonts w:eastAsia="Verdana" w:cs="Verdana"/>
          <w:szCs w:val="18"/>
        </w:rPr>
      </w:pPr>
    </w:p>
    <w:p w:rsidRPr="007C6885" w:rsidR="00672F70" w:rsidP="00672F70" w:rsidRDefault="00672F70" w14:paraId="60B4DB11" w14:textId="77777777">
      <w:pPr>
        <w:pStyle w:val="Lijstalinea"/>
        <w:ind w:left="0"/>
        <w:rPr>
          <w:rFonts w:eastAsia="Verdana" w:cs="Verdana"/>
          <w:b/>
          <w:bCs/>
          <w:szCs w:val="18"/>
        </w:rPr>
      </w:pPr>
      <w:r w:rsidRPr="007C6885">
        <w:rPr>
          <w:rFonts w:eastAsia="Verdana" w:cs="Verdana"/>
          <w:b/>
          <w:bCs/>
          <w:szCs w:val="18"/>
        </w:rPr>
        <w:t xml:space="preserve">Verduurzaming </w:t>
      </w:r>
      <w:proofErr w:type="spellStart"/>
      <w:r w:rsidRPr="007C6885">
        <w:rPr>
          <w:rFonts w:eastAsia="Verdana" w:cs="Verdana"/>
          <w:b/>
          <w:bCs/>
          <w:szCs w:val="18"/>
        </w:rPr>
        <w:t>AVI’s</w:t>
      </w:r>
      <w:proofErr w:type="spellEnd"/>
      <w:r>
        <w:rPr>
          <w:rFonts w:eastAsia="Verdana" w:cs="Verdana"/>
          <w:b/>
          <w:bCs/>
          <w:szCs w:val="18"/>
        </w:rPr>
        <w:t>:</w:t>
      </w:r>
    </w:p>
    <w:p w:rsidR="00FF0B3C" w:rsidP="00FF0B3C" w:rsidRDefault="00FF0B3C" w14:paraId="4B8CAD48" w14:textId="77777777">
      <w:pPr>
        <w:pStyle w:val="Lijstalinea"/>
        <w:ind w:left="0"/>
        <w:rPr>
          <w:rFonts w:eastAsia="Verdana" w:cs="Verdana"/>
          <w:szCs w:val="18"/>
        </w:rPr>
      </w:pPr>
      <w:r>
        <w:rPr>
          <w:rFonts w:eastAsia="Verdana" w:cs="Verdana"/>
          <w:szCs w:val="18"/>
        </w:rPr>
        <w:t xml:space="preserve">Een mogelijk aanvullende prikkel betreft de verduurzaming van de </w:t>
      </w:r>
      <w:proofErr w:type="spellStart"/>
      <w:r>
        <w:rPr>
          <w:rFonts w:eastAsia="Verdana" w:cs="Verdana"/>
          <w:szCs w:val="18"/>
        </w:rPr>
        <w:t>AVI’s</w:t>
      </w:r>
      <w:proofErr w:type="spellEnd"/>
      <w:r>
        <w:rPr>
          <w:rFonts w:eastAsia="Verdana" w:cs="Verdana"/>
          <w:szCs w:val="18"/>
        </w:rPr>
        <w:t>.</w:t>
      </w:r>
    </w:p>
    <w:p w:rsidR="00FF0B3C" w:rsidP="00FF0B3C" w:rsidRDefault="00FF0B3C" w14:paraId="6EE08B61" w14:textId="77777777">
      <w:pPr>
        <w:pStyle w:val="Lijstalinea"/>
        <w:numPr>
          <w:ilvl w:val="0"/>
          <w:numId w:val="20"/>
        </w:numPr>
        <w:rPr>
          <w:rFonts w:eastAsia="Verdana" w:cs="Verdana"/>
          <w:szCs w:val="18"/>
        </w:rPr>
      </w:pPr>
      <w:r>
        <w:rPr>
          <w:rFonts w:eastAsia="Verdana" w:cs="Verdana"/>
          <w:szCs w:val="18"/>
        </w:rPr>
        <w:t xml:space="preserve">Voor de </w:t>
      </w:r>
      <w:proofErr w:type="spellStart"/>
      <w:r>
        <w:rPr>
          <w:rFonts w:eastAsia="Verdana" w:cs="Verdana"/>
          <w:szCs w:val="18"/>
        </w:rPr>
        <w:t>AVI’s</w:t>
      </w:r>
      <w:proofErr w:type="spellEnd"/>
      <w:r>
        <w:rPr>
          <w:rFonts w:eastAsia="Verdana" w:cs="Verdana"/>
          <w:szCs w:val="18"/>
        </w:rPr>
        <w:t xml:space="preserve"> is 4 </w:t>
      </w:r>
      <w:proofErr w:type="spellStart"/>
      <w:r>
        <w:rPr>
          <w:rFonts w:eastAsia="Verdana" w:cs="Verdana"/>
          <w:szCs w:val="18"/>
        </w:rPr>
        <w:t>Mton</w:t>
      </w:r>
      <w:proofErr w:type="spellEnd"/>
      <w:r>
        <w:rPr>
          <w:rFonts w:eastAsia="Verdana" w:cs="Verdana"/>
          <w:szCs w:val="18"/>
        </w:rPr>
        <w:t xml:space="preserve"> reductie ingeboekt, maar het PBL raamt 2030-doelbereik op basis van huidig beleid op 2 </w:t>
      </w:r>
      <w:proofErr w:type="spellStart"/>
      <w:r>
        <w:rPr>
          <w:rFonts w:eastAsia="Verdana" w:cs="Verdana"/>
          <w:szCs w:val="18"/>
        </w:rPr>
        <w:t>Mton</w:t>
      </w:r>
      <w:proofErr w:type="spellEnd"/>
      <w:r>
        <w:rPr>
          <w:rFonts w:eastAsia="Verdana" w:cs="Verdana"/>
          <w:szCs w:val="18"/>
        </w:rPr>
        <w:t xml:space="preserve"> (KEV24). </w:t>
      </w:r>
    </w:p>
    <w:p w:rsidR="00FF0B3C" w:rsidP="00FF0B3C" w:rsidRDefault="00FF0B3C" w14:paraId="374FFB7B" w14:textId="77777777">
      <w:pPr>
        <w:pStyle w:val="Lijstalinea"/>
        <w:numPr>
          <w:ilvl w:val="0"/>
          <w:numId w:val="20"/>
        </w:numPr>
        <w:rPr>
          <w:rFonts w:eastAsia="Verdana" w:cs="Verdana"/>
          <w:szCs w:val="18"/>
        </w:rPr>
      </w:pPr>
      <w:proofErr w:type="spellStart"/>
      <w:r>
        <w:rPr>
          <w:rFonts w:eastAsia="Verdana" w:cs="Verdana"/>
          <w:szCs w:val="18"/>
        </w:rPr>
        <w:t>Vanuitdeze</w:t>
      </w:r>
      <w:proofErr w:type="spellEnd"/>
      <w:r>
        <w:rPr>
          <w:rFonts w:eastAsia="Verdana" w:cs="Verdana"/>
          <w:szCs w:val="18"/>
        </w:rPr>
        <w:t xml:space="preserve"> afweging is het zaak om nader te bezien wat mogelijk is om het doelbereik voor de </w:t>
      </w:r>
      <w:proofErr w:type="spellStart"/>
      <w:r>
        <w:rPr>
          <w:rFonts w:eastAsia="Verdana" w:cs="Verdana"/>
          <w:szCs w:val="18"/>
        </w:rPr>
        <w:t>AVI’s</w:t>
      </w:r>
      <w:proofErr w:type="spellEnd"/>
      <w:r>
        <w:rPr>
          <w:rFonts w:eastAsia="Verdana" w:cs="Verdana"/>
          <w:szCs w:val="18"/>
        </w:rPr>
        <w:t xml:space="preserve"> te behalen. </w:t>
      </w:r>
    </w:p>
    <w:p w:rsidR="00FF0B3C" w:rsidP="00FF0B3C" w:rsidRDefault="00FF0B3C" w14:paraId="126F5F40" w14:textId="77777777">
      <w:pPr>
        <w:pStyle w:val="Lijstalinea"/>
        <w:numPr>
          <w:ilvl w:val="0"/>
          <w:numId w:val="20"/>
        </w:numPr>
        <w:rPr>
          <w:rFonts w:eastAsia="Verdana" w:cs="Verdana"/>
          <w:szCs w:val="18"/>
        </w:rPr>
      </w:pPr>
      <w:r>
        <w:rPr>
          <w:rFonts w:eastAsia="Verdana" w:cs="Verdana"/>
          <w:szCs w:val="18"/>
        </w:rPr>
        <w:t xml:space="preserve">Daarnaast wordt vanuit FIN alternatief </w:t>
      </w:r>
      <w:proofErr w:type="spellStart"/>
      <w:r>
        <w:rPr>
          <w:rFonts w:eastAsia="Verdana" w:cs="Verdana"/>
          <w:szCs w:val="18"/>
        </w:rPr>
        <w:t>beprijzend</w:t>
      </w:r>
      <w:proofErr w:type="spellEnd"/>
      <w:r>
        <w:rPr>
          <w:rFonts w:eastAsia="Verdana" w:cs="Verdana"/>
          <w:szCs w:val="18"/>
        </w:rPr>
        <w:t xml:space="preserve"> beleid onderzocht indien de circulaire plastic heffing geen doorgang vindt en de budgettaire taakstelling van 550 mln. vanaf 2028 moet worden ingevuld (afspraak regeerprogramma). </w:t>
      </w:r>
    </w:p>
    <w:p w:rsidRPr="0095762F" w:rsidR="00FF0B3C" w:rsidP="00FF0B3C" w:rsidRDefault="00FF0B3C" w14:paraId="55A5CB41" w14:textId="77777777">
      <w:pPr>
        <w:pStyle w:val="Lijstalinea"/>
        <w:numPr>
          <w:ilvl w:val="0"/>
          <w:numId w:val="20"/>
        </w:numPr>
        <w:rPr>
          <w:rFonts w:eastAsia="Verdana" w:cs="Verdana"/>
          <w:szCs w:val="18"/>
        </w:rPr>
      </w:pPr>
      <w:r w:rsidRPr="0095762F">
        <w:rPr>
          <w:rFonts w:eastAsia="Verdana" w:cs="Verdana"/>
          <w:szCs w:val="18"/>
        </w:rPr>
        <w:t xml:space="preserve">Voorstel is om richting het voorjaar samen met I&amp;W de beleidsmix en het huidige doelbereik beter in beeld te brengen, en opties uit te werken ten behoeve van en eventuele aanscherping van het doel. </w:t>
      </w:r>
    </w:p>
    <w:p w:rsidR="00672F70" w:rsidP="0032490A" w:rsidRDefault="00672F70" w14:paraId="0637EC78" w14:textId="77777777"/>
    <w:p w:rsidR="00672F70" w:rsidP="00672F70" w:rsidRDefault="00672F70" w14:paraId="4EAE2C6C" w14:textId="77777777">
      <w:pPr>
        <w:pStyle w:val="Lijstalinea"/>
      </w:pPr>
    </w:p>
    <w:p w:rsidRPr="00E422E5" w:rsidR="00672F70" w:rsidP="00672F70" w:rsidRDefault="00672F70" w14:paraId="7ABF61EE" w14:textId="77777777">
      <w:pPr>
        <w:rPr>
          <w:b/>
          <w:bCs/>
        </w:rPr>
      </w:pPr>
      <w:r w:rsidRPr="007C6885">
        <w:rPr>
          <w:b/>
          <w:bCs/>
        </w:rPr>
        <w:t>Extra stimulering van CCS bij biogene CO2 emissies (</w:t>
      </w:r>
      <w:r>
        <w:rPr>
          <w:b/>
          <w:bCs/>
        </w:rPr>
        <w:t>bio-</w:t>
      </w:r>
      <w:r w:rsidRPr="007C6885">
        <w:rPr>
          <w:b/>
          <w:bCs/>
        </w:rPr>
        <w:t>CCS):</w:t>
      </w:r>
    </w:p>
    <w:p w:rsidR="00672F70" w:rsidP="00672F70" w:rsidRDefault="00672F70" w14:paraId="1B1CD2FC" w14:textId="77777777">
      <w:pPr>
        <w:pStyle w:val="Lijstalinea"/>
        <w:numPr>
          <w:ilvl w:val="0"/>
          <w:numId w:val="28"/>
        </w:numPr>
        <w:ind w:left="360"/>
      </w:pPr>
      <w:r>
        <w:t>Zoals aangeven in de PBL TVKN studie liggen er goede kansen voor het realiseren van koolstofverwijdering met restuitstoot van biogene CO2 in de biochemie. De businesscase voor de industrie is hiervoor op dit moment ongunstig.</w:t>
      </w:r>
      <w:r w:rsidRPr="00A35161">
        <w:t xml:space="preserve"> </w:t>
      </w:r>
      <w:r>
        <w:t xml:space="preserve"> </w:t>
      </w:r>
    </w:p>
    <w:p w:rsidRPr="007B69D9" w:rsidR="005265D9" w:rsidP="00672F70" w:rsidRDefault="00672F70" w14:paraId="63544F78" w14:textId="28627ACF">
      <w:pPr>
        <w:pStyle w:val="Lijstalinea"/>
        <w:numPr>
          <w:ilvl w:val="0"/>
          <w:numId w:val="28"/>
        </w:numPr>
        <w:ind w:left="360"/>
      </w:pPr>
      <w:r>
        <w:t>Er wordt verkend welke mogelijkheden er zijn om negatieve emissies te bevorderen in de industrie, via normeren, beprijzen en subsidiëren. In VJB25 moet er een besluit worden gemaakt.</w:t>
      </w:r>
    </w:p>
    <w:bookmarkEnd w:id="0"/>
    <w:p w:rsidR="00396871" w:rsidP="00396871" w:rsidRDefault="00396871" w14:paraId="48CAA147" w14:textId="77777777">
      <w:pPr>
        <w:rPr>
          <w:szCs w:val="18"/>
        </w:rPr>
      </w:pPr>
    </w:p>
    <w:p w:rsidRPr="007B69D9" w:rsidR="00396871" w:rsidP="00396871" w:rsidRDefault="00396871" w14:paraId="209A0610" w14:textId="77777777">
      <w:pPr>
        <w:rPr>
          <w:b/>
          <w:bCs/>
          <w:szCs w:val="18"/>
          <w:u w:val="single"/>
        </w:rPr>
      </w:pPr>
      <w:r w:rsidRPr="007B69D9">
        <w:rPr>
          <w:b/>
          <w:bCs/>
          <w:szCs w:val="18"/>
          <w:u w:val="single"/>
        </w:rPr>
        <w:t xml:space="preserve">Bijlage 1: </w:t>
      </w:r>
    </w:p>
    <w:p w:rsidRPr="007B69D9" w:rsidR="00396871" w:rsidP="00396871" w:rsidRDefault="00396871" w14:paraId="4FE746C3" w14:textId="77777777">
      <w:pPr>
        <w:rPr>
          <w:b/>
          <w:bCs/>
          <w:szCs w:val="18"/>
        </w:rPr>
      </w:pPr>
      <w:r w:rsidRPr="007B69D9">
        <w:rPr>
          <w:b/>
          <w:bCs/>
          <w:szCs w:val="18"/>
        </w:rPr>
        <w:t xml:space="preserve">Tabel met overzicht van maatregelen </w:t>
      </w:r>
      <w:proofErr w:type="spellStart"/>
      <w:r w:rsidRPr="007B69D9">
        <w:rPr>
          <w:b/>
          <w:bCs/>
          <w:szCs w:val="18"/>
        </w:rPr>
        <w:t>a.d.h.v</w:t>
      </w:r>
      <w:proofErr w:type="spellEnd"/>
      <w:r w:rsidRPr="007B69D9">
        <w:rPr>
          <w:b/>
          <w:bCs/>
          <w:szCs w:val="18"/>
        </w:rPr>
        <w:t xml:space="preserve"> reserveringen Klimaatfonds</w:t>
      </w:r>
    </w:p>
    <w:p w:rsidR="00396871" w:rsidP="00396871" w:rsidRDefault="00396871" w14:paraId="76929475" w14:textId="77777777">
      <w:pPr>
        <w:rPr>
          <w:b/>
          <w:bCs/>
          <w:szCs w:val="18"/>
        </w:rPr>
      </w:pPr>
    </w:p>
    <w:tbl>
      <w:tblPr>
        <w:tblStyle w:val="Rastertabel5donker-Accent1"/>
        <w:tblW w:w="9849" w:type="dxa"/>
        <w:tblLook w:val="0420" w:firstRow="1" w:lastRow="0" w:firstColumn="0" w:lastColumn="0" w:noHBand="0" w:noVBand="1"/>
      </w:tblPr>
      <w:tblGrid>
        <w:gridCol w:w="2121"/>
        <w:gridCol w:w="3841"/>
        <w:gridCol w:w="3887"/>
      </w:tblGrid>
      <w:tr w:rsidRPr="006C5A2A" w:rsidR="00396871" w:rsidTr="0009255A" w14:paraId="7C14E7AF" w14:textId="77777777">
        <w:trPr>
          <w:cnfStyle w:val="100000000000" w:firstRow="1" w:lastRow="0" w:firstColumn="0" w:lastColumn="0" w:oddVBand="0" w:evenVBand="0" w:oddHBand="0" w:evenHBand="0" w:firstRowFirstColumn="0" w:firstRowLastColumn="0" w:lastRowFirstColumn="0" w:lastRowLastColumn="0"/>
          <w:trHeight w:val="304"/>
        </w:trPr>
        <w:tc>
          <w:tcPr>
            <w:tcW w:w="2121" w:type="dxa"/>
            <w:hideMark/>
          </w:tcPr>
          <w:p w:rsidRPr="006C5A2A" w:rsidR="00396871" w:rsidP="0009255A" w:rsidRDefault="00396871" w14:paraId="705642BD" w14:textId="77777777">
            <w:pPr>
              <w:spacing w:line="240" w:lineRule="auto"/>
              <w:rPr>
                <w:rFonts w:cs="Arial"/>
                <w:b w:val="0"/>
                <w:bCs w:val="0"/>
                <w:kern w:val="24"/>
                <w:sz w:val="16"/>
                <w:szCs w:val="16"/>
              </w:rPr>
            </w:pPr>
            <w:r w:rsidRPr="006C5A2A">
              <w:rPr>
                <w:rFonts w:cs="Arial"/>
                <w:kern w:val="24"/>
                <w:sz w:val="16"/>
                <w:szCs w:val="16"/>
              </w:rPr>
              <w:t>SECTOR INDUSTRIE</w:t>
            </w:r>
          </w:p>
          <w:p w:rsidRPr="006C5A2A" w:rsidR="00396871" w:rsidP="0009255A" w:rsidRDefault="00396871" w14:paraId="384B3EC7" w14:textId="77777777">
            <w:pPr>
              <w:spacing w:line="240" w:lineRule="auto"/>
              <w:rPr>
                <w:rFonts w:cs="Arial"/>
                <w:sz w:val="16"/>
                <w:szCs w:val="16"/>
              </w:rPr>
            </w:pPr>
          </w:p>
        </w:tc>
        <w:tc>
          <w:tcPr>
            <w:tcW w:w="3841" w:type="dxa"/>
            <w:hideMark/>
          </w:tcPr>
          <w:p w:rsidRPr="006C5A2A" w:rsidR="00396871" w:rsidP="0009255A" w:rsidRDefault="00396871" w14:paraId="39B42459" w14:textId="77777777">
            <w:pPr>
              <w:spacing w:line="240" w:lineRule="auto"/>
              <w:rPr>
                <w:rFonts w:cs="Arial"/>
                <w:sz w:val="16"/>
                <w:szCs w:val="16"/>
              </w:rPr>
            </w:pPr>
            <w:r w:rsidRPr="006C5A2A">
              <w:rPr>
                <w:rFonts w:cs="Arial"/>
                <w:kern w:val="24"/>
                <w:sz w:val="16"/>
                <w:szCs w:val="16"/>
              </w:rPr>
              <w:t>Reserveringen Klimaatfonds</w:t>
            </w:r>
            <w:r>
              <w:rPr>
                <w:rFonts w:cs="Arial"/>
                <w:kern w:val="24"/>
                <w:sz w:val="16"/>
                <w:szCs w:val="16"/>
              </w:rPr>
              <w:t xml:space="preserve"> incl. voorwaarden</w:t>
            </w:r>
          </w:p>
        </w:tc>
        <w:tc>
          <w:tcPr>
            <w:tcW w:w="3887" w:type="dxa"/>
          </w:tcPr>
          <w:p w:rsidRPr="006C5A2A" w:rsidR="00396871" w:rsidP="0009255A" w:rsidRDefault="00396871" w14:paraId="4EE32BD2" w14:textId="77777777">
            <w:pPr>
              <w:spacing w:line="240" w:lineRule="auto"/>
              <w:rPr>
                <w:rFonts w:cs="Arial"/>
                <w:kern w:val="24"/>
                <w:sz w:val="16"/>
                <w:szCs w:val="16"/>
              </w:rPr>
            </w:pPr>
            <w:r>
              <w:rPr>
                <w:rFonts w:cs="Arial"/>
                <w:kern w:val="24"/>
                <w:sz w:val="16"/>
                <w:szCs w:val="16"/>
              </w:rPr>
              <w:t>Aandachtspunten</w:t>
            </w:r>
          </w:p>
        </w:tc>
      </w:tr>
      <w:tr w:rsidRPr="006C5A2A" w:rsidR="00396871" w:rsidTr="0009255A" w14:paraId="63E7714B" w14:textId="77777777">
        <w:trPr>
          <w:cnfStyle w:val="000000100000" w:firstRow="0" w:lastRow="0" w:firstColumn="0" w:lastColumn="0" w:oddVBand="0" w:evenVBand="0" w:oddHBand="1" w:evenHBand="0" w:firstRowFirstColumn="0" w:firstRowLastColumn="0" w:lastRowFirstColumn="0" w:lastRowLastColumn="0"/>
          <w:trHeight w:val="207"/>
        </w:trPr>
        <w:tc>
          <w:tcPr>
            <w:tcW w:w="2121" w:type="dxa"/>
            <w:hideMark/>
          </w:tcPr>
          <w:p w:rsidRPr="006C5A2A" w:rsidR="00396871" w:rsidP="0009255A" w:rsidRDefault="00396871" w14:paraId="490920F4" w14:textId="77777777">
            <w:pPr>
              <w:spacing w:line="240" w:lineRule="auto"/>
              <w:rPr>
                <w:rFonts w:cs="Arial"/>
                <w:sz w:val="16"/>
                <w:szCs w:val="16"/>
              </w:rPr>
            </w:pPr>
            <w:r w:rsidRPr="006C5A2A">
              <w:rPr>
                <w:rFonts w:cs="Arial"/>
                <w:kern w:val="24"/>
                <w:sz w:val="16"/>
                <w:szCs w:val="16"/>
              </w:rPr>
              <w:t xml:space="preserve">NIKI </w:t>
            </w:r>
          </w:p>
        </w:tc>
        <w:tc>
          <w:tcPr>
            <w:tcW w:w="3841" w:type="dxa"/>
            <w:hideMark/>
          </w:tcPr>
          <w:p w:rsidRPr="006C5A2A" w:rsidR="00396871" w:rsidP="0009255A" w:rsidRDefault="00396871" w14:paraId="7E421E8F" w14:textId="77777777">
            <w:pPr>
              <w:spacing w:line="240" w:lineRule="auto"/>
              <w:rPr>
                <w:rFonts w:cs="Arial"/>
                <w:sz w:val="16"/>
                <w:szCs w:val="16"/>
              </w:rPr>
            </w:pPr>
            <w:r w:rsidRPr="006C5A2A">
              <w:rPr>
                <w:rFonts w:cs="Arial"/>
                <w:kern w:val="24"/>
                <w:sz w:val="16"/>
                <w:szCs w:val="16"/>
              </w:rPr>
              <w:t xml:space="preserve">Toekenning onder voorwaarden € 300 mln. en reservering € 700 mln. (o.v.v. </w:t>
            </w:r>
            <w:proofErr w:type="spellStart"/>
            <w:r w:rsidRPr="006C5A2A">
              <w:rPr>
                <w:rFonts w:cs="Arial"/>
                <w:kern w:val="24"/>
                <w:sz w:val="16"/>
                <w:szCs w:val="16"/>
              </w:rPr>
              <w:t>additionaliteit</w:t>
            </w:r>
            <w:proofErr w:type="spellEnd"/>
            <w:r w:rsidRPr="006C5A2A">
              <w:rPr>
                <w:rFonts w:cs="Arial"/>
                <w:kern w:val="24"/>
                <w:sz w:val="16"/>
                <w:szCs w:val="16"/>
              </w:rPr>
              <w:t xml:space="preserve"> t.o.v. CO2-heffing)</w:t>
            </w:r>
          </w:p>
        </w:tc>
        <w:tc>
          <w:tcPr>
            <w:tcW w:w="3887" w:type="dxa"/>
          </w:tcPr>
          <w:p w:rsidRPr="006C5A2A" w:rsidR="00396871" w:rsidP="0009255A" w:rsidRDefault="00396871" w14:paraId="499B3FB2" w14:textId="77777777">
            <w:pPr>
              <w:spacing w:line="240" w:lineRule="auto"/>
              <w:rPr>
                <w:rFonts w:cs="Arial"/>
                <w:kern w:val="24"/>
                <w:sz w:val="16"/>
                <w:szCs w:val="16"/>
              </w:rPr>
            </w:pPr>
            <w:r>
              <w:rPr>
                <w:rFonts w:cs="Arial"/>
                <w:kern w:val="24"/>
                <w:sz w:val="16"/>
                <w:szCs w:val="16"/>
              </w:rPr>
              <w:t>De internetconsultatie voor de NIKI kan binnenkort van start. In de regeling is een  bepaling opgenomen om vrijgekomen dispensatierechten te bevriezen</w:t>
            </w:r>
            <w:r w:rsidRPr="00D27F14">
              <w:rPr>
                <w:rFonts w:cs="Arial"/>
                <w:kern w:val="24"/>
                <w:sz w:val="16"/>
                <w:szCs w:val="16"/>
              </w:rPr>
              <w:t xml:space="preserve"> die toe te schrijven zijn aan het NIKI-project</w:t>
            </w:r>
            <w:r>
              <w:rPr>
                <w:rFonts w:cs="Arial"/>
                <w:kern w:val="24"/>
                <w:sz w:val="16"/>
                <w:szCs w:val="16"/>
              </w:rPr>
              <w:t xml:space="preserve">. </w:t>
            </w:r>
            <w:r w:rsidRPr="00D27F14">
              <w:rPr>
                <w:rFonts w:cs="Arial"/>
                <w:kern w:val="24"/>
                <w:sz w:val="16"/>
                <w:szCs w:val="16"/>
              </w:rPr>
              <w:t xml:space="preserve">Aangezien op deze wijze aan de voorwaarde is voldaan, kan </w:t>
            </w:r>
            <w:r>
              <w:rPr>
                <w:rFonts w:cs="Arial"/>
                <w:kern w:val="24"/>
                <w:sz w:val="16"/>
                <w:szCs w:val="16"/>
              </w:rPr>
              <w:t>de</w:t>
            </w:r>
            <w:r w:rsidRPr="00D27F14">
              <w:rPr>
                <w:rFonts w:cs="Arial"/>
                <w:kern w:val="24"/>
                <w:sz w:val="16"/>
                <w:szCs w:val="16"/>
              </w:rPr>
              <w:t xml:space="preserve"> tranche van 300 mln. worden toegekend in het MJP 2026 en overgeboekt bij het eerstvolgende reguliere besluitvormingsmoment (voorjaar 2025). Er wordt, mede op verzoek van FIN en Klimaat, </w:t>
            </w:r>
            <w:r w:rsidRPr="00D27F14">
              <w:rPr>
                <w:rFonts w:cs="Arial"/>
                <w:kern w:val="24"/>
                <w:sz w:val="16"/>
                <w:szCs w:val="16"/>
              </w:rPr>
              <w:lastRenderedPageBreak/>
              <w:t xml:space="preserve">in de NIKI-regeling een tussentijdse monitoring verwerkt  waarin bekeken zal worden welk type bedrijven </w:t>
            </w:r>
            <w:r>
              <w:rPr>
                <w:rFonts w:cs="Arial"/>
                <w:kern w:val="24"/>
                <w:sz w:val="16"/>
                <w:szCs w:val="16"/>
              </w:rPr>
              <w:t>en projecten subsidie krijgen uit</w:t>
            </w:r>
            <w:r w:rsidRPr="00D27F14">
              <w:rPr>
                <w:rFonts w:cs="Arial"/>
                <w:kern w:val="24"/>
                <w:sz w:val="16"/>
                <w:szCs w:val="16"/>
              </w:rPr>
              <w:t xml:space="preserve"> de NIKI. Op basis van dit monitormoment wordt bepaald, of en </w:t>
            </w:r>
            <w:proofErr w:type="spellStart"/>
            <w:r w:rsidRPr="00D27F14">
              <w:rPr>
                <w:rFonts w:cs="Arial"/>
                <w:kern w:val="24"/>
                <w:sz w:val="16"/>
                <w:szCs w:val="16"/>
              </w:rPr>
              <w:t>zoja</w:t>
            </w:r>
            <w:proofErr w:type="spellEnd"/>
            <w:r w:rsidRPr="00D27F14">
              <w:rPr>
                <w:rFonts w:cs="Arial"/>
                <w:kern w:val="24"/>
                <w:sz w:val="16"/>
                <w:szCs w:val="16"/>
              </w:rPr>
              <w:t xml:space="preserve"> welke, wijzigingen van de NIKI wenselijk zijn om het instrument aan te passen.</w:t>
            </w:r>
            <w:r>
              <w:rPr>
                <w:rFonts w:cs="Arial"/>
                <w:kern w:val="24"/>
                <w:sz w:val="16"/>
                <w:szCs w:val="16"/>
              </w:rPr>
              <w:t xml:space="preserve"> De</w:t>
            </w:r>
            <w:r w:rsidRPr="00D27F14">
              <w:rPr>
                <w:rFonts w:cs="Arial"/>
                <w:kern w:val="24"/>
                <w:sz w:val="16"/>
                <w:szCs w:val="16"/>
              </w:rPr>
              <w:t xml:space="preserve"> reservering van €700 mln. </w:t>
            </w:r>
            <w:r>
              <w:rPr>
                <w:rFonts w:cs="Arial"/>
                <w:kern w:val="24"/>
                <w:sz w:val="16"/>
                <w:szCs w:val="16"/>
              </w:rPr>
              <w:t xml:space="preserve">wordt </w:t>
            </w:r>
            <w:r w:rsidRPr="00D27F14">
              <w:rPr>
                <w:rFonts w:cs="Arial"/>
                <w:kern w:val="24"/>
                <w:sz w:val="16"/>
                <w:szCs w:val="16"/>
              </w:rPr>
              <w:t>in het reguliere proces van het MJP 2026 meegenomen en beoordeeld.</w:t>
            </w:r>
          </w:p>
        </w:tc>
      </w:tr>
      <w:tr w:rsidRPr="006C5A2A" w:rsidR="00396871" w:rsidTr="0009255A" w14:paraId="05ABD665" w14:textId="77777777">
        <w:trPr>
          <w:trHeight w:val="207"/>
        </w:trPr>
        <w:tc>
          <w:tcPr>
            <w:tcW w:w="2121" w:type="dxa"/>
            <w:hideMark/>
          </w:tcPr>
          <w:p w:rsidRPr="006C5A2A" w:rsidR="00396871" w:rsidP="0009255A" w:rsidRDefault="00396871" w14:paraId="40F23E16" w14:textId="77777777">
            <w:pPr>
              <w:spacing w:line="240" w:lineRule="auto"/>
              <w:rPr>
                <w:rFonts w:cs="Arial"/>
                <w:sz w:val="16"/>
                <w:szCs w:val="16"/>
              </w:rPr>
            </w:pPr>
            <w:r w:rsidRPr="006C5A2A">
              <w:rPr>
                <w:rFonts w:cs="Arial"/>
                <w:kern w:val="24"/>
                <w:sz w:val="16"/>
                <w:szCs w:val="16"/>
              </w:rPr>
              <w:lastRenderedPageBreak/>
              <w:t>Maatwerkfinanciering</w:t>
            </w:r>
          </w:p>
        </w:tc>
        <w:tc>
          <w:tcPr>
            <w:tcW w:w="3841" w:type="dxa"/>
            <w:hideMark/>
          </w:tcPr>
          <w:p w:rsidRPr="006C5A2A" w:rsidR="00396871" w:rsidP="0009255A" w:rsidRDefault="00396871" w14:paraId="2844A4CA" w14:textId="77777777">
            <w:pPr>
              <w:spacing w:line="240" w:lineRule="auto"/>
              <w:rPr>
                <w:rFonts w:cs="Arial"/>
                <w:sz w:val="16"/>
                <w:szCs w:val="16"/>
              </w:rPr>
            </w:pPr>
            <w:r w:rsidRPr="006C5A2A">
              <w:rPr>
                <w:rFonts w:cs="Arial"/>
                <w:kern w:val="24"/>
                <w:sz w:val="16"/>
                <w:szCs w:val="16"/>
              </w:rPr>
              <w:t xml:space="preserve">Reservering € 574,7 mln. (o.m. gekoppeld aan </w:t>
            </w:r>
            <w:proofErr w:type="spellStart"/>
            <w:r w:rsidRPr="006C5A2A">
              <w:rPr>
                <w:rFonts w:cs="Arial"/>
                <w:kern w:val="24"/>
                <w:sz w:val="16"/>
                <w:szCs w:val="16"/>
              </w:rPr>
              <w:t>JLOI’s</w:t>
            </w:r>
            <w:proofErr w:type="spellEnd"/>
            <w:r w:rsidRPr="006C5A2A">
              <w:rPr>
                <w:rFonts w:cs="Arial"/>
                <w:kern w:val="24"/>
                <w:sz w:val="16"/>
                <w:szCs w:val="16"/>
              </w:rPr>
              <w:t>; innemen dispensatierechten</w:t>
            </w:r>
            <w:r>
              <w:rPr>
                <w:rFonts w:cs="Arial"/>
                <w:kern w:val="24"/>
                <w:sz w:val="16"/>
                <w:szCs w:val="16"/>
              </w:rPr>
              <w:t xml:space="preserve"> voor </w:t>
            </w:r>
            <w:proofErr w:type="spellStart"/>
            <w:r>
              <w:rPr>
                <w:rFonts w:cs="Arial"/>
                <w:kern w:val="24"/>
                <w:sz w:val="16"/>
                <w:szCs w:val="16"/>
              </w:rPr>
              <w:t>additionaliteit</w:t>
            </w:r>
            <w:proofErr w:type="spellEnd"/>
            <w:r>
              <w:rPr>
                <w:rFonts w:cs="Arial"/>
                <w:kern w:val="24"/>
                <w:sz w:val="16"/>
                <w:szCs w:val="16"/>
              </w:rPr>
              <w:t xml:space="preserve"> aan CO2-heffing</w:t>
            </w:r>
            <w:r w:rsidRPr="006C5A2A">
              <w:rPr>
                <w:rFonts w:cs="Arial"/>
                <w:kern w:val="24"/>
                <w:sz w:val="16"/>
                <w:szCs w:val="16"/>
              </w:rPr>
              <w:t>)</w:t>
            </w:r>
          </w:p>
        </w:tc>
        <w:tc>
          <w:tcPr>
            <w:tcW w:w="3887" w:type="dxa"/>
          </w:tcPr>
          <w:p w:rsidRPr="006C5A2A" w:rsidR="00396871" w:rsidP="0009255A" w:rsidRDefault="00396871" w14:paraId="6C72A834" w14:textId="77777777">
            <w:pPr>
              <w:spacing w:line="240" w:lineRule="auto"/>
              <w:rPr>
                <w:rFonts w:cs="Arial"/>
                <w:kern w:val="24"/>
                <w:sz w:val="16"/>
                <w:szCs w:val="16"/>
              </w:rPr>
            </w:pPr>
          </w:p>
        </w:tc>
      </w:tr>
      <w:tr w:rsidRPr="006C5A2A" w:rsidR="00396871" w:rsidTr="0009255A" w14:paraId="397BA1BB" w14:textId="77777777">
        <w:trPr>
          <w:cnfStyle w:val="000000100000" w:firstRow="0" w:lastRow="0" w:firstColumn="0" w:lastColumn="0" w:oddVBand="0" w:evenVBand="0" w:oddHBand="1" w:evenHBand="0" w:firstRowFirstColumn="0" w:firstRowLastColumn="0" w:lastRowFirstColumn="0" w:lastRowLastColumn="0"/>
          <w:trHeight w:val="207"/>
        </w:trPr>
        <w:tc>
          <w:tcPr>
            <w:tcW w:w="2121" w:type="dxa"/>
            <w:hideMark/>
          </w:tcPr>
          <w:p w:rsidRPr="006C5A2A" w:rsidR="00396871" w:rsidP="0009255A" w:rsidRDefault="00396871" w14:paraId="2C4C8BC7" w14:textId="77777777">
            <w:pPr>
              <w:spacing w:line="240" w:lineRule="auto"/>
              <w:rPr>
                <w:rFonts w:cs="Arial"/>
                <w:sz w:val="16"/>
                <w:szCs w:val="16"/>
              </w:rPr>
            </w:pPr>
            <w:r w:rsidRPr="006C5A2A">
              <w:rPr>
                <w:rFonts w:cs="Arial"/>
                <w:kern w:val="24"/>
                <w:sz w:val="16"/>
                <w:szCs w:val="16"/>
              </w:rPr>
              <w:t>Ophoging budget maatwerkfinanciering</w:t>
            </w:r>
          </w:p>
        </w:tc>
        <w:tc>
          <w:tcPr>
            <w:tcW w:w="3841" w:type="dxa"/>
            <w:hideMark/>
          </w:tcPr>
          <w:p w:rsidRPr="006C5A2A" w:rsidR="00396871" w:rsidP="0009255A" w:rsidRDefault="00396871" w14:paraId="0F9B15C8" w14:textId="77777777">
            <w:pPr>
              <w:spacing w:line="240" w:lineRule="auto"/>
              <w:rPr>
                <w:rFonts w:cs="Arial"/>
                <w:sz w:val="16"/>
                <w:szCs w:val="16"/>
              </w:rPr>
            </w:pPr>
            <w:r w:rsidRPr="006C5A2A">
              <w:rPr>
                <w:rFonts w:cs="Arial"/>
                <w:kern w:val="24"/>
                <w:sz w:val="16"/>
                <w:szCs w:val="16"/>
              </w:rPr>
              <w:t xml:space="preserve">Reservering € 229,6 mln. (o.m. gekoppeld aan </w:t>
            </w:r>
            <w:proofErr w:type="spellStart"/>
            <w:r w:rsidRPr="006C5A2A">
              <w:rPr>
                <w:rFonts w:cs="Arial"/>
                <w:kern w:val="24"/>
                <w:sz w:val="16"/>
                <w:szCs w:val="16"/>
              </w:rPr>
              <w:t>JLOI’s</w:t>
            </w:r>
            <w:proofErr w:type="spellEnd"/>
            <w:r w:rsidRPr="006C5A2A">
              <w:rPr>
                <w:rFonts w:cs="Arial"/>
                <w:kern w:val="24"/>
                <w:sz w:val="16"/>
                <w:szCs w:val="16"/>
              </w:rPr>
              <w:t>; innemen dispensatierechten</w:t>
            </w:r>
            <w:r>
              <w:rPr>
                <w:rFonts w:cs="Arial"/>
                <w:kern w:val="24"/>
                <w:sz w:val="16"/>
                <w:szCs w:val="16"/>
              </w:rPr>
              <w:t xml:space="preserve"> voor </w:t>
            </w:r>
            <w:proofErr w:type="spellStart"/>
            <w:r>
              <w:rPr>
                <w:rFonts w:cs="Arial"/>
                <w:kern w:val="24"/>
                <w:sz w:val="16"/>
                <w:szCs w:val="16"/>
              </w:rPr>
              <w:t>additionaliteit</w:t>
            </w:r>
            <w:proofErr w:type="spellEnd"/>
            <w:r>
              <w:rPr>
                <w:rFonts w:cs="Arial"/>
                <w:kern w:val="24"/>
                <w:sz w:val="16"/>
                <w:szCs w:val="16"/>
              </w:rPr>
              <w:t xml:space="preserve"> aan CO2-heffing;</w:t>
            </w:r>
            <w:r w:rsidRPr="006C5A2A">
              <w:rPr>
                <w:rFonts w:cs="Arial"/>
                <w:kern w:val="24"/>
                <w:sz w:val="16"/>
                <w:szCs w:val="16"/>
              </w:rPr>
              <w:t xml:space="preserve"> ophoging CO2-heffing)</w:t>
            </w:r>
          </w:p>
        </w:tc>
        <w:tc>
          <w:tcPr>
            <w:tcW w:w="3887" w:type="dxa"/>
            <w:vMerge w:val="restart"/>
          </w:tcPr>
          <w:p w:rsidRPr="006C5A2A" w:rsidR="00396871" w:rsidP="0009255A" w:rsidRDefault="00396871" w14:paraId="4B9F4DE2" w14:textId="77777777">
            <w:pPr>
              <w:spacing w:line="240" w:lineRule="auto"/>
              <w:rPr>
                <w:rFonts w:cs="Arial"/>
                <w:kern w:val="24"/>
                <w:sz w:val="16"/>
                <w:szCs w:val="16"/>
              </w:rPr>
            </w:pPr>
            <w:r>
              <w:rPr>
                <w:rFonts w:cs="Arial"/>
                <w:kern w:val="24"/>
                <w:sz w:val="16"/>
                <w:szCs w:val="16"/>
              </w:rPr>
              <w:t>Deze twee r</w:t>
            </w:r>
            <w:r w:rsidRPr="00EF0437">
              <w:rPr>
                <w:rFonts w:cs="Arial"/>
                <w:kern w:val="24"/>
                <w:sz w:val="16"/>
                <w:szCs w:val="16"/>
              </w:rPr>
              <w:t>eservering</w:t>
            </w:r>
            <w:r>
              <w:rPr>
                <w:rFonts w:cs="Arial"/>
                <w:kern w:val="24"/>
                <w:sz w:val="16"/>
                <w:szCs w:val="16"/>
              </w:rPr>
              <w:t>en</w:t>
            </w:r>
            <w:r w:rsidRPr="00EF0437">
              <w:rPr>
                <w:rFonts w:cs="Arial"/>
                <w:kern w:val="24"/>
                <w:sz w:val="16"/>
                <w:szCs w:val="16"/>
              </w:rPr>
              <w:t xml:space="preserve"> </w:t>
            </w:r>
            <w:r>
              <w:rPr>
                <w:rFonts w:cs="Arial"/>
                <w:kern w:val="24"/>
                <w:sz w:val="16"/>
                <w:szCs w:val="16"/>
              </w:rPr>
              <w:t>vergen een besluit</w:t>
            </w:r>
            <w:r w:rsidRPr="00EF0437">
              <w:rPr>
                <w:rFonts w:cs="Arial"/>
                <w:kern w:val="24"/>
                <w:sz w:val="16"/>
                <w:szCs w:val="16"/>
              </w:rPr>
              <w:t xml:space="preserve"> over een alternatieve manier om de verhoogde reductiedoelstelling voor de industrie te borgen</w:t>
            </w:r>
            <w:r>
              <w:rPr>
                <w:rFonts w:cs="Arial"/>
                <w:kern w:val="24"/>
                <w:sz w:val="16"/>
                <w:szCs w:val="16"/>
              </w:rPr>
              <w:t>, omdat de</w:t>
            </w:r>
            <w:r w:rsidRPr="00EF0437">
              <w:rPr>
                <w:rFonts w:cs="Arial"/>
                <w:kern w:val="24"/>
                <w:sz w:val="16"/>
                <w:szCs w:val="16"/>
              </w:rPr>
              <w:t xml:space="preserve"> middelen zijn vrijgemaakt door het vorige kabinet vanwege de verhoogde ambitie voor de industrie en de voorgenomen ophoging van de CO2-heffing passend bij het verhogen van de reductiedoelstelling met 4 </w:t>
            </w:r>
            <w:proofErr w:type="spellStart"/>
            <w:r w:rsidRPr="00EF0437">
              <w:rPr>
                <w:rFonts w:cs="Arial"/>
                <w:kern w:val="24"/>
                <w:sz w:val="16"/>
                <w:szCs w:val="16"/>
              </w:rPr>
              <w:t>Mton</w:t>
            </w:r>
            <w:proofErr w:type="spellEnd"/>
            <w:r>
              <w:rPr>
                <w:rFonts w:cs="Arial"/>
                <w:kern w:val="24"/>
                <w:sz w:val="16"/>
                <w:szCs w:val="16"/>
              </w:rPr>
              <w:t>.</w:t>
            </w:r>
          </w:p>
        </w:tc>
      </w:tr>
      <w:tr w:rsidRPr="006C5A2A" w:rsidR="00396871" w:rsidTr="0009255A" w14:paraId="3F95F28C" w14:textId="77777777">
        <w:trPr>
          <w:trHeight w:val="207"/>
        </w:trPr>
        <w:tc>
          <w:tcPr>
            <w:tcW w:w="2121" w:type="dxa"/>
            <w:hideMark/>
          </w:tcPr>
          <w:p w:rsidRPr="006C5A2A" w:rsidR="00396871" w:rsidP="0009255A" w:rsidRDefault="00396871" w14:paraId="56F8597A" w14:textId="77777777">
            <w:pPr>
              <w:spacing w:line="240" w:lineRule="auto"/>
              <w:rPr>
                <w:rFonts w:cs="Arial"/>
                <w:sz w:val="16"/>
                <w:szCs w:val="16"/>
              </w:rPr>
            </w:pPr>
            <w:r w:rsidRPr="006C5A2A">
              <w:rPr>
                <w:rFonts w:cs="Arial"/>
                <w:kern w:val="24"/>
                <w:sz w:val="16"/>
                <w:szCs w:val="16"/>
              </w:rPr>
              <w:t>Intensivering DEI+</w:t>
            </w:r>
          </w:p>
        </w:tc>
        <w:tc>
          <w:tcPr>
            <w:tcW w:w="3841" w:type="dxa"/>
            <w:hideMark/>
          </w:tcPr>
          <w:p w:rsidRPr="006C5A2A" w:rsidR="00396871" w:rsidP="0009255A" w:rsidRDefault="00396871" w14:paraId="108D6F4C" w14:textId="77777777">
            <w:pPr>
              <w:spacing w:line="240" w:lineRule="auto"/>
              <w:rPr>
                <w:rFonts w:cs="Arial"/>
                <w:sz w:val="16"/>
                <w:szCs w:val="16"/>
              </w:rPr>
            </w:pPr>
            <w:r w:rsidRPr="006C5A2A">
              <w:rPr>
                <w:rFonts w:cs="Arial"/>
                <w:kern w:val="24"/>
                <w:sz w:val="16"/>
                <w:szCs w:val="16"/>
              </w:rPr>
              <w:t>Reservering € 348,6 mln. (o.m. gekoppeld aan verhogen CO2-heffing gericht op 4 Mt</w:t>
            </w:r>
            <w:r>
              <w:rPr>
                <w:rFonts w:cs="Arial"/>
                <w:kern w:val="24"/>
                <w:sz w:val="16"/>
                <w:szCs w:val="16"/>
              </w:rPr>
              <w:t xml:space="preserve"> en voldoende kansrijke projecten</w:t>
            </w:r>
            <w:r w:rsidRPr="006C5A2A">
              <w:rPr>
                <w:rFonts w:cs="Arial"/>
                <w:kern w:val="24"/>
                <w:sz w:val="16"/>
                <w:szCs w:val="16"/>
              </w:rPr>
              <w:t>)</w:t>
            </w:r>
          </w:p>
        </w:tc>
        <w:tc>
          <w:tcPr>
            <w:tcW w:w="3887" w:type="dxa"/>
            <w:vMerge/>
          </w:tcPr>
          <w:p w:rsidRPr="006C5A2A" w:rsidR="00396871" w:rsidP="0009255A" w:rsidRDefault="00396871" w14:paraId="1CF35F26" w14:textId="77777777">
            <w:pPr>
              <w:spacing w:line="240" w:lineRule="auto"/>
              <w:rPr>
                <w:rFonts w:cs="Arial"/>
                <w:kern w:val="24"/>
                <w:sz w:val="16"/>
                <w:szCs w:val="16"/>
              </w:rPr>
            </w:pPr>
          </w:p>
        </w:tc>
      </w:tr>
      <w:tr w:rsidRPr="006C5A2A" w:rsidR="00396871" w:rsidTr="0009255A" w14:paraId="5344EAC6" w14:textId="77777777">
        <w:trPr>
          <w:cnfStyle w:val="000000100000" w:firstRow="0" w:lastRow="0" w:firstColumn="0" w:lastColumn="0" w:oddVBand="0" w:evenVBand="0" w:oddHBand="1" w:evenHBand="0" w:firstRowFirstColumn="0" w:firstRowLastColumn="0" w:lastRowFirstColumn="0" w:lastRowLastColumn="0"/>
          <w:trHeight w:val="294"/>
        </w:trPr>
        <w:tc>
          <w:tcPr>
            <w:tcW w:w="2121" w:type="dxa"/>
            <w:hideMark/>
          </w:tcPr>
          <w:p w:rsidRPr="006C5A2A" w:rsidR="00396871" w:rsidP="0009255A" w:rsidRDefault="00396871" w14:paraId="7686B21C" w14:textId="77777777">
            <w:pPr>
              <w:spacing w:line="240" w:lineRule="auto"/>
              <w:rPr>
                <w:rFonts w:cs="Arial"/>
                <w:sz w:val="16"/>
                <w:szCs w:val="16"/>
              </w:rPr>
            </w:pPr>
            <w:r w:rsidRPr="006C5A2A">
              <w:rPr>
                <w:rFonts w:cs="Arial"/>
                <w:kern w:val="24"/>
                <w:sz w:val="16"/>
                <w:szCs w:val="16"/>
              </w:rPr>
              <w:t>Ondersteuning mkb bij aangescherpte energiebesparingsplicht</w:t>
            </w:r>
          </w:p>
        </w:tc>
        <w:tc>
          <w:tcPr>
            <w:tcW w:w="3841" w:type="dxa"/>
            <w:hideMark/>
          </w:tcPr>
          <w:p w:rsidRPr="006C5A2A" w:rsidR="00396871" w:rsidP="0009255A" w:rsidRDefault="00396871" w14:paraId="286BC06D" w14:textId="77777777">
            <w:pPr>
              <w:spacing w:line="240" w:lineRule="auto"/>
              <w:rPr>
                <w:rFonts w:cs="Arial"/>
                <w:sz w:val="16"/>
                <w:szCs w:val="16"/>
              </w:rPr>
            </w:pPr>
            <w:r w:rsidRPr="006C5A2A">
              <w:rPr>
                <w:rFonts w:cs="Arial"/>
                <w:kern w:val="24"/>
                <w:sz w:val="16"/>
                <w:szCs w:val="16"/>
              </w:rPr>
              <w:t>Reservering € 140 mln. (o.m. gekoppeld aan voldoende voortgang aanscherping energiebesparingsplicht)</w:t>
            </w:r>
          </w:p>
        </w:tc>
        <w:tc>
          <w:tcPr>
            <w:tcW w:w="3887" w:type="dxa"/>
          </w:tcPr>
          <w:p w:rsidRPr="006C5A2A" w:rsidR="00396871" w:rsidP="0009255A" w:rsidRDefault="00396871" w14:paraId="48C1F0EF" w14:textId="77777777">
            <w:pPr>
              <w:spacing w:line="240" w:lineRule="auto"/>
              <w:rPr>
                <w:rFonts w:cs="Arial"/>
                <w:kern w:val="24"/>
                <w:sz w:val="16"/>
                <w:szCs w:val="16"/>
              </w:rPr>
            </w:pPr>
            <w:r>
              <w:rPr>
                <w:rFonts w:cs="Arial"/>
                <w:kern w:val="24"/>
                <w:sz w:val="16"/>
                <w:szCs w:val="16"/>
              </w:rPr>
              <w:t>Er wordt een nota opgesteld door VI voor MKGG, in samenwerking met directie Energiemarkt, fondsbeheer en directie Ondernemerschap, over verbreding van de scope naar verduurzaming. In deze nota wordt ook een discussiepunt voorgelegd over de koppeling aan voldoende voortgang met de normering. Deze zal voor het BWO naar MKGG gaan.</w:t>
            </w:r>
          </w:p>
        </w:tc>
      </w:tr>
      <w:tr w:rsidRPr="006C5A2A" w:rsidR="00396871" w:rsidTr="0009255A" w14:paraId="7ADA19D1" w14:textId="77777777">
        <w:trPr>
          <w:trHeight w:val="207"/>
        </w:trPr>
        <w:tc>
          <w:tcPr>
            <w:tcW w:w="2121" w:type="dxa"/>
            <w:hideMark/>
          </w:tcPr>
          <w:p w:rsidRPr="006C5A2A" w:rsidR="00396871" w:rsidP="0009255A" w:rsidRDefault="00396871" w14:paraId="15EF81A1" w14:textId="77777777">
            <w:pPr>
              <w:spacing w:line="240" w:lineRule="auto"/>
              <w:rPr>
                <w:rFonts w:cs="Arial"/>
                <w:sz w:val="16"/>
                <w:szCs w:val="16"/>
              </w:rPr>
            </w:pPr>
            <w:proofErr w:type="spellStart"/>
            <w:r w:rsidRPr="006C5A2A">
              <w:rPr>
                <w:rFonts w:cs="Arial"/>
                <w:kern w:val="24"/>
                <w:sz w:val="16"/>
                <w:szCs w:val="16"/>
                <w:lang w:val="en-US"/>
              </w:rPr>
              <w:t>Verbeterd</w:t>
            </w:r>
            <w:proofErr w:type="spellEnd"/>
            <w:r w:rsidRPr="006C5A2A">
              <w:rPr>
                <w:rFonts w:cs="Arial"/>
                <w:kern w:val="24"/>
                <w:sz w:val="16"/>
                <w:szCs w:val="16"/>
                <w:lang w:val="en-US"/>
              </w:rPr>
              <w:t xml:space="preserve"> </w:t>
            </w:r>
            <w:proofErr w:type="spellStart"/>
            <w:r w:rsidRPr="006C5A2A">
              <w:rPr>
                <w:rFonts w:cs="Arial"/>
                <w:kern w:val="24"/>
                <w:sz w:val="16"/>
                <w:szCs w:val="16"/>
                <w:lang w:val="en-US"/>
              </w:rPr>
              <w:t>toezicht</w:t>
            </w:r>
            <w:proofErr w:type="spellEnd"/>
            <w:r w:rsidRPr="006C5A2A">
              <w:rPr>
                <w:rFonts w:cs="Arial"/>
                <w:kern w:val="24"/>
                <w:sz w:val="16"/>
                <w:szCs w:val="16"/>
                <w:lang w:val="en-US"/>
              </w:rPr>
              <w:t xml:space="preserve"> </w:t>
            </w:r>
            <w:proofErr w:type="spellStart"/>
            <w:r w:rsidRPr="006C5A2A">
              <w:rPr>
                <w:rFonts w:cs="Arial"/>
                <w:kern w:val="24"/>
                <w:sz w:val="16"/>
                <w:szCs w:val="16"/>
                <w:lang w:val="en-US"/>
              </w:rPr>
              <w:t>aangescherpte</w:t>
            </w:r>
            <w:proofErr w:type="spellEnd"/>
            <w:r w:rsidRPr="006C5A2A">
              <w:rPr>
                <w:rFonts w:cs="Arial"/>
                <w:kern w:val="24"/>
                <w:sz w:val="16"/>
                <w:szCs w:val="16"/>
                <w:lang w:val="en-US"/>
              </w:rPr>
              <w:t xml:space="preserve"> </w:t>
            </w:r>
            <w:proofErr w:type="spellStart"/>
            <w:r w:rsidRPr="006C5A2A">
              <w:rPr>
                <w:rFonts w:cs="Arial"/>
                <w:kern w:val="24"/>
                <w:sz w:val="16"/>
                <w:szCs w:val="16"/>
                <w:lang w:val="en-US"/>
              </w:rPr>
              <w:t>energiebesparingsplicht</w:t>
            </w:r>
            <w:proofErr w:type="spellEnd"/>
          </w:p>
        </w:tc>
        <w:tc>
          <w:tcPr>
            <w:tcW w:w="3841" w:type="dxa"/>
            <w:hideMark/>
          </w:tcPr>
          <w:p w:rsidR="00396871" w:rsidP="0009255A" w:rsidRDefault="00396871" w14:paraId="29D4530F" w14:textId="77777777">
            <w:pPr>
              <w:spacing w:line="240" w:lineRule="auto"/>
              <w:rPr>
                <w:rFonts w:cs="Arial"/>
                <w:kern w:val="24"/>
                <w:sz w:val="16"/>
                <w:szCs w:val="16"/>
              </w:rPr>
            </w:pPr>
            <w:r w:rsidRPr="006C5A2A">
              <w:rPr>
                <w:rFonts w:cs="Arial"/>
                <w:kern w:val="24"/>
                <w:sz w:val="16"/>
                <w:szCs w:val="16"/>
              </w:rPr>
              <w:t>Reservering € 6,7 mln. (o.m. gekoppeld aan voldoende voortgang aanscherping energiebesparingsplicht)</w:t>
            </w:r>
          </w:p>
          <w:p w:rsidRPr="006C5A2A" w:rsidR="00374C4C" w:rsidP="0009255A" w:rsidRDefault="00374C4C" w14:paraId="204CACD8" w14:textId="77777777">
            <w:pPr>
              <w:spacing w:line="240" w:lineRule="auto"/>
              <w:rPr>
                <w:rFonts w:cs="Arial"/>
                <w:sz w:val="16"/>
                <w:szCs w:val="16"/>
              </w:rPr>
            </w:pPr>
          </w:p>
        </w:tc>
        <w:tc>
          <w:tcPr>
            <w:tcW w:w="3887" w:type="dxa"/>
          </w:tcPr>
          <w:p w:rsidRPr="006C5A2A" w:rsidR="00396871" w:rsidP="0009255A" w:rsidRDefault="00396871" w14:paraId="388FAC84" w14:textId="77777777">
            <w:pPr>
              <w:spacing w:line="240" w:lineRule="auto"/>
              <w:rPr>
                <w:rFonts w:cs="Arial"/>
                <w:kern w:val="24"/>
                <w:sz w:val="16"/>
                <w:szCs w:val="16"/>
              </w:rPr>
            </w:pPr>
          </w:p>
        </w:tc>
      </w:tr>
      <w:tr w:rsidRPr="006C5A2A" w:rsidR="00396871" w:rsidTr="0009255A" w14:paraId="643D21C3" w14:textId="77777777">
        <w:trPr>
          <w:cnfStyle w:val="000000100000" w:firstRow="0" w:lastRow="0" w:firstColumn="0" w:lastColumn="0" w:oddVBand="0" w:evenVBand="0" w:oddHBand="1" w:evenHBand="0" w:firstRowFirstColumn="0" w:firstRowLastColumn="0" w:lastRowFirstColumn="0" w:lastRowLastColumn="0"/>
          <w:trHeight w:val="120"/>
        </w:trPr>
        <w:tc>
          <w:tcPr>
            <w:tcW w:w="2121" w:type="dxa"/>
            <w:hideMark/>
          </w:tcPr>
          <w:p w:rsidRPr="006C5A2A" w:rsidR="00396871" w:rsidP="0009255A" w:rsidRDefault="00396871" w14:paraId="1C1D6D46" w14:textId="77777777">
            <w:pPr>
              <w:spacing w:line="240" w:lineRule="auto"/>
              <w:rPr>
                <w:rFonts w:cs="Arial"/>
                <w:sz w:val="16"/>
                <w:szCs w:val="16"/>
              </w:rPr>
            </w:pPr>
            <w:r w:rsidRPr="006C5A2A">
              <w:rPr>
                <w:rFonts w:cs="Arial"/>
                <w:kern w:val="24"/>
                <w:sz w:val="16"/>
                <w:szCs w:val="16"/>
              </w:rPr>
              <w:t>Ondersteuning Cluster 6</w:t>
            </w:r>
          </w:p>
        </w:tc>
        <w:tc>
          <w:tcPr>
            <w:tcW w:w="3841" w:type="dxa"/>
            <w:hideMark/>
          </w:tcPr>
          <w:p w:rsidRPr="006C5A2A" w:rsidR="00396871" w:rsidP="0009255A" w:rsidRDefault="00396871" w14:paraId="2FF5E422" w14:textId="77777777">
            <w:pPr>
              <w:spacing w:line="240" w:lineRule="auto"/>
              <w:rPr>
                <w:rFonts w:cs="Arial"/>
                <w:sz w:val="16"/>
                <w:szCs w:val="16"/>
              </w:rPr>
            </w:pPr>
            <w:r w:rsidRPr="006C5A2A">
              <w:rPr>
                <w:rFonts w:cs="Arial"/>
                <w:kern w:val="24"/>
                <w:sz w:val="16"/>
                <w:szCs w:val="16"/>
              </w:rPr>
              <w:t>Reservering €37,9 mln.</w:t>
            </w:r>
          </w:p>
        </w:tc>
        <w:tc>
          <w:tcPr>
            <w:tcW w:w="3887" w:type="dxa"/>
          </w:tcPr>
          <w:p w:rsidRPr="006C5A2A" w:rsidR="00396871" w:rsidP="0009255A" w:rsidRDefault="00396871" w14:paraId="073DADB1" w14:textId="77777777">
            <w:pPr>
              <w:spacing w:line="240" w:lineRule="auto"/>
              <w:rPr>
                <w:rFonts w:cs="Arial"/>
                <w:kern w:val="24"/>
                <w:sz w:val="16"/>
                <w:szCs w:val="16"/>
              </w:rPr>
            </w:pPr>
          </w:p>
        </w:tc>
      </w:tr>
      <w:tr w:rsidRPr="006C5A2A" w:rsidR="00396871" w:rsidTr="0009255A" w14:paraId="1AC6F5F7" w14:textId="77777777">
        <w:trPr>
          <w:trHeight w:val="207"/>
        </w:trPr>
        <w:tc>
          <w:tcPr>
            <w:tcW w:w="2121" w:type="dxa"/>
            <w:hideMark/>
          </w:tcPr>
          <w:p w:rsidRPr="006C5A2A" w:rsidR="00396871" w:rsidP="0009255A" w:rsidRDefault="00396871" w14:paraId="1845141A" w14:textId="77777777">
            <w:pPr>
              <w:spacing w:line="240" w:lineRule="auto"/>
              <w:rPr>
                <w:rFonts w:cs="Arial"/>
                <w:sz w:val="16"/>
                <w:szCs w:val="16"/>
              </w:rPr>
            </w:pPr>
            <w:proofErr w:type="spellStart"/>
            <w:r w:rsidRPr="006C5A2A">
              <w:rPr>
                <w:rFonts w:cs="Arial"/>
                <w:kern w:val="24"/>
                <w:sz w:val="16"/>
                <w:szCs w:val="16"/>
                <w:lang w:val="en-US"/>
              </w:rPr>
              <w:t>Elektrolyse</w:t>
            </w:r>
            <w:proofErr w:type="spellEnd"/>
            <w:r w:rsidRPr="006C5A2A">
              <w:rPr>
                <w:rFonts w:cs="Arial"/>
                <w:kern w:val="24"/>
                <w:sz w:val="16"/>
                <w:szCs w:val="16"/>
                <w:lang w:val="en-US"/>
              </w:rPr>
              <w:t xml:space="preserve"> </w:t>
            </w:r>
            <w:proofErr w:type="spellStart"/>
            <w:r w:rsidRPr="006C5A2A">
              <w:rPr>
                <w:rFonts w:cs="Arial"/>
                <w:kern w:val="24"/>
                <w:sz w:val="16"/>
                <w:szCs w:val="16"/>
                <w:lang w:val="en-US"/>
              </w:rPr>
              <w:t>vraagsubsidies</w:t>
            </w:r>
            <w:proofErr w:type="spellEnd"/>
          </w:p>
        </w:tc>
        <w:tc>
          <w:tcPr>
            <w:tcW w:w="3841" w:type="dxa"/>
            <w:hideMark/>
          </w:tcPr>
          <w:p w:rsidRPr="006C5A2A" w:rsidR="00396871" w:rsidP="0009255A" w:rsidRDefault="00396871" w14:paraId="2D20F041" w14:textId="77777777">
            <w:pPr>
              <w:spacing w:line="240" w:lineRule="auto"/>
              <w:rPr>
                <w:rFonts w:cs="Arial"/>
                <w:sz w:val="16"/>
                <w:szCs w:val="16"/>
              </w:rPr>
            </w:pPr>
            <w:r w:rsidRPr="006C5A2A">
              <w:rPr>
                <w:rFonts w:cs="Arial"/>
                <w:kern w:val="24"/>
                <w:sz w:val="16"/>
                <w:szCs w:val="16"/>
              </w:rPr>
              <w:t xml:space="preserve">Toekenning onder voorwaarde € 767 mln. (o.m. gekoppeld aan goedkeuring afnameverplichting </w:t>
            </w:r>
            <w:r>
              <w:rPr>
                <w:rFonts w:cs="Arial"/>
                <w:kern w:val="24"/>
                <w:sz w:val="16"/>
                <w:szCs w:val="16"/>
              </w:rPr>
              <w:t>door beide kamers</w:t>
            </w:r>
            <w:r w:rsidRPr="006C5A2A">
              <w:rPr>
                <w:rFonts w:cs="Arial"/>
                <w:kern w:val="24"/>
                <w:sz w:val="16"/>
                <w:szCs w:val="16"/>
              </w:rPr>
              <w:t>)</w:t>
            </w:r>
          </w:p>
        </w:tc>
        <w:tc>
          <w:tcPr>
            <w:tcW w:w="3887" w:type="dxa"/>
          </w:tcPr>
          <w:p w:rsidR="00396871" w:rsidP="0009255A" w:rsidRDefault="00396871" w14:paraId="1F1088FB" w14:textId="77777777">
            <w:pPr>
              <w:spacing w:line="240" w:lineRule="auto"/>
              <w:rPr>
                <w:rFonts w:cs="Arial"/>
                <w:kern w:val="24"/>
                <w:sz w:val="16"/>
                <w:szCs w:val="16"/>
              </w:rPr>
            </w:pPr>
            <w:r w:rsidRPr="00EF0437">
              <w:rPr>
                <w:rFonts w:cs="Arial"/>
                <w:kern w:val="24"/>
                <w:sz w:val="16"/>
                <w:szCs w:val="16"/>
              </w:rPr>
              <w:t>Bij de inhoudelijke beoordeling is fondsbeheer uitgegaan van een bedrijfsverplichting van 24%.</w:t>
            </w:r>
          </w:p>
          <w:p w:rsidRPr="006C5A2A" w:rsidR="00374C4C" w:rsidP="0009255A" w:rsidRDefault="00374C4C" w14:paraId="63ADBA0A" w14:textId="77777777">
            <w:pPr>
              <w:spacing w:line="240" w:lineRule="auto"/>
              <w:rPr>
                <w:rFonts w:cs="Arial"/>
                <w:kern w:val="24"/>
                <w:sz w:val="16"/>
                <w:szCs w:val="16"/>
              </w:rPr>
            </w:pPr>
          </w:p>
        </w:tc>
      </w:tr>
    </w:tbl>
    <w:p w:rsidRPr="007B69D9" w:rsidR="007B69D9" w:rsidP="00672F70" w:rsidRDefault="007B69D9" w14:paraId="5D421C4A" w14:textId="77777777">
      <w:pPr>
        <w:rPr>
          <w:b/>
          <w:bCs/>
          <w:szCs w:val="18"/>
        </w:rPr>
      </w:pPr>
    </w:p>
    <w:sectPr w:rsidRPr="007B69D9" w:rsidR="007B69D9" w:rsidSect="005C3F39">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043BD" w14:textId="77777777" w:rsidR="00A30935" w:rsidRDefault="00A30935">
      <w:r>
        <w:separator/>
      </w:r>
    </w:p>
    <w:p w14:paraId="45D3963B" w14:textId="77777777" w:rsidR="00A30935" w:rsidRDefault="00A30935"/>
  </w:endnote>
  <w:endnote w:type="continuationSeparator" w:id="0">
    <w:p w14:paraId="1E3FB50B" w14:textId="77777777" w:rsidR="00A30935" w:rsidRDefault="00A30935">
      <w:r>
        <w:continuationSeparator/>
      </w:r>
    </w:p>
    <w:p w14:paraId="0D111FCC" w14:textId="77777777" w:rsidR="00A30935" w:rsidRDefault="00A30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3D04" w14:textId="77777777" w:rsidR="00C60224" w:rsidRDefault="00857D99">
    <w:pPr>
      <w:pStyle w:val="Voettekst"/>
    </w:pPr>
    <w:r>
      <w:rPr>
        <w:noProof/>
      </w:rPr>
      <mc:AlternateContent>
        <mc:Choice Requires="wps">
          <w:drawing>
            <wp:anchor distT="0" distB="0" distL="0" distR="0" simplePos="0" relativeHeight="251660288" behindDoc="0" locked="0" layoutInCell="1" allowOverlap="1" wp14:anchorId="0591E099" wp14:editId="4861FCF0">
              <wp:simplePos x="0" y="0"/>
              <wp:positionH relativeFrom="page">
                <wp:align>left</wp:align>
              </wp:positionH>
              <wp:positionV relativeFrom="page">
                <wp:align>bottom</wp:align>
              </wp:positionV>
              <wp:extent cx="443865" cy="443865"/>
              <wp:effectExtent l="0" t="0" r="4445" b="0"/>
              <wp:wrapNone/>
              <wp:docPr id="5" name="Tekstvak 562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820ADF" w14:textId="77777777" w:rsidR="00231E07" w:rsidRPr="00231E07" w:rsidRDefault="00857D99" w:rsidP="00231E07">
                          <w:pPr>
                            <w:rPr>
                              <w:rFonts w:ascii="Calibri" w:eastAsia="Calibri" w:hAnsi="Calibri" w:cs="Calibri"/>
                              <w:noProof/>
                              <w:color w:val="000000"/>
                              <w:sz w:val="20"/>
                              <w:szCs w:val="20"/>
                            </w:rPr>
                          </w:pPr>
                          <w:r w:rsidRPr="00231E0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91E099" id="_x0000_t202" coordsize="21600,21600" o:spt="202" path="m,l,21600r21600,l21600,xe">
              <v:stroke joinstyle="miter"/>
              <v:path gradientshapeok="t" o:connecttype="rect"/>
            </v:shapetype>
            <v:shape id="Tekstvak 5625"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2820ADF" w14:textId="77777777" w:rsidR="00231E07" w:rsidRPr="00231E07" w:rsidRDefault="00857D99" w:rsidP="00231E07">
                    <w:pPr>
                      <w:rPr>
                        <w:rFonts w:ascii="Calibri" w:eastAsia="Calibri" w:hAnsi="Calibri" w:cs="Calibri"/>
                        <w:noProof/>
                        <w:color w:val="000000"/>
                        <w:sz w:val="20"/>
                        <w:szCs w:val="20"/>
                      </w:rPr>
                    </w:pPr>
                    <w:r w:rsidRPr="00231E0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5FA6" w14:textId="77777777" w:rsidR="00600B57" w:rsidRPr="00BC3B53" w:rsidRDefault="00857D99" w:rsidP="008C356D">
    <w:pPr>
      <w:pStyle w:val="Voettekst"/>
      <w:spacing w:line="240" w:lineRule="auto"/>
      <w:rPr>
        <w:sz w:val="2"/>
        <w:szCs w:val="2"/>
      </w:rPr>
    </w:pPr>
    <w:r>
      <w:rPr>
        <w:noProof/>
        <w:sz w:val="2"/>
        <w:szCs w:val="2"/>
      </w:rPr>
      <mc:AlternateContent>
        <mc:Choice Requires="wps">
          <w:drawing>
            <wp:anchor distT="0" distB="0" distL="0" distR="0" simplePos="0" relativeHeight="251662336" behindDoc="0" locked="0" layoutInCell="1" allowOverlap="1" wp14:anchorId="7231553B" wp14:editId="699FB4AA">
              <wp:simplePos x="0" y="0"/>
              <wp:positionH relativeFrom="page">
                <wp:align>left</wp:align>
              </wp:positionH>
              <wp:positionV relativeFrom="page">
                <wp:align>bottom</wp:align>
              </wp:positionV>
              <wp:extent cx="443865" cy="443865"/>
              <wp:effectExtent l="0" t="0" r="4445" b="0"/>
              <wp:wrapNone/>
              <wp:docPr id="4" name="Tekstvak 5677"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FE4B03" w14:textId="77777777" w:rsidR="00231E07" w:rsidRPr="00231E07" w:rsidRDefault="00857D99" w:rsidP="00231E07">
                          <w:pPr>
                            <w:rPr>
                              <w:rFonts w:ascii="Calibri" w:eastAsia="Calibri" w:hAnsi="Calibri" w:cs="Calibri"/>
                              <w:noProof/>
                              <w:color w:val="000000"/>
                              <w:sz w:val="20"/>
                              <w:szCs w:val="20"/>
                            </w:rPr>
                          </w:pPr>
                          <w:r w:rsidRPr="00231E0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31553B" id="_x0000_t202" coordsize="21600,21600" o:spt="202" path="m,l,21600r21600,l21600,xe">
              <v:stroke joinstyle="miter"/>
              <v:path gradientshapeok="t" o:connecttype="rect"/>
            </v:shapetype>
            <v:shape id="Tekstvak 5677" o:spid="_x0000_s1027" type="#_x0000_t202" alt="Intern gebruik"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2FE4B03" w14:textId="77777777" w:rsidR="00231E07" w:rsidRPr="00231E07" w:rsidRDefault="00857D99" w:rsidP="00231E07">
                    <w:pPr>
                      <w:rPr>
                        <w:rFonts w:ascii="Calibri" w:eastAsia="Calibri" w:hAnsi="Calibri" w:cs="Calibri"/>
                        <w:noProof/>
                        <w:color w:val="000000"/>
                        <w:sz w:val="20"/>
                        <w:szCs w:val="20"/>
                      </w:rPr>
                    </w:pPr>
                    <w:r w:rsidRPr="00231E07">
                      <w:rPr>
                        <w:rFonts w:ascii="Calibri" w:eastAsia="Calibri" w:hAnsi="Calibri" w:cs="Calibri"/>
                        <w:noProof/>
                        <w:color w:val="000000"/>
                        <w:sz w:val="20"/>
                        <w:szCs w:val="20"/>
                      </w:rPr>
                      <w:t>Intern gebruik</w:t>
                    </w:r>
                  </w:p>
                </w:txbxContent>
              </v:textbox>
              <w10:wrap anchorx="page" anchory="page"/>
            </v:shape>
          </w:pict>
        </mc:Fallback>
      </mc:AlternateContent>
    </w: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D19E2" w14:paraId="47722822" w14:textId="77777777" w:rsidTr="001E4C6B">
      <w:trPr>
        <w:trHeight w:hRule="exact" w:val="240"/>
      </w:trPr>
      <w:tc>
        <w:tcPr>
          <w:tcW w:w="7601" w:type="dxa"/>
          <w:shd w:val="clear" w:color="auto" w:fill="auto"/>
        </w:tcPr>
        <w:p w14:paraId="00FD29D1" w14:textId="77777777" w:rsidR="00600B57" w:rsidRDefault="00600B57" w:rsidP="003F1F6B">
          <w:pPr>
            <w:pStyle w:val="Huisstijl-Rubricering"/>
          </w:pPr>
        </w:p>
      </w:tc>
      <w:tc>
        <w:tcPr>
          <w:tcW w:w="2156" w:type="dxa"/>
        </w:tcPr>
        <w:p w14:paraId="0B39E77C" w14:textId="6262363C" w:rsidR="00600B57" w:rsidRPr="00236CFE" w:rsidRDefault="00857D99"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5265D9">
            <w:t>2</w:t>
          </w:r>
          <w:r w:rsidRPr="00CB7ABA">
            <w:fldChar w:fldCharType="end"/>
          </w:r>
          <w:r w:rsidRPr="00CB7ABA">
            <w:t xml:space="preserve"> van </w:t>
          </w:r>
          <w:fldSimple w:instr="SECTIONPAGES   \* MERGEFORMAT">
            <w:r w:rsidR="00E71684">
              <w:t>8</w:t>
            </w:r>
          </w:fldSimple>
        </w:p>
      </w:tc>
    </w:tr>
  </w:tbl>
  <w:p w14:paraId="017A8C84" w14:textId="77777777" w:rsidR="00600B57" w:rsidRPr="00BC3B53" w:rsidRDefault="00600B57"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D19E2" w14:paraId="796682EA" w14:textId="77777777" w:rsidTr="001E4C6B">
      <w:trPr>
        <w:trHeight w:hRule="exact" w:val="240"/>
      </w:trPr>
      <w:tc>
        <w:tcPr>
          <w:tcW w:w="7601" w:type="dxa"/>
          <w:shd w:val="clear" w:color="auto" w:fill="auto"/>
        </w:tcPr>
        <w:p w14:paraId="3F343129" w14:textId="77777777" w:rsidR="00600B57" w:rsidRDefault="00857D99" w:rsidP="008C356D">
          <w:pPr>
            <w:pStyle w:val="Huisstijl-Rubricering"/>
          </w:pPr>
          <w:r>
            <mc:AlternateContent>
              <mc:Choice Requires="wps">
                <w:drawing>
                  <wp:anchor distT="0" distB="0" distL="0" distR="0" simplePos="0" relativeHeight="251658240" behindDoc="0" locked="0" layoutInCell="1" allowOverlap="1" wp14:anchorId="26723309" wp14:editId="061C9B64">
                    <wp:simplePos x="0" y="0"/>
                    <wp:positionH relativeFrom="page">
                      <wp:align>left</wp:align>
                    </wp:positionH>
                    <wp:positionV relativeFrom="page">
                      <wp:align>bottom</wp:align>
                    </wp:positionV>
                    <wp:extent cx="443865" cy="443865"/>
                    <wp:effectExtent l="0" t="0" r="4445" b="0"/>
                    <wp:wrapNone/>
                    <wp:docPr id="6" name="Tekstvak 557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E1A949" w14:textId="77777777" w:rsidR="00231E07" w:rsidRPr="00231E07" w:rsidRDefault="00857D99" w:rsidP="00231E07">
                                <w:pPr>
                                  <w:rPr>
                                    <w:rFonts w:ascii="Calibri" w:eastAsia="Calibri" w:hAnsi="Calibri" w:cs="Calibri"/>
                                    <w:noProof/>
                                    <w:color w:val="000000"/>
                                    <w:sz w:val="20"/>
                                    <w:szCs w:val="20"/>
                                  </w:rPr>
                                </w:pPr>
                                <w:r w:rsidRPr="00231E0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723309" id="_x0000_t202" coordsize="21600,21600" o:spt="202" path="m,l,21600r21600,l21600,xe">
                    <v:stroke joinstyle="miter"/>
                    <v:path gradientshapeok="t" o:connecttype="rect"/>
                  </v:shapetype>
                  <v:shape id="Tekstvak 5573"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5E1A949" w14:textId="77777777" w:rsidR="00231E07" w:rsidRPr="00231E07" w:rsidRDefault="00857D99" w:rsidP="00231E07">
                          <w:pPr>
                            <w:rPr>
                              <w:rFonts w:ascii="Calibri" w:eastAsia="Calibri" w:hAnsi="Calibri" w:cs="Calibri"/>
                              <w:noProof/>
                              <w:color w:val="000000"/>
                              <w:sz w:val="20"/>
                              <w:szCs w:val="20"/>
                            </w:rPr>
                          </w:pPr>
                          <w:r w:rsidRPr="00231E07">
                            <w:rPr>
                              <w:rFonts w:ascii="Calibri" w:eastAsia="Calibri" w:hAnsi="Calibri" w:cs="Calibri"/>
                              <w:noProof/>
                              <w:color w:val="000000"/>
                              <w:sz w:val="20"/>
                              <w:szCs w:val="20"/>
                            </w:rPr>
                            <w:t>Intern gebruik</w:t>
                          </w:r>
                        </w:p>
                      </w:txbxContent>
                    </v:textbox>
                    <w10:wrap anchorx="page" anchory="page"/>
                  </v:shape>
                </w:pict>
              </mc:Fallback>
            </mc:AlternateContent>
          </w:r>
        </w:p>
      </w:tc>
      <w:tc>
        <w:tcPr>
          <w:tcW w:w="2170" w:type="dxa"/>
        </w:tcPr>
        <w:p w14:paraId="504EC849" w14:textId="135EC02B" w:rsidR="00600B57" w:rsidRPr="00CB7ABA" w:rsidRDefault="00857D99"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E650EA">
            <w:t>1</w:t>
          </w:r>
          <w:r w:rsidRPr="00CB7ABA">
            <w:fldChar w:fldCharType="end"/>
          </w:r>
          <w:r w:rsidRPr="00CB7ABA">
            <w:t xml:space="preserve"> van</w:t>
          </w:r>
          <w:r w:rsidRPr="00CB7ABA">
            <w:rPr>
              <w:rStyle w:val="Huisstijl-GegevenCharChar"/>
            </w:rPr>
            <w:t xml:space="preserve"> </w:t>
          </w:r>
          <w:r w:rsidR="002C2CFD">
            <w:fldChar w:fldCharType="begin"/>
          </w:r>
          <w:r>
            <w:instrText xml:space="preserve"> SECTIONPAGES   \* MERGEFORMAT </w:instrText>
          </w:r>
          <w:r w:rsidR="002C2CFD">
            <w:fldChar w:fldCharType="separate"/>
          </w:r>
          <w:r w:rsidR="00E71684">
            <w:t>8</w:t>
          </w:r>
          <w:r w:rsidR="002C2CFD">
            <w:fldChar w:fldCharType="end"/>
          </w:r>
        </w:p>
      </w:tc>
    </w:tr>
  </w:tbl>
  <w:p w14:paraId="6CB94883" w14:textId="77777777" w:rsidR="00600B57" w:rsidRPr="00BC3B53" w:rsidRDefault="00600B57" w:rsidP="008C356D">
    <w:pPr>
      <w:pStyle w:val="Voettekst"/>
      <w:spacing w:line="240" w:lineRule="auto"/>
      <w:rPr>
        <w:sz w:val="2"/>
        <w:szCs w:val="2"/>
      </w:rPr>
    </w:pPr>
  </w:p>
  <w:p w14:paraId="1B1FAD06" w14:textId="77777777" w:rsidR="00600B57" w:rsidRPr="00BC3B53" w:rsidRDefault="00600B57"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E46C7" w14:textId="77777777" w:rsidR="00A30935" w:rsidRDefault="00A30935">
      <w:r>
        <w:separator/>
      </w:r>
    </w:p>
    <w:p w14:paraId="66AE29F1" w14:textId="77777777" w:rsidR="00A30935" w:rsidRDefault="00A30935"/>
  </w:footnote>
  <w:footnote w:type="continuationSeparator" w:id="0">
    <w:p w14:paraId="0B397281" w14:textId="77777777" w:rsidR="00A30935" w:rsidRDefault="00A30935">
      <w:r>
        <w:continuationSeparator/>
      </w:r>
    </w:p>
    <w:p w14:paraId="35EA690D" w14:textId="77777777" w:rsidR="00A30935" w:rsidRDefault="00A309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AEB4" w14:textId="77777777" w:rsidR="00600B57" w:rsidRDefault="00600B57"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D19E2" w14:paraId="1FDB4858" w14:textId="77777777" w:rsidTr="005558E0">
      <w:tc>
        <w:tcPr>
          <w:tcW w:w="2160" w:type="dxa"/>
          <w:shd w:val="clear" w:color="auto" w:fill="auto"/>
        </w:tcPr>
        <w:p w14:paraId="14691F1D" w14:textId="77777777" w:rsidR="00600B57" w:rsidRPr="00044613" w:rsidRDefault="00857D99" w:rsidP="005558E0">
          <w:pPr>
            <w:pStyle w:val="Huisstijl-Adres"/>
          </w:pPr>
          <w:r>
            <w:rPr>
              <w:b/>
            </w:rPr>
            <w:t>Klimaat en groene Groei</w:t>
          </w:r>
          <w:r>
            <w:rPr>
              <w:b/>
            </w:rPr>
            <w:br/>
          </w:r>
        </w:p>
      </w:tc>
    </w:tr>
    <w:tr w:rsidR="00AD19E2" w14:paraId="6E1CFCF5" w14:textId="77777777" w:rsidTr="005558E0">
      <w:trPr>
        <w:trHeight w:hRule="exact" w:val="200"/>
      </w:trPr>
      <w:tc>
        <w:tcPr>
          <w:tcW w:w="2160" w:type="dxa"/>
          <w:shd w:val="clear" w:color="auto" w:fill="auto"/>
        </w:tcPr>
        <w:p w14:paraId="3A732346" w14:textId="77777777" w:rsidR="00600B57" w:rsidRPr="005819CE" w:rsidRDefault="00600B57" w:rsidP="005558E0"/>
      </w:tc>
    </w:tr>
    <w:tr w:rsidR="00AD19E2" w14:paraId="0D0ECBB0" w14:textId="77777777" w:rsidTr="005558E0">
      <w:tc>
        <w:tcPr>
          <w:tcW w:w="2160" w:type="dxa"/>
          <w:shd w:val="clear" w:color="auto" w:fill="auto"/>
        </w:tcPr>
        <w:p w14:paraId="69213C9C" w14:textId="77777777" w:rsidR="00600B57" w:rsidRPr="005819CE" w:rsidRDefault="00857D99" w:rsidP="005558E0">
          <w:pPr>
            <w:pStyle w:val="Huisstijl-Kopje"/>
          </w:pPr>
          <w:r>
            <w:t>Ons kenmerk</w:t>
          </w:r>
        </w:p>
        <w:p w14:paraId="3B1F2562" w14:textId="77777777" w:rsidR="00600B57" w:rsidRDefault="00857D99" w:rsidP="005558E0">
          <w:pPr>
            <w:pStyle w:val="Huisstijl-Gegeven"/>
          </w:pPr>
          <w:r>
            <w:t xml:space="preserve">KGG / </w:t>
          </w:r>
        </w:p>
        <w:p w14:paraId="34E9EBFB" w14:textId="77777777" w:rsidR="00600B57" w:rsidRPr="005819CE" w:rsidRDefault="00600B57" w:rsidP="005558E0">
          <w:pPr>
            <w:pStyle w:val="Huisstijl-Gegeven"/>
          </w:pPr>
        </w:p>
      </w:tc>
    </w:tr>
  </w:tbl>
  <w:tbl>
    <w:tblPr>
      <w:tblW w:w="7520" w:type="dxa"/>
      <w:tblLayout w:type="fixed"/>
      <w:tblCellMar>
        <w:left w:w="0" w:type="dxa"/>
        <w:right w:w="0" w:type="dxa"/>
      </w:tblCellMar>
      <w:tblLook w:val="0000" w:firstRow="0" w:lastRow="0" w:firstColumn="0" w:lastColumn="0" w:noHBand="0" w:noVBand="0"/>
    </w:tblPr>
    <w:tblGrid>
      <w:gridCol w:w="7520"/>
    </w:tblGrid>
    <w:tr w:rsidR="00AD19E2" w14:paraId="6501F0AC" w14:textId="77777777" w:rsidTr="009D5D50">
      <w:trPr>
        <w:trHeight w:hRule="exact" w:val="400"/>
      </w:trPr>
      <w:tc>
        <w:tcPr>
          <w:tcW w:w="7520" w:type="dxa"/>
          <w:shd w:val="clear" w:color="auto" w:fill="auto"/>
        </w:tcPr>
        <w:p w14:paraId="0BA8C7B4" w14:textId="77777777" w:rsidR="00600B57" w:rsidRPr="00275984" w:rsidRDefault="00600B57" w:rsidP="009D5D50">
          <w:pPr>
            <w:spacing w:line="240" w:lineRule="auto"/>
            <w:rPr>
              <w:sz w:val="12"/>
              <w:szCs w:val="12"/>
            </w:rPr>
          </w:pPr>
        </w:p>
      </w:tc>
    </w:tr>
  </w:tbl>
  <w:p w14:paraId="167ADDBD" w14:textId="77777777" w:rsidR="00600B57" w:rsidRDefault="00600B57" w:rsidP="008C356D"/>
  <w:p w14:paraId="02995AAE" w14:textId="77777777" w:rsidR="00600B57" w:rsidRPr="00740712" w:rsidRDefault="00600B57" w:rsidP="008C356D"/>
  <w:p w14:paraId="50386F78" w14:textId="77777777" w:rsidR="00600B57" w:rsidRPr="00217880" w:rsidRDefault="00600B57" w:rsidP="008C356D">
    <w:pPr>
      <w:spacing w:line="0" w:lineRule="atLeast"/>
      <w:rPr>
        <w:sz w:val="2"/>
        <w:szCs w:val="2"/>
      </w:rPr>
    </w:pPr>
  </w:p>
  <w:p w14:paraId="20193985" w14:textId="77777777" w:rsidR="00600B57" w:rsidRDefault="00600B57" w:rsidP="004F44C2">
    <w:pPr>
      <w:pStyle w:val="Koptekst"/>
      <w:rPr>
        <w:rFonts w:cs="Verdana-Bold"/>
        <w:b/>
        <w:bCs/>
        <w:smallCaps/>
        <w:szCs w:val="18"/>
      </w:rPr>
    </w:pPr>
  </w:p>
  <w:p w14:paraId="02C07584" w14:textId="77777777" w:rsidR="00600B57" w:rsidRDefault="00600B57" w:rsidP="004F44C2"/>
  <w:p w14:paraId="2C690665" w14:textId="77777777" w:rsidR="00600B57" w:rsidRPr="00740712" w:rsidRDefault="00600B57" w:rsidP="004F44C2"/>
  <w:p w14:paraId="5427286F" w14:textId="77777777" w:rsidR="00600B57" w:rsidRPr="00217880" w:rsidRDefault="00600B57"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D19E2" w14:paraId="27CB1D89" w14:textId="77777777" w:rsidTr="003B7675">
      <w:trPr>
        <w:trHeight w:val="2636"/>
      </w:trPr>
      <w:tc>
        <w:tcPr>
          <w:tcW w:w="737" w:type="dxa"/>
          <w:shd w:val="clear" w:color="auto" w:fill="auto"/>
        </w:tcPr>
        <w:p w14:paraId="5D025CAE" w14:textId="77777777" w:rsidR="00600B57" w:rsidRDefault="00857D99" w:rsidP="00044613">
          <w:pPr>
            <w:framePr w:w="6340" w:h="2750" w:hRule="exact" w:hSpace="180" w:wrap="around" w:vAnchor="page" w:hAnchor="text" w:x="3873" w:y="-70"/>
            <w:spacing w:line="240" w:lineRule="auto"/>
          </w:pPr>
          <w:r>
            <w:rPr>
              <w:noProof/>
              <w:lang w:val="en-US" w:eastAsia="en-US"/>
            </w:rPr>
            <w:drawing>
              <wp:inline distT="0" distB="0" distL="0" distR="0" wp14:anchorId="2EE2BDE4" wp14:editId="4B9BAF64">
                <wp:extent cx="466725" cy="1581150"/>
                <wp:effectExtent l="0" t="0" r="0" b="0"/>
                <wp:docPr id="1" name="Picture 9"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Rijkslint Zwa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tc>
      <w:tc>
        <w:tcPr>
          <w:tcW w:w="5156" w:type="dxa"/>
          <w:shd w:val="clear" w:color="auto" w:fill="auto"/>
        </w:tcPr>
        <w:p w14:paraId="3EAA56A7" w14:textId="77777777" w:rsidR="00600B57" w:rsidRPr="00DB5138" w:rsidRDefault="00857D99" w:rsidP="00044613">
          <w:pPr>
            <w:framePr w:w="6340" w:h="2750" w:hRule="exact" w:hSpace="180" w:wrap="around" w:vAnchor="page" w:hAnchor="text" w:x="3873" w:y="-70"/>
            <w:spacing w:line="240" w:lineRule="auto"/>
          </w:pPr>
          <w:r>
            <w:rPr>
              <w:noProof/>
            </w:rPr>
            <w:drawing>
              <wp:inline distT="0" distB="0" distL="0" distR="0" wp14:anchorId="2EA467D2" wp14:editId="742FAA9E">
                <wp:extent cx="2343150" cy="158115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3638D495" w14:textId="77777777" w:rsidR="00600B57" w:rsidRDefault="00600B57" w:rsidP="00044613">
    <w:pPr>
      <w:framePr w:w="6340" w:h="2750" w:hRule="exact" w:hSpace="180" w:wrap="around" w:vAnchor="page" w:hAnchor="text" w:x="3873" w:y="-70"/>
    </w:pPr>
  </w:p>
  <w:p w14:paraId="3D401A5E" w14:textId="77777777" w:rsidR="00600B57" w:rsidRDefault="00600B57"/>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D19E2" w:rsidRPr="00B45A43" w14:paraId="48EEE0EF" w14:textId="77777777" w:rsidTr="005558E0">
      <w:tc>
        <w:tcPr>
          <w:tcW w:w="2160" w:type="dxa"/>
          <w:shd w:val="clear" w:color="auto" w:fill="auto"/>
        </w:tcPr>
        <w:p w14:paraId="5F405180" w14:textId="77777777" w:rsidR="00600B57" w:rsidRPr="00F9751C" w:rsidRDefault="00857D99" w:rsidP="005558E0">
          <w:pPr>
            <w:pStyle w:val="Huisstijl-Adres"/>
          </w:pPr>
          <w:r>
            <w:rPr>
              <w:b/>
            </w:rPr>
            <w:t>Klimaat en groene Groei</w:t>
          </w:r>
          <w:r w:rsidRPr="00F9751C">
            <w:rPr>
              <w:b/>
            </w:rPr>
            <w:br/>
          </w:r>
          <w:r w:rsidR="008C46DF" w:rsidRPr="00F9751C">
            <w:t xml:space="preserve"> </w:t>
          </w:r>
        </w:p>
        <w:p w14:paraId="41839509" w14:textId="3B10544E" w:rsidR="00725EA5" w:rsidRPr="00725EA5" w:rsidRDefault="00857D99" w:rsidP="00725EA5">
          <w:pPr>
            <w:pStyle w:val="Huisstijl-Adres"/>
          </w:pPr>
          <w:r>
            <w:rPr>
              <w:b/>
            </w:rPr>
            <w:t>Behandeld door</w:t>
          </w:r>
          <w:r w:rsidRPr="00F9751C">
            <w:rPr>
              <w:b/>
            </w:rPr>
            <w:br/>
          </w:r>
        </w:p>
        <w:p w14:paraId="6FF94592" w14:textId="46E234DC" w:rsidR="00600B57" w:rsidRPr="00725EA5" w:rsidRDefault="00600B57" w:rsidP="005558E0">
          <w:pPr>
            <w:pStyle w:val="Huisstijl-Adres"/>
          </w:pPr>
        </w:p>
      </w:tc>
    </w:tr>
    <w:tr w:rsidR="00AD19E2" w:rsidRPr="00B45A43" w14:paraId="7300F8CF" w14:textId="77777777" w:rsidTr="005558E0">
      <w:trPr>
        <w:trHeight w:hRule="exact" w:val="200"/>
      </w:trPr>
      <w:tc>
        <w:tcPr>
          <w:tcW w:w="2160" w:type="dxa"/>
          <w:shd w:val="clear" w:color="auto" w:fill="auto"/>
        </w:tcPr>
        <w:p w14:paraId="0F380413" w14:textId="77777777" w:rsidR="00600B57" w:rsidRPr="00725EA5" w:rsidRDefault="00600B57" w:rsidP="005558E0"/>
      </w:tc>
    </w:tr>
    <w:tr w:rsidR="00AD19E2" w14:paraId="6B2097ED" w14:textId="77777777" w:rsidTr="005558E0">
      <w:tc>
        <w:tcPr>
          <w:tcW w:w="2160" w:type="dxa"/>
          <w:shd w:val="clear" w:color="auto" w:fill="auto"/>
        </w:tcPr>
        <w:p w14:paraId="075607FA" w14:textId="77777777" w:rsidR="00600B57" w:rsidRPr="00F9751C" w:rsidRDefault="00857D99" w:rsidP="005558E0">
          <w:pPr>
            <w:pStyle w:val="Huisstijl-Kopje"/>
          </w:pPr>
          <w:r>
            <w:t>Datum</w:t>
          </w:r>
        </w:p>
        <w:p w14:paraId="0A7CAF28" w14:textId="77777777" w:rsidR="00600B57" w:rsidRPr="00F9751C" w:rsidRDefault="00857D99" w:rsidP="005558E0">
          <w:pPr>
            <w:pStyle w:val="Huisstijl-Gegeven"/>
          </w:pPr>
          <w:r>
            <w:t>25 oktober 2024</w:t>
          </w:r>
        </w:p>
        <w:p w14:paraId="6C5840E2" w14:textId="77777777" w:rsidR="00600B57" w:rsidRPr="00F9751C" w:rsidRDefault="00857D99" w:rsidP="005558E0">
          <w:pPr>
            <w:pStyle w:val="Huisstijl-Kopje"/>
          </w:pPr>
          <w:r>
            <w:t>Kenmerk</w:t>
          </w:r>
        </w:p>
        <w:p w14:paraId="10BE1684" w14:textId="77777777" w:rsidR="00600B57" w:rsidRPr="00F9751C" w:rsidRDefault="00857D99" w:rsidP="005558E0">
          <w:pPr>
            <w:pStyle w:val="Huisstijl-Gegeven"/>
          </w:pPr>
          <w:r>
            <w:t>KGG / 89426621</w:t>
          </w:r>
        </w:p>
        <w:p w14:paraId="67727588" w14:textId="77777777" w:rsidR="00600B57" w:rsidRPr="00F9751C" w:rsidRDefault="00857D99" w:rsidP="005558E0">
          <w:pPr>
            <w:pStyle w:val="Huisstijl-Kopje"/>
          </w:pPr>
          <w:r w:rsidRPr="00F9751C">
            <w:t>Bijlage</w:t>
          </w:r>
          <w:r>
            <w:t>(</w:t>
          </w:r>
          <w:r w:rsidRPr="00F9751C">
            <w:t>n</w:t>
          </w:r>
          <w:r>
            <w:t>)</w:t>
          </w:r>
        </w:p>
        <w:p w14:paraId="2D13C95C" w14:textId="27CE8B23" w:rsidR="00600B57" w:rsidRPr="00F0379C" w:rsidRDefault="00672F70" w:rsidP="005558E0">
          <w:pPr>
            <w:pStyle w:val="Huisstijl-Gegeven"/>
          </w:pPr>
          <w:r>
            <w:t>2</w:t>
          </w:r>
        </w:p>
      </w:tc>
    </w:tr>
  </w:tbl>
  <w:p w14:paraId="5C714034" w14:textId="77777777" w:rsidR="00604CD1" w:rsidRPr="00604CD1" w:rsidRDefault="00604CD1" w:rsidP="00604CD1">
    <w:pPr>
      <w:rPr>
        <w:vanish/>
      </w:rPr>
    </w:pPr>
  </w:p>
  <w:tbl>
    <w:tblPr>
      <w:tblW w:w="7371" w:type="dxa"/>
      <w:tblLayout w:type="fixed"/>
      <w:tblCellMar>
        <w:left w:w="0" w:type="dxa"/>
        <w:right w:w="0" w:type="dxa"/>
      </w:tblCellMar>
      <w:tblLook w:val="0000" w:firstRow="0" w:lastRow="0" w:firstColumn="0" w:lastColumn="0" w:noHBand="0" w:noVBand="0"/>
    </w:tblPr>
    <w:tblGrid>
      <w:gridCol w:w="2176"/>
      <w:gridCol w:w="5195"/>
    </w:tblGrid>
    <w:tr w:rsidR="00AD19E2" w14:paraId="758190B4" w14:textId="77777777" w:rsidTr="004C5FEA">
      <w:trPr>
        <w:trHeight w:val="400"/>
      </w:trPr>
      <w:tc>
        <w:tcPr>
          <w:tcW w:w="7520" w:type="dxa"/>
          <w:gridSpan w:val="2"/>
          <w:shd w:val="clear" w:color="auto" w:fill="auto"/>
        </w:tcPr>
        <w:p w14:paraId="7FB8F450" w14:textId="77777777" w:rsidR="00600B57" w:rsidRPr="00B349FA" w:rsidRDefault="00600B57" w:rsidP="009D5D50"/>
      </w:tc>
    </w:tr>
    <w:tr w:rsidR="00AD19E2" w14:paraId="3FA3B53F" w14:textId="77777777" w:rsidTr="004C5FEA">
      <w:trPr>
        <w:trHeight w:hRule="exact" w:val="1880"/>
      </w:trPr>
      <w:tc>
        <w:tcPr>
          <w:tcW w:w="7520" w:type="dxa"/>
          <w:gridSpan w:val="2"/>
          <w:shd w:val="clear" w:color="auto" w:fill="auto"/>
        </w:tcPr>
        <w:p w14:paraId="06993C1C" w14:textId="77777777" w:rsidR="00600B57" w:rsidRDefault="00600B57" w:rsidP="00925121">
          <w:pPr>
            <w:pStyle w:val="Huisstijl-NAW"/>
          </w:pPr>
        </w:p>
      </w:tc>
    </w:tr>
    <w:tr w:rsidR="00AD19E2" w14:paraId="494A6D93" w14:textId="77777777" w:rsidTr="004C5FEA">
      <w:trPr>
        <w:trHeight w:val="460"/>
      </w:trPr>
      <w:tc>
        <w:tcPr>
          <w:tcW w:w="2220" w:type="dxa"/>
          <w:vMerge w:val="restart"/>
          <w:shd w:val="clear" w:color="auto" w:fill="auto"/>
        </w:tcPr>
        <w:p w14:paraId="066CF8C6" w14:textId="77777777" w:rsidR="00600B57" w:rsidRDefault="00857D99" w:rsidP="009D5D50">
          <w:r>
            <w:rPr>
              <w:noProof/>
              <w:lang w:val="en-US" w:eastAsia="en-US"/>
            </w:rPr>
            <w:drawing>
              <wp:inline distT="0" distB="0" distL="0" distR="0" wp14:anchorId="63B16C9A" wp14:editId="28A03DDE">
                <wp:extent cx="1238250" cy="533400"/>
                <wp:effectExtent l="0" t="0" r="0" b="0"/>
                <wp:docPr id="3" name="Picture 38" descr="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descr="Agenda"/>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38250" cy="533400"/>
                        </a:xfrm>
                        <a:prstGeom prst="rect">
                          <a:avLst/>
                        </a:prstGeom>
                        <a:noFill/>
                        <a:ln>
                          <a:noFill/>
                        </a:ln>
                      </pic:spPr>
                    </pic:pic>
                  </a:graphicData>
                </a:graphic>
              </wp:inline>
            </w:drawing>
          </w:r>
        </w:p>
      </w:tc>
      <w:tc>
        <w:tcPr>
          <w:tcW w:w="5300" w:type="dxa"/>
          <w:shd w:val="clear" w:color="auto" w:fill="auto"/>
        </w:tcPr>
        <w:p w14:paraId="1D9070F7" w14:textId="77777777" w:rsidR="00600B57" w:rsidRDefault="00600B57" w:rsidP="009D5D50"/>
      </w:tc>
    </w:tr>
    <w:tr w:rsidR="00AD19E2" w14:paraId="0A4848E0" w14:textId="77777777" w:rsidTr="004C5FEA">
      <w:trPr>
        <w:trHeight w:val="560"/>
      </w:trPr>
      <w:tc>
        <w:tcPr>
          <w:tcW w:w="2220" w:type="dxa"/>
          <w:vMerge/>
          <w:tcBorders>
            <w:bottom w:val="dotted" w:sz="4" w:space="0" w:color="auto"/>
          </w:tcBorders>
          <w:shd w:val="clear" w:color="auto" w:fill="auto"/>
        </w:tcPr>
        <w:p w14:paraId="475A82EF" w14:textId="77777777" w:rsidR="00600B57" w:rsidRDefault="00600B57" w:rsidP="009D5D50"/>
      </w:tc>
      <w:tc>
        <w:tcPr>
          <w:tcW w:w="5300" w:type="dxa"/>
          <w:tcBorders>
            <w:bottom w:val="dotted" w:sz="4" w:space="0" w:color="auto"/>
          </w:tcBorders>
          <w:shd w:val="clear" w:color="auto" w:fill="auto"/>
        </w:tcPr>
        <w:p w14:paraId="765DDF31" w14:textId="77777777" w:rsidR="00600B57" w:rsidRPr="007402E0" w:rsidRDefault="00600B57" w:rsidP="009D5D50"/>
      </w:tc>
    </w:tr>
    <w:tr w:rsidR="00AD19E2" w14:paraId="6EA56370" w14:textId="77777777" w:rsidTr="004C5FEA">
      <w:trPr>
        <w:trHeight w:hRule="exact" w:val="238"/>
      </w:trPr>
      <w:tc>
        <w:tcPr>
          <w:tcW w:w="2220" w:type="dxa"/>
          <w:tcBorders>
            <w:top w:val="dotted" w:sz="4" w:space="0" w:color="auto"/>
          </w:tcBorders>
          <w:shd w:val="clear" w:color="auto" w:fill="auto"/>
        </w:tcPr>
        <w:p w14:paraId="12206669" w14:textId="77777777" w:rsidR="00863AA8" w:rsidRDefault="00863AA8" w:rsidP="00925121">
          <w:pPr>
            <w:pStyle w:val="Huisstijl-Gegeven"/>
            <w:rPr>
              <w:noProof w:val="0"/>
            </w:rPr>
          </w:pPr>
        </w:p>
      </w:tc>
      <w:tc>
        <w:tcPr>
          <w:tcW w:w="5300" w:type="dxa"/>
          <w:tcBorders>
            <w:top w:val="dotted" w:sz="4" w:space="0" w:color="auto"/>
          </w:tcBorders>
          <w:shd w:val="clear" w:color="auto" w:fill="auto"/>
        </w:tcPr>
        <w:p w14:paraId="000583FE" w14:textId="77777777" w:rsidR="00863AA8" w:rsidRPr="00863AA8" w:rsidRDefault="00863AA8" w:rsidP="00863AA8">
          <w:pPr>
            <w:spacing w:line="120" w:lineRule="exact"/>
            <w:rPr>
              <w:sz w:val="9"/>
              <w:szCs w:val="9"/>
            </w:rPr>
          </w:pPr>
        </w:p>
      </w:tc>
    </w:tr>
    <w:tr w:rsidR="00AD19E2" w14:paraId="7B3900D0" w14:textId="77777777" w:rsidTr="004C5FEA">
      <w:trPr>
        <w:trHeight w:val="238"/>
      </w:trPr>
      <w:tc>
        <w:tcPr>
          <w:tcW w:w="2220" w:type="dxa"/>
          <w:shd w:val="clear" w:color="auto" w:fill="auto"/>
        </w:tcPr>
        <w:p w14:paraId="59E4BA6C" w14:textId="77777777" w:rsidR="00600B57" w:rsidRDefault="00857D99" w:rsidP="00925121">
          <w:pPr>
            <w:pStyle w:val="Huisstijl-Gegeven"/>
            <w:rPr>
              <w:noProof w:val="0"/>
            </w:rPr>
          </w:pPr>
          <w:r>
            <w:rPr>
              <w:noProof w:val="0"/>
            </w:rPr>
            <w:t>Omschrijving</w:t>
          </w:r>
        </w:p>
      </w:tc>
      <w:tc>
        <w:tcPr>
          <w:tcW w:w="5300" w:type="dxa"/>
          <w:shd w:val="clear" w:color="auto" w:fill="auto"/>
        </w:tcPr>
        <w:p w14:paraId="36D096E1" w14:textId="2B8B8485" w:rsidR="00600B57" w:rsidRDefault="00857D99" w:rsidP="009D5D50">
          <w:r>
            <w:t>Voortgangsgesprekken</w:t>
          </w:r>
          <w:r w:rsidR="00672F70">
            <w:t xml:space="preserve"> Klimaatbeleid</w:t>
          </w:r>
          <w:r>
            <w:t xml:space="preserve"> Industrie</w:t>
          </w:r>
        </w:p>
      </w:tc>
    </w:tr>
    <w:tr w:rsidR="00AD19E2" w14:paraId="0FBB516B" w14:textId="77777777" w:rsidTr="004C5FEA">
      <w:trPr>
        <w:trHeight w:val="238"/>
      </w:trPr>
      <w:tc>
        <w:tcPr>
          <w:tcW w:w="2220" w:type="dxa"/>
          <w:shd w:val="clear" w:color="auto" w:fill="auto"/>
        </w:tcPr>
        <w:p w14:paraId="54E12BEA" w14:textId="77777777" w:rsidR="00600B57" w:rsidRDefault="00857D99" w:rsidP="00925121">
          <w:pPr>
            <w:pStyle w:val="Huisstijl-Gegeven"/>
            <w:rPr>
              <w:noProof w:val="0"/>
            </w:rPr>
          </w:pPr>
          <w:r>
            <w:rPr>
              <w:noProof w:val="0"/>
            </w:rPr>
            <w:t>Voorzitter</w:t>
          </w:r>
        </w:p>
      </w:tc>
      <w:tc>
        <w:tcPr>
          <w:tcW w:w="5300" w:type="dxa"/>
          <w:shd w:val="clear" w:color="auto" w:fill="auto"/>
        </w:tcPr>
        <w:p w14:paraId="5D5E8FB1" w14:textId="6C3C0CFE" w:rsidR="00600B57" w:rsidRDefault="00672F70" w:rsidP="009D5D50">
          <w:r>
            <w:t>Minister van Klimaat en Groene Groei</w:t>
          </w:r>
        </w:p>
      </w:tc>
    </w:tr>
    <w:tr w:rsidR="00AD19E2" w14:paraId="689AC6A3" w14:textId="77777777" w:rsidTr="004C5FEA">
      <w:trPr>
        <w:trHeight w:val="238"/>
      </w:trPr>
      <w:tc>
        <w:tcPr>
          <w:tcW w:w="2220" w:type="dxa"/>
          <w:shd w:val="clear" w:color="auto" w:fill="auto"/>
        </w:tcPr>
        <w:p w14:paraId="202F40BA" w14:textId="77777777" w:rsidR="00600B57" w:rsidRDefault="00857D99" w:rsidP="00925121">
          <w:pPr>
            <w:pStyle w:val="Huisstijl-Gegeven"/>
            <w:rPr>
              <w:noProof w:val="0"/>
            </w:rPr>
          </w:pPr>
          <w:r>
            <w:rPr>
              <w:noProof w:val="0"/>
            </w:rPr>
            <w:t>Notulist</w:t>
          </w:r>
        </w:p>
      </w:tc>
      <w:tc>
        <w:tcPr>
          <w:tcW w:w="5300" w:type="dxa"/>
          <w:shd w:val="clear" w:color="auto" w:fill="auto"/>
        </w:tcPr>
        <w:p w14:paraId="4FD2E4A7" w14:textId="77777777" w:rsidR="00600B57" w:rsidRDefault="00600B57" w:rsidP="009D5D50"/>
      </w:tc>
    </w:tr>
    <w:tr w:rsidR="00AD19E2" w14:paraId="3B822336" w14:textId="77777777" w:rsidTr="004C5FEA">
      <w:trPr>
        <w:trHeight w:val="238"/>
      </w:trPr>
      <w:tc>
        <w:tcPr>
          <w:tcW w:w="2220" w:type="dxa"/>
          <w:shd w:val="clear" w:color="auto" w:fill="auto"/>
        </w:tcPr>
        <w:p w14:paraId="14C3519B" w14:textId="77777777" w:rsidR="00600B57" w:rsidRDefault="00857D99" w:rsidP="00925121">
          <w:pPr>
            <w:pStyle w:val="Huisstijl-Gegeven"/>
            <w:rPr>
              <w:noProof w:val="0"/>
            </w:rPr>
          </w:pPr>
          <w:r>
            <w:rPr>
              <w:noProof w:val="0"/>
            </w:rPr>
            <w:t>Vergaderdatum en -tijd</w:t>
          </w:r>
        </w:p>
      </w:tc>
      <w:tc>
        <w:tcPr>
          <w:tcW w:w="5300" w:type="dxa"/>
          <w:shd w:val="clear" w:color="auto" w:fill="auto"/>
        </w:tcPr>
        <w:p w14:paraId="241E5A7D" w14:textId="77777777" w:rsidR="00600B57" w:rsidRDefault="00857D99" w:rsidP="009D5D50">
          <w:r>
            <w:t>5 november 2024, 16.30 uur - 17.00 uur</w:t>
          </w:r>
        </w:p>
      </w:tc>
    </w:tr>
    <w:tr w:rsidR="00AD19E2" w14:paraId="4EBFEE52" w14:textId="77777777" w:rsidTr="004C5FEA">
      <w:trPr>
        <w:trHeight w:val="238"/>
      </w:trPr>
      <w:tc>
        <w:tcPr>
          <w:tcW w:w="2220" w:type="dxa"/>
          <w:shd w:val="clear" w:color="auto" w:fill="auto"/>
        </w:tcPr>
        <w:p w14:paraId="0A8D9222" w14:textId="77777777" w:rsidR="00863AA8" w:rsidRDefault="00857D99" w:rsidP="00925121">
          <w:pPr>
            <w:pStyle w:val="Huisstijl-Gegeven"/>
            <w:rPr>
              <w:noProof w:val="0"/>
            </w:rPr>
          </w:pPr>
          <w:r>
            <w:rPr>
              <w:noProof w:val="0"/>
            </w:rPr>
            <w:t>Locatie</w:t>
          </w:r>
        </w:p>
      </w:tc>
      <w:tc>
        <w:tcPr>
          <w:tcW w:w="5300" w:type="dxa"/>
          <w:shd w:val="clear" w:color="auto" w:fill="auto"/>
        </w:tcPr>
        <w:p w14:paraId="742BC8B6" w14:textId="77777777" w:rsidR="00863AA8" w:rsidRDefault="00863AA8" w:rsidP="009D5D50"/>
      </w:tc>
    </w:tr>
    <w:tr w:rsidR="00AD19E2" w14:paraId="05F95D19" w14:textId="77777777" w:rsidTr="004C5FEA">
      <w:trPr>
        <w:trHeight w:hRule="exact" w:val="238"/>
      </w:trPr>
      <w:tc>
        <w:tcPr>
          <w:tcW w:w="2220" w:type="dxa"/>
          <w:tcBorders>
            <w:bottom w:val="dotted" w:sz="4" w:space="0" w:color="auto"/>
          </w:tcBorders>
          <w:shd w:val="clear" w:color="auto" w:fill="auto"/>
        </w:tcPr>
        <w:p w14:paraId="34269189" w14:textId="77777777" w:rsidR="00600B57" w:rsidRDefault="00600B57" w:rsidP="00925121">
          <w:pPr>
            <w:pStyle w:val="Huisstijl-Gegeven"/>
            <w:rPr>
              <w:noProof w:val="0"/>
            </w:rPr>
          </w:pPr>
        </w:p>
      </w:tc>
      <w:tc>
        <w:tcPr>
          <w:tcW w:w="5300" w:type="dxa"/>
          <w:tcBorders>
            <w:bottom w:val="dotted" w:sz="4" w:space="0" w:color="auto"/>
          </w:tcBorders>
          <w:shd w:val="clear" w:color="auto" w:fill="auto"/>
        </w:tcPr>
        <w:p w14:paraId="46AA1521" w14:textId="77777777" w:rsidR="00600B57" w:rsidRDefault="00600B57" w:rsidP="00863AA8">
          <w:pPr>
            <w:spacing w:line="240" w:lineRule="exact"/>
          </w:pPr>
        </w:p>
      </w:tc>
    </w:tr>
  </w:tbl>
  <w:p w14:paraId="4A752DD8" w14:textId="77777777" w:rsidR="00600B57" w:rsidRPr="00BC4AE3" w:rsidRDefault="00600B57"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A769D0C">
      <w:start w:val="1"/>
      <w:numFmt w:val="bullet"/>
      <w:pStyle w:val="Lijstopsomteken"/>
      <w:lvlText w:val="•"/>
      <w:lvlJc w:val="left"/>
      <w:pPr>
        <w:tabs>
          <w:tab w:val="num" w:pos="227"/>
        </w:tabs>
        <w:ind w:left="227" w:hanging="227"/>
      </w:pPr>
      <w:rPr>
        <w:rFonts w:ascii="Verdana" w:hAnsi="Verdana" w:hint="default"/>
        <w:sz w:val="18"/>
        <w:szCs w:val="18"/>
      </w:rPr>
    </w:lvl>
    <w:lvl w:ilvl="1" w:tplc="69846386" w:tentative="1">
      <w:start w:val="1"/>
      <w:numFmt w:val="bullet"/>
      <w:lvlText w:val="o"/>
      <w:lvlJc w:val="left"/>
      <w:pPr>
        <w:tabs>
          <w:tab w:val="num" w:pos="1440"/>
        </w:tabs>
        <w:ind w:left="1440" w:hanging="360"/>
      </w:pPr>
      <w:rPr>
        <w:rFonts w:ascii="Courier New" w:hAnsi="Courier New" w:cs="Courier New" w:hint="default"/>
      </w:rPr>
    </w:lvl>
    <w:lvl w:ilvl="2" w:tplc="87344682" w:tentative="1">
      <w:start w:val="1"/>
      <w:numFmt w:val="bullet"/>
      <w:lvlText w:val=""/>
      <w:lvlJc w:val="left"/>
      <w:pPr>
        <w:tabs>
          <w:tab w:val="num" w:pos="2160"/>
        </w:tabs>
        <w:ind w:left="2160" w:hanging="360"/>
      </w:pPr>
      <w:rPr>
        <w:rFonts w:ascii="Wingdings" w:hAnsi="Wingdings" w:hint="default"/>
      </w:rPr>
    </w:lvl>
    <w:lvl w:ilvl="3" w:tplc="60B20118" w:tentative="1">
      <w:start w:val="1"/>
      <w:numFmt w:val="bullet"/>
      <w:lvlText w:val=""/>
      <w:lvlJc w:val="left"/>
      <w:pPr>
        <w:tabs>
          <w:tab w:val="num" w:pos="2880"/>
        </w:tabs>
        <w:ind w:left="2880" w:hanging="360"/>
      </w:pPr>
      <w:rPr>
        <w:rFonts w:ascii="Symbol" w:hAnsi="Symbol" w:hint="default"/>
      </w:rPr>
    </w:lvl>
    <w:lvl w:ilvl="4" w:tplc="4370B310" w:tentative="1">
      <w:start w:val="1"/>
      <w:numFmt w:val="bullet"/>
      <w:lvlText w:val="o"/>
      <w:lvlJc w:val="left"/>
      <w:pPr>
        <w:tabs>
          <w:tab w:val="num" w:pos="3600"/>
        </w:tabs>
        <w:ind w:left="3600" w:hanging="360"/>
      </w:pPr>
      <w:rPr>
        <w:rFonts w:ascii="Courier New" w:hAnsi="Courier New" w:cs="Courier New" w:hint="default"/>
      </w:rPr>
    </w:lvl>
    <w:lvl w:ilvl="5" w:tplc="F5D2FCD6" w:tentative="1">
      <w:start w:val="1"/>
      <w:numFmt w:val="bullet"/>
      <w:lvlText w:val=""/>
      <w:lvlJc w:val="left"/>
      <w:pPr>
        <w:tabs>
          <w:tab w:val="num" w:pos="4320"/>
        </w:tabs>
        <w:ind w:left="4320" w:hanging="360"/>
      </w:pPr>
      <w:rPr>
        <w:rFonts w:ascii="Wingdings" w:hAnsi="Wingdings" w:hint="default"/>
      </w:rPr>
    </w:lvl>
    <w:lvl w:ilvl="6" w:tplc="6736E92E" w:tentative="1">
      <w:start w:val="1"/>
      <w:numFmt w:val="bullet"/>
      <w:lvlText w:val=""/>
      <w:lvlJc w:val="left"/>
      <w:pPr>
        <w:tabs>
          <w:tab w:val="num" w:pos="5040"/>
        </w:tabs>
        <w:ind w:left="5040" w:hanging="360"/>
      </w:pPr>
      <w:rPr>
        <w:rFonts w:ascii="Symbol" w:hAnsi="Symbol" w:hint="default"/>
      </w:rPr>
    </w:lvl>
    <w:lvl w:ilvl="7" w:tplc="1226B7D8" w:tentative="1">
      <w:start w:val="1"/>
      <w:numFmt w:val="bullet"/>
      <w:lvlText w:val="o"/>
      <w:lvlJc w:val="left"/>
      <w:pPr>
        <w:tabs>
          <w:tab w:val="num" w:pos="5760"/>
        </w:tabs>
        <w:ind w:left="5760" w:hanging="360"/>
      </w:pPr>
      <w:rPr>
        <w:rFonts w:ascii="Courier New" w:hAnsi="Courier New" w:cs="Courier New" w:hint="default"/>
      </w:rPr>
    </w:lvl>
    <w:lvl w:ilvl="8" w:tplc="54A6E3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706393"/>
    <w:multiLevelType w:val="multilevel"/>
    <w:tmpl w:val="EE4C9750"/>
    <w:styleLink w:val="Nummeringagenda"/>
    <w:lvl w:ilvl="0">
      <w:start w:val="1"/>
      <w:numFmt w:val="decimal"/>
      <w:lvlText w:val="%1."/>
      <w:lvlJc w:val="left"/>
      <w:pPr>
        <w:tabs>
          <w:tab w:val="num" w:pos="720"/>
        </w:tabs>
        <w:ind w:left="720" w:hanging="360"/>
      </w:pPr>
      <w:rPr>
        <w:rFonts w:ascii="Verdana" w:hAnsi="Verdana" w:cs="Times New Roman" w:hint="default"/>
        <w:sz w:val="1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1446742B"/>
    <w:multiLevelType w:val="multilevel"/>
    <w:tmpl w:val="153AD2AA"/>
    <w:lvl w:ilvl="0">
      <w:start w:val="1"/>
      <w:numFmt w:val="bullet"/>
      <w:lvlText w:val=""/>
      <w:lvlJc w:val="left"/>
      <w:pPr>
        <w:ind w:left="720" w:hanging="360"/>
      </w:pPr>
      <w:rPr>
        <w:rFonts w:ascii="Symbol" w:hAnsi="Symbol" w:hint="default"/>
        <w:sz w:val="1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84C84BFE">
      <w:start w:val="1"/>
      <w:numFmt w:val="bullet"/>
      <w:pStyle w:val="Lijstopsomteken2"/>
      <w:lvlText w:val="–"/>
      <w:lvlJc w:val="left"/>
      <w:pPr>
        <w:tabs>
          <w:tab w:val="num" w:pos="227"/>
        </w:tabs>
        <w:ind w:left="227" w:firstLine="0"/>
      </w:pPr>
      <w:rPr>
        <w:rFonts w:ascii="Verdana" w:hAnsi="Verdana" w:hint="default"/>
      </w:rPr>
    </w:lvl>
    <w:lvl w:ilvl="1" w:tplc="BE848290" w:tentative="1">
      <w:start w:val="1"/>
      <w:numFmt w:val="bullet"/>
      <w:lvlText w:val="o"/>
      <w:lvlJc w:val="left"/>
      <w:pPr>
        <w:tabs>
          <w:tab w:val="num" w:pos="1440"/>
        </w:tabs>
        <w:ind w:left="1440" w:hanging="360"/>
      </w:pPr>
      <w:rPr>
        <w:rFonts w:ascii="Courier New" w:hAnsi="Courier New" w:cs="Courier New" w:hint="default"/>
      </w:rPr>
    </w:lvl>
    <w:lvl w:ilvl="2" w:tplc="57D27512" w:tentative="1">
      <w:start w:val="1"/>
      <w:numFmt w:val="bullet"/>
      <w:lvlText w:val=""/>
      <w:lvlJc w:val="left"/>
      <w:pPr>
        <w:tabs>
          <w:tab w:val="num" w:pos="2160"/>
        </w:tabs>
        <w:ind w:left="2160" w:hanging="360"/>
      </w:pPr>
      <w:rPr>
        <w:rFonts w:ascii="Wingdings" w:hAnsi="Wingdings" w:hint="default"/>
      </w:rPr>
    </w:lvl>
    <w:lvl w:ilvl="3" w:tplc="AF0046BC" w:tentative="1">
      <w:start w:val="1"/>
      <w:numFmt w:val="bullet"/>
      <w:lvlText w:val=""/>
      <w:lvlJc w:val="left"/>
      <w:pPr>
        <w:tabs>
          <w:tab w:val="num" w:pos="2880"/>
        </w:tabs>
        <w:ind w:left="2880" w:hanging="360"/>
      </w:pPr>
      <w:rPr>
        <w:rFonts w:ascii="Symbol" w:hAnsi="Symbol" w:hint="default"/>
      </w:rPr>
    </w:lvl>
    <w:lvl w:ilvl="4" w:tplc="28A4668E" w:tentative="1">
      <w:start w:val="1"/>
      <w:numFmt w:val="bullet"/>
      <w:lvlText w:val="o"/>
      <w:lvlJc w:val="left"/>
      <w:pPr>
        <w:tabs>
          <w:tab w:val="num" w:pos="3600"/>
        </w:tabs>
        <w:ind w:left="3600" w:hanging="360"/>
      </w:pPr>
      <w:rPr>
        <w:rFonts w:ascii="Courier New" w:hAnsi="Courier New" w:cs="Courier New" w:hint="default"/>
      </w:rPr>
    </w:lvl>
    <w:lvl w:ilvl="5" w:tplc="B40CB0E8" w:tentative="1">
      <w:start w:val="1"/>
      <w:numFmt w:val="bullet"/>
      <w:lvlText w:val=""/>
      <w:lvlJc w:val="left"/>
      <w:pPr>
        <w:tabs>
          <w:tab w:val="num" w:pos="4320"/>
        </w:tabs>
        <w:ind w:left="4320" w:hanging="360"/>
      </w:pPr>
      <w:rPr>
        <w:rFonts w:ascii="Wingdings" w:hAnsi="Wingdings" w:hint="default"/>
      </w:rPr>
    </w:lvl>
    <w:lvl w:ilvl="6" w:tplc="1FCE6D2A" w:tentative="1">
      <w:start w:val="1"/>
      <w:numFmt w:val="bullet"/>
      <w:lvlText w:val=""/>
      <w:lvlJc w:val="left"/>
      <w:pPr>
        <w:tabs>
          <w:tab w:val="num" w:pos="5040"/>
        </w:tabs>
        <w:ind w:left="5040" w:hanging="360"/>
      </w:pPr>
      <w:rPr>
        <w:rFonts w:ascii="Symbol" w:hAnsi="Symbol" w:hint="default"/>
      </w:rPr>
    </w:lvl>
    <w:lvl w:ilvl="7" w:tplc="562641CC" w:tentative="1">
      <w:start w:val="1"/>
      <w:numFmt w:val="bullet"/>
      <w:lvlText w:val="o"/>
      <w:lvlJc w:val="left"/>
      <w:pPr>
        <w:tabs>
          <w:tab w:val="num" w:pos="5760"/>
        </w:tabs>
        <w:ind w:left="5760" w:hanging="360"/>
      </w:pPr>
      <w:rPr>
        <w:rFonts w:ascii="Courier New" w:hAnsi="Courier New" w:cs="Courier New" w:hint="default"/>
      </w:rPr>
    </w:lvl>
    <w:lvl w:ilvl="8" w:tplc="9A64703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481BE3"/>
    <w:multiLevelType w:val="hybridMultilevel"/>
    <w:tmpl w:val="61C2EE46"/>
    <w:lvl w:ilvl="0" w:tplc="04130001">
      <w:start w:val="1"/>
      <w:numFmt w:val="bullet"/>
      <w:lvlText w:val=""/>
      <w:lvlJc w:val="left"/>
      <w:pPr>
        <w:ind w:left="360" w:hanging="360"/>
      </w:pPr>
      <w:rPr>
        <w:rFonts w:ascii="Symbol" w:hAnsi="Symbol" w:hint="default"/>
      </w:rPr>
    </w:lvl>
    <w:lvl w:ilvl="1" w:tplc="FFFFFFFF">
      <w:start w:val="1"/>
      <w:numFmt w:val="upperLetter"/>
      <w:lvlText w:val="%2."/>
      <w:lvlJc w:val="left"/>
      <w:pPr>
        <w:ind w:left="1080" w:hanging="360"/>
      </w:pPr>
      <w:rPr>
        <w:rFonts w:ascii="Verdana" w:eastAsia="Times New Roman" w:hAnsi="Verdana" w:cs="Times New Roman"/>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D2A418A"/>
    <w:multiLevelType w:val="hybridMultilevel"/>
    <w:tmpl w:val="224894F2"/>
    <w:lvl w:ilvl="0" w:tplc="FFFFFFFF">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5103BE7"/>
    <w:multiLevelType w:val="hybridMultilevel"/>
    <w:tmpl w:val="B43633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81F1ACA"/>
    <w:multiLevelType w:val="hybridMultilevel"/>
    <w:tmpl w:val="D056F2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F2160D7"/>
    <w:multiLevelType w:val="hybridMultilevel"/>
    <w:tmpl w:val="E6D4EE08"/>
    <w:lvl w:ilvl="0" w:tplc="04130003">
      <w:start w:val="1"/>
      <w:numFmt w:val="bullet"/>
      <w:lvlText w:val="o"/>
      <w:lvlJc w:val="left"/>
      <w:pPr>
        <w:ind w:left="360" w:hanging="360"/>
      </w:pPr>
      <w:rPr>
        <w:rFonts w:ascii="Courier New" w:hAnsi="Courier New" w:cs="Courier New" w:hint="default"/>
      </w:rPr>
    </w:lvl>
    <w:lvl w:ilvl="1" w:tplc="FFFFFFFF">
      <w:start w:val="1"/>
      <w:numFmt w:val="upperLetter"/>
      <w:lvlText w:val="%2."/>
      <w:lvlJc w:val="left"/>
      <w:pPr>
        <w:ind w:left="1080" w:hanging="360"/>
      </w:pPr>
      <w:rPr>
        <w:rFonts w:ascii="Verdana" w:eastAsia="Times New Roman" w:hAnsi="Verdana" w:cs="Times New Roman"/>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CF114F"/>
    <w:multiLevelType w:val="hybridMultilevel"/>
    <w:tmpl w:val="5896C636"/>
    <w:lvl w:ilvl="0" w:tplc="26A00D96">
      <w:start w:val="1"/>
      <w:numFmt w:val="decimal"/>
      <w:lvlText w:val="%1."/>
      <w:lvlJc w:val="left"/>
      <w:pPr>
        <w:tabs>
          <w:tab w:val="num" w:pos="720"/>
        </w:tabs>
        <w:ind w:left="720" w:hanging="360"/>
      </w:pPr>
    </w:lvl>
    <w:lvl w:ilvl="1" w:tplc="AF0E24D0" w:tentative="1">
      <w:start w:val="1"/>
      <w:numFmt w:val="lowerLetter"/>
      <w:lvlText w:val="%2."/>
      <w:lvlJc w:val="left"/>
      <w:pPr>
        <w:tabs>
          <w:tab w:val="num" w:pos="1440"/>
        </w:tabs>
        <w:ind w:left="1440" w:hanging="360"/>
      </w:pPr>
    </w:lvl>
    <w:lvl w:ilvl="2" w:tplc="9F10C038" w:tentative="1">
      <w:start w:val="1"/>
      <w:numFmt w:val="lowerRoman"/>
      <w:lvlText w:val="%3."/>
      <w:lvlJc w:val="right"/>
      <w:pPr>
        <w:tabs>
          <w:tab w:val="num" w:pos="2160"/>
        </w:tabs>
        <w:ind w:left="2160" w:hanging="180"/>
      </w:pPr>
    </w:lvl>
    <w:lvl w:ilvl="3" w:tplc="C3E6FEEE" w:tentative="1">
      <w:start w:val="1"/>
      <w:numFmt w:val="decimal"/>
      <w:lvlText w:val="%4."/>
      <w:lvlJc w:val="left"/>
      <w:pPr>
        <w:tabs>
          <w:tab w:val="num" w:pos="2880"/>
        </w:tabs>
        <w:ind w:left="2880" w:hanging="360"/>
      </w:pPr>
    </w:lvl>
    <w:lvl w:ilvl="4" w:tplc="7D0EDDBA" w:tentative="1">
      <w:start w:val="1"/>
      <w:numFmt w:val="lowerLetter"/>
      <w:lvlText w:val="%5."/>
      <w:lvlJc w:val="left"/>
      <w:pPr>
        <w:tabs>
          <w:tab w:val="num" w:pos="3600"/>
        </w:tabs>
        <w:ind w:left="3600" w:hanging="360"/>
      </w:pPr>
    </w:lvl>
    <w:lvl w:ilvl="5" w:tplc="E6CCADE6" w:tentative="1">
      <w:start w:val="1"/>
      <w:numFmt w:val="lowerRoman"/>
      <w:lvlText w:val="%6."/>
      <w:lvlJc w:val="right"/>
      <w:pPr>
        <w:tabs>
          <w:tab w:val="num" w:pos="4320"/>
        </w:tabs>
        <w:ind w:left="4320" w:hanging="180"/>
      </w:pPr>
    </w:lvl>
    <w:lvl w:ilvl="6" w:tplc="FB84BFCC" w:tentative="1">
      <w:start w:val="1"/>
      <w:numFmt w:val="decimal"/>
      <w:lvlText w:val="%7."/>
      <w:lvlJc w:val="left"/>
      <w:pPr>
        <w:tabs>
          <w:tab w:val="num" w:pos="5040"/>
        </w:tabs>
        <w:ind w:left="5040" w:hanging="360"/>
      </w:pPr>
    </w:lvl>
    <w:lvl w:ilvl="7" w:tplc="6E3EDEFC" w:tentative="1">
      <w:start w:val="1"/>
      <w:numFmt w:val="lowerLetter"/>
      <w:lvlText w:val="%8."/>
      <w:lvlJc w:val="left"/>
      <w:pPr>
        <w:tabs>
          <w:tab w:val="num" w:pos="5760"/>
        </w:tabs>
        <w:ind w:left="5760" w:hanging="360"/>
      </w:pPr>
    </w:lvl>
    <w:lvl w:ilvl="8" w:tplc="2402DD02" w:tentative="1">
      <w:start w:val="1"/>
      <w:numFmt w:val="lowerRoman"/>
      <w:lvlText w:val="%9."/>
      <w:lvlJc w:val="right"/>
      <w:pPr>
        <w:tabs>
          <w:tab w:val="num" w:pos="6480"/>
        </w:tabs>
        <w:ind w:left="6480" w:hanging="180"/>
      </w:pPr>
    </w:lvl>
  </w:abstractNum>
  <w:abstractNum w:abstractNumId="22" w15:restartNumberingAfterBreak="0">
    <w:nsid w:val="5CBC72DB"/>
    <w:multiLevelType w:val="hybridMultilevel"/>
    <w:tmpl w:val="678A8620"/>
    <w:lvl w:ilvl="0" w:tplc="04130003">
      <w:start w:val="1"/>
      <w:numFmt w:val="bullet"/>
      <w:lvlText w:val="o"/>
      <w:lvlJc w:val="left"/>
      <w:pPr>
        <w:ind w:left="360" w:hanging="360"/>
      </w:pPr>
      <w:rPr>
        <w:rFonts w:ascii="Courier New" w:hAnsi="Courier New" w:cs="Courier New" w:hint="default"/>
      </w:rPr>
    </w:lvl>
    <w:lvl w:ilvl="1" w:tplc="FFFFFFFF">
      <w:start w:val="1"/>
      <w:numFmt w:val="upperLetter"/>
      <w:lvlText w:val="%2."/>
      <w:lvlJc w:val="left"/>
      <w:pPr>
        <w:ind w:left="1080" w:hanging="360"/>
      </w:pPr>
      <w:rPr>
        <w:rFonts w:ascii="Verdana" w:eastAsia="Times New Roman" w:hAnsi="Verdana" w:cs="Times New Roman"/>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047410D"/>
    <w:multiLevelType w:val="hybridMultilevel"/>
    <w:tmpl w:val="A4828BF2"/>
    <w:lvl w:ilvl="0" w:tplc="8F2C1ADE">
      <w:start w:val="1"/>
      <w:numFmt w:val="decimal"/>
      <w:lvlText w:val="%1."/>
      <w:lvlJc w:val="left"/>
      <w:pPr>
        <w:tabs>
          <w:tab w:val="num" w:pos="720"/>
        </w:tabs>
        <w:ind w:left="720" w:hanging="360"/>
      </w:pPr>
    </w:lvl>
    <w:lvl w:ilvl="1" w:tplc="0A04B02C" w:tentative="1">
      <w:start w:val="1"/>
      <w:numFmt w:val="lowerLetter"/>
      <w:lvlText w:val="%2."/>
      <w:lvlJc w:val="left"/>
      <w:pPr>
        <w:tabs>
          <w:tab w:val="num" w:pos="1440"/>
        </w:tabs>
        <w:ind w:left="1440" w:hanging="360"/>
      </w:pPr>
    </w:lvl>
    <w:lvl w:ilvl="2" w:tplc="1E0AB6B8" w:tentative="1">
      <w:start w:val="1"/>
      <w:numFmt w:val="lowerRoman"/>
      <w:lvlText w:val="%3."/>
      <w:lvlJc w:val="right"/>
      <w:pPr>
        <w:tabs>
          <w:tab w:val="num" w:pos="2160"/>
        </w:tabs>
        <w:ind w:left="2160" w:hanging="180"/>
      </w:pPr>
    </w:lvl>
    <w:lvl w:ilvl="3" w:tplc="69D8E616" w:tentative="1">
      <w:start w:val="1"/>
      <w:numFmt w:val="decimal"/>
      <w:lvlText w:val="%4."/>
      <w:lvlJc w:val="left"/>
      <w:pPr>
        <w:tabs>
          <w:tab w:val="num" w:pos="2880"/>
        </w:tabs>
        <w:ind w:left="2880" w:hanging="360"/>
      </w:pPr>
    </w:lvl>
    <w:lvl w:ilvl="4" w:tplc="915871BC" w:tentative="1">
      <w:start w:val="1"/>
      <w:numFmt w:val="lowerLetter"/>
      <w:lvlText w:val="%5."/>
      <w:lvlJc w:val="left"/>
      <w:pPr>
        <w:tabs>
          <w:tab w:val="num" w:pos="3600"/>
        </w:tabs>
        <w:ind w:left="3600" w:hanging="360"/>
      </w:pPr>
    </w:lvl>
    <w:lvl w:ilvl="5" w:tplc="95206626" w:tentative="1">
      <w:start w:val="1"/>
      <w:numFmt w:val="lowerRoman"/>
      <w:lvlText w:val="%6."/>
      <w:lvlJc w:val="right"/>
      <w:pPr>
        <w:tabs>
          <w:tab w:val="num" w:pos="4320"/>
        </w:tabs>
        <w:ind w:left="4320" w:hanging="180"/>
      </w:pPr>
    </w:lvl>
    <w:lvl w:ilvl="6" w:tplc="3A2AB8C6" w:tentative="1">
      <w:start w:val="1"/>
      <w:numFmt w:val="decimal"/>
      <w:lvlText w:val="%7."/>
      <w:lvlJc w:val="left"/>
      <w:pPr>
        <w:tabs>
          <w:tab w:val="num" w:pos="5040"/>
        </w:tabs>
        <w:ind w:left="5040" w:hanging="360"/>
      </w:pPr>
    </w:lvl>
    <w:lvl w:ilvl="7" w:tplc="10585330" w:tentative="1">
      <w:start w:val="1"/>
      <w:numFmt w:val="lowerLetter"/>
      <w:lvlText w:val="%8."/>
      <w:lvlJc w:val="left"/>
      <w:pPr>
        <w:tabs>
          <w:tab w:val="num" w:pos="5760"/>
        </w:tabs>
        <w:ind w:left="5760" w:hanging="360"/>
      </w:pPr>
    </w:lvl>
    <w:lvl w:ilvl="8" w:tplc="F13A02BA" w:tentative="1">
      <w:start w:val="1"/>
      <w:numFmt w:val="lowerRoman"/>
      <w:lvlText w:val="%9."/>
      <w:lvlJc w:val="right"/>
      <w:pPr>
        <w:tabs>
          <w:tab w:val="num" w:pos="6480"/>
        </w:tabs>
        <w:ind w:left="6480" w:hanging="180"/>
      </w:pPr>
    </w:lvl>
  </w:abstractNum>
  <w:abstractNum w:abstractNumId="24" w15:restartNumberingAfterBreak="0">
    <w:nsid w:val="6905425A"/>
    <w:multiLevelType w:val="hybridMultilevel"/>
    <w:tmpl w:val="64B877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AD244E6"/>
    <w:multiLevelType w:val="hybridMultilevel"/>
    <w:tmpl w:val="BF64FEA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ACD5F21"/>
    <w:multiLevelType w:val="hybridMultilevel"/>
    <w:tmpl w:val="EF9CF7E2"/>
    <w:lvl w:ilvl="0" w:tplc="04130003">
      <w:start w:val="1"/>
      <w:numFmt w:val="bullet"/>
      <w:lvlText w:val="o"/>
      <w:lvlJc w:val="left"/>
      <w:pPr>
        <w:ind w:left="360" w:hanging="360"/>
      </w:pPr>
      <w:rPr>
        <w:rFonts w:ascii="Courier New" w:hAnsi="Courier New" w:cs="Courier New" w:hint="default"/>
      </w:rPr>
    </w:lvl>
    <w:lvl w:ilvl="1" w:tplc="FFFFFFFF">
      <w:start w:val="1"/>
      <w:numFmt w:val="upperLetter"/>
      <w:lvlText w:val="%2."/>
      <w:lvlJc w:val="left"/>
      <w:pPr>
        <w:ind w:left="1080" w:hanging="360"/>
      </w:pPr>
      <w:rPr>
        <w:rFonts w:ascii="Verdana" w:eastAsia="Times New Roman" w:hAnsi="Verdana" w:cs="Times New Roman"/>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CDC4EC0"/>
    <w:multiLevelType w:val="hybridMultilevel"/>
    <w:tmpl w:val="BB66E202"/>
    <w:lvl w:ilvl="0" w:tplc="0164A7AC">
      <w:start w:val="1"/>
      <w:numFmt w:val="decimal"/>
      <w:lvlText w:val="%1."/>
      <w:lvlJc w:val="left"/>
      <w:pPr>
        <w:ind w:left="360" w:hanging="360"/>
      </w:pPr>
      <w:rPr>
        <w:rFonts w:ascii="Verdana" w:eastAsia="Times New Roman" w:hAnsi="Verdana" w:cs="Times New Roman"/>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D34749B"/>
    <w:multiLevelType w:val="hybridMultilevel"/>
    <w:tmpl w:val="FE024EC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D4A4B2F"/>
    <w:multiLevelType w:val="multilevel"/>
    <w:tmpl w:val="EE4C9750"/>
    <w:numStyleLink w:val="Nummeringagenda"/>
  </w:abstractNum>
  <w:abstractNum w:abstractNumId="30" w15:restartNumberingAfterBreak="0">
    <w:nsid w:val="7E7D56BB"/>
    <w:multiLevelType w:val="hybridMultilevel"/>
    <w:tmpl w:val="279606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40806805">
    <w:abstractNumId w:val="10"/>
  </w:num>
  <w:num w:numId="2" w16cid:durableId="713820154">
    <w:abstractNumId w:val="7"/>
  </w:num>
  <w:num w:numId="3" w16cid:durableId="297036952">
    <w:abstractNumId w:val="6"/>
  </w:num>
  <w:num w:numId="4" w16cid:durableId="1080710567">
    <w:abstractNumId w:val="5"/>
  </w:num>
  <w:num w:numId="5" w16cid:durableId="764351574">
    <w:abstractNumId w:val="4"/>
  </w:num>
  <w:num w:numId="6" w16cid:durableId="1618758400">
    <w:abstractNumId w:val="8"/>
  </w:num>
  <w:num w:numId="7" w16cid:durableId="975139532">
    <w:abstractNumId w:val="3"/>
  </w:num>
  <w:num w:numId="8" w16cid:durableId="1482381958">
    <w:abstractNumId w:val="2"/>
  </w:num>
  <w:num w:numId="9" w16cid:durableId="407918488">
    <w:abstractNumId w:val="1"/>
  </w:num>
  <w:num w:numId="10" w16cid:durableId="878855397">
    <w:abstractNumId w:val="0"/>
  </w:num>
  <w:num w:numId="11" w16cid:durableId="642200918">
    <w:abstractNumId w:val="9"/>
  </w:num>
  <w:num w:numId="12" w16cid:durableId="234975861">
    <w:abstractNumId w:val="13"/>
  </w:num>
  <w:num w:numId="13" w16cid:durableId="2078017421">
    <w:abstractNumId w:val="20"/>
  </w:num>
  <w:num w:numId="14" w16cid:durableId="1573008346">
    <w:abstractNumId w:val="14"/>
  </w:num>
  <w:num w:numId="15" w16cid:durableId="1563441716">
    <w:abstractNumId w:val="21"/>
  </w:num>
  <w:num w:numId="16" w16cid:durableId="793525069">
    <w:abstractNumId w:val="23"/>
  </w:num>
  <w:num w:numId="17" w16cid:durableId="1862163222">
    <w:abstractNumId w:val="11"/>
  </w:num>
  <w:num w:numId="18" w16cid:durableId="109009309">
    <w:abstractNumId w:val="29"/>
  </w:num>
  <w:num w:numId="19" w16cid:durableId="487746938">
    <w:abstractNumId w:val="27"/>
  </w:num>
  <w:num w:numId="20" w16cid:durableId="1554610005">
    <w:abstractNumId w:val="25"/>
  </w:num>
  <w:num w:numId="21" w16cid:durableId="208298974">
    <w:abstractNumId w:val="15"/>
  </w:num>
  <w:num w:numId="22" w16cid:durableId="2139520503">
    <w:abstractNumId w:val="17"/>
  </w:num>
  <w:num w:numId="23" w16cid:durableId="1690372389">
    <w:abstractNumId w:val="19"/>
  </w:num>
  <w:num w:numId="24" w16cid:durableId="895506694">
    <w:abstractNumId w:val="26"/>
  </w:num>
  <w:num w:numId="25" w16cid:durableId="2046633630">
    <w:abstractNumId w:val="22"/>
  </w:num>
  <w:num w:numId="26" w16cid:durableId="3170432">
    <w:abstractNumId w:val="24"/>
  </w:num>
  <w:num w:numId="27" w16cid:durableId="708188172">
    <w:abstractNumId w:val="16"/>
  </w:num>
  <w:num w:numId="28" w16cid:durableId="1401369901">
    <w:abstractNumId w:val="18"/>
  </w:num>
  <w:num w:numId="29" w16cid:durableId="1014068958">
    <w:abstractNumId w:val="28"/>
  </w:num>
  <w:num w:numId="30" w16cid:durableId="1668560338">
    <w:abstractNumId w:val="30"/>
  </w:num>
  <w:num w:numId="31" w16cid:durableId="189812586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D6"/>
    <w:rsid w:val="000104C9"/>
    <w:rsid w:val="00013862"/>
    <w:rsid w:val="00016012"/>
    <w:rsid w:val="00020189"/>
    <w:rsid w:val="00020EE4"/>
    <w:rsid w:val="00023E9A"/>
    <w:rsid w:val="00034A84"/>
    <w:rsid w:val="00035769"/>
    <w:rsid w:val="0003586B"/>
    <w:rsid w:val="00035E67"/>
    <w:rsid w:val="000366F3"/>
    <w:rsid w:val="00044613"/>
    <w:rsid w:val="00071F28"/>
    <w:rsid w:val="0007250C"/>
    <w:rsid w:val="00074079"/>
    <w:rsid w:val="00092799"/>
    <w:rsid w:val="00092BA7"/>
    <w:rsid w:val="00092C5F"/>
    <w:rsid w:val="00096680"/>
    <w:rsid w:val="000A174A"/>
    <w:rsid w:val="000A3E0A"/>
    <w:rsid w:val="000A4AD7"/>
    <w:rsid w:val="000A65AC"/>
    <w:rsid w:val="000B2698"/>
    <w:rsid w:val="000B7281"/>
    <w:rsid w:val="000B7FAB"/>
    <w:rsid w:val="000C3EA9"/>
    <w:rsid w:val="000D0225"/>
    <w:rsid w:val="000D119D"/>
    <w:rsid w:val="000F161D"/>
    <w:rsid w:val="000F51CD"/>
    <w:rsid w:val="00123704"/>
    <w:rsid w:val="001270C7"/>
    <w:rsid w:val="00132540"/>
    <w:rsid w:val="00132C6D"/>
    <w:rsid w:val="001379E5"/>
    <w:rsid w:val="00142A3D"/>
    <w:rsid w:val="0014786A"/>
    <w:rsid w:val="001516A4"/>
    <w:rsid w:val="00151E5F"/>
    <w:rsid w:val="001569AB"/>
    <w:rsid w:val="001612F5"/>
    <w:rsid w:val="0016624A"/>
    <w:rsid w:val="001678FF"/>
    <w:rsid w:val="001726F3"/>
    <w:rsid w:val="00174CC2"/>
    <w:rsid w:val="00176CC6"/>
    <w:rsid w:val="00181BE4"/>
    <w:rsid w:val="00184454"/>
    <w:rsid w:val="00185576"/>
    <w:rsid w:val="00185951"/>
    <w:rsid w:val="00185E38"/>
    <w:rsid w:val="00196B8B"/>
    <w:rsid w:val="001A2BEA"/>
    <w:rsid w:val="001A6D93"/>
    <w:rsid w:val="001B3E9E"/>
    <w:rsid w:val="001C32EC"/>
    <w:rsid w:val="001C4D5A"/>
    <w:rsid w:val="001C6250"/>
    <w:rsid w:val="001D69B0"/>
    <w:rsid w:val="001E0A39"/>
    <w:rsid w:val="001E34C6"/>
    <w:rsid w:val="001E4C6B"/>
    <w:rsid w:val="001E5581"/>
    <w:rsid w:val="001F2D86"/>
    <w:rsid w:val="001F3C70"/>
    <w:rsid w:val="00200D88"/>
    <w:rsid w:val="00201F68"/>
    <w:rsid w:val="0021116F"/>
    <w:rsid w:val="00212F2A"/>
    <w:rsid w:val="002134BF"/>
    <w:rsid w:val="00214F2B"/>
    <w:rsid w:val="00216BC2"/>
    <w:rsid w:val="00217880"/>
    <w:rsid w:val="002309A8"/>
    <w:rsid w:val="00231D93"/>
    <w:rsid w:val="00231E07"/>
    <w:rsid w:val="00236CFE"/>
    <w:rsid w:val="00237AA0"/>
    <w:rsid w:val="00237C0C"/>
    <w:rsid w:val="00241498"/>
    <w:rsid w:val="002428E3"/>
    <w:rsid w:val="0024588C"/>
    <w:rsid w:val="00260BAF"/>
    <w:rsid w:val="0026208B"/>
    <w:rsid w:val="0026395E"/>
    <w:rsid w:val="002650F7"/>
    <w:rsid w:val="00273F3B"/>
    <w:rsid w:val="00274DB7"/>
    <w:rsid w:val="00275984"/>
    <w:rsid w:val="00280F74"/>
    <w:rsid w:val="002831C3"/>
    <w:rsid w:val="0028628B"/>
    <w:rsid w:val="00286998"/>
    <w:rsid w:val="00291AB7"/>
    <w:rsid w:val="0029422B"/>
    <w:rsid w:val="002A0384"/>
    <w:rsid w:val="002A4E76"/>
    <w:rsid w:val="002B153C"/>
    <w:rsid w:val="002B1D01"/>
    <w:rsid w:val="002C1738"/>
    <w:rsid w:val="002C2830"/>
    <w:rsid w:val="002C2CFD"/>
    <w:rsid w:val="002C533C"/>
    <w:rsid w:val="002C6965"/>
    <w:rsid w:val="002D001A"/>
    <w:rsid w:val="002D317B"/>
    <w:rsid w:val="002D3587"/>
    <w:rsid w:val="002D502D"/>
    <w:rsid w:val="002D71E2"/>
    <w:rsid w:val="002E0F69"/>
    <w:rsid w:val="002E1A63"/>
    <w:rsid w:val="002F39A6"/>
    <w:rsid w:val="002F5147"/>
    <w:rsid w:val="002F69E3"/>
    <w:rsid w:val="002F7084"/>
    <w:rsid w:val="00300A1B"/>
    <w:rsid w:val="00312072"/>
    <w:rsid w:val="00312597"/>
    <w:rsid w:val="00314870"/>
    <w:rsid w:val="003211AD"/>
    <w:rsid w:val="0032490A"/>
    <w:rsid w:val="00334154"/>
    <w:rsid w:val="00334F55"/>
    <w:rsid w:val="00341FA0"/>
    <w:rsid w:val="00346772"/>
    <w:rsid w:val="00352BCF"/>
    <w:rsid w:val="00353932"/>
    <w:rsid w:val="0035464B"/>
    <w:rsid w:val="00356B39"/>
    <w:rsid w:val="0036252A"/>
    <w:rsid w:val="00364D9D"/>
    <w:rsid w:val="00367454"/>
    <w:rsid w:val="003709A1"/>
    <w:rsid w:val="0037421D"/>
    <w:rsid w:val="00374C4C"/>
    <w:rsid w:val="00383DA1"/>
    <w:rsid w:val="0039361F"/>
    <w:rsid w:val="00393963"/>
    <w:rsid w:val="00395575"/>
    <w:rsid w:val="00395672"/>
    <w:rsid w:val="00396871"/>
    <w:rsid w:val="003A06C8"/>
    <w:rsid w:val="003A0D7C"/>
    <w:rsid w:val="003A5288"/>
    <w:rsid w:val="003B02CD"/>
    <w:rsid w:val="003B7675"/>
    <w:rsid w:val="003B7EE7"/>
    <w:rsid w:val="003C2CCB"/>
    <w:rsid w:val="003C6804"/>
    <w:rsid w:val="003D176B"/>
    <w:rsid w:val="003D39EC"/>
    <w:rsid w:val="003E3DD5"/>
    <w:rsid w:val="003F07C6"/>
    <w:rsid w:val="003F13BB"/>
    <w:rsid w:val="003F1F6B"/>
    <w:rsid w:val="003F3757"/>
    <w:rsid w:val="003F44B7"/>
    <w:rsid w:val="003F6262"/>
    <w:rsid w:val="003F6572"/>
    <w:rsid w:val="0040329B"/>
    <w:rsid w:val="00413D48"/>
    <w:rsid w:val="00441AC2"/>
    <w:rsid w:val="0044249B"/>
    <w:rsid w:val="0045023C"/>
    <w:rsid w:val="00451A5B"/>
    <w:rsid w:val="00452BCD"/>
    <w:rsid w:val="00452CEA"/>
    <w:rsid w:val="00465B52"/>
    <w:rsid w:val="0046708E"/>
    <w:rsid w:val="00474463"/>
    <w:rsid w:val="00474B75"/>
    <w:rsid w:val="00483F0B"/>
    <w:rsid w:val="004846FE"/>
    <w:rsid w:val="00484957"/>
    <w:rsid w:val="00485395"/>
    <w:rsid w:val="004869B2"/>
    <w:rsid w:val="00496319"/>
    <w:rsid w:val="004A52B1"/>
    <w:rsid w:val="004B5465"/>
    <w:rsid w:val="004C2ACE"/>
    <w:rsid w:val="004C5FEA"/>
    <w:rsid w:val="004C686B"/>
    <w:rsid w:val="004D505E"/>
    <w:rsid w:val="004D72CA"/>
    <w:rsid w:val="004E2242"/>
    <w:rsid w:val="004E3E57"/>
    <w:rsid w:val="004F0877"/>
    <w:rsid w:val="004F42FF"/>
    <w:rsid w:val="004F44C2"/>
    <w:rsid w:val="00500049"/>
    <w:rsid w:val="00505874"/>
    <w:rsid w:val="00507E34"/>
    <w:rsid w:val="00516022"/>
    <w:rsid w:val="00521CEE"/>
    <w:rsid w:val="00523F46"/>
    <w:rsid w:val="005265D9"/>
    <w:rsid w:val="005306D3"/>
    <w:rsid w:val="00533FB9"/>
    <w:rsid w:val="00541FE7"/>
    <w:rsid w:val="005429DC"/>
    <w:rsid w:val="00551C3A"/>
    <w:rsid w:val="00554E13"/>
    <w:rsid w:val="005558E0"/>
    <w:rsid w:val="00573041"/>
    <w:rsid w:val="00575B80"/>
    <w:rsid w:val="005819CE"/>
    <w:rsid w:val="0058298D"/>
    <w:rsid w:val="0059136E"/>
    <w:rsid w:val="00592F9F"/>
    <w:rsid w:val="00593C2B"/>
    <w:rsid w:val="00596166"/>
    <w:rsid w:val="005C3F39"/>
    <w:rsid w:val="005C3FE0"/>
    <w:rsid w:val="005C4A05"/>
    <w:rsid w:val="005C740C"/>
    <w:rsid w:val="005D2E9E"/>
    <w:rsid w:val="005D625B"/>
    <w:rsid w:val="005E27A3"/>
    <w:rsid w:val="005F1DBC"/>
    <w:rsid w:val="005F6D11"/>
    <w:rsid w:val="00600B57"/>
    <w:rsid w:val="00600CF0"/>
    <w:rsid w:val="006022BA"/>
    <w:rsid w:val="006048F4"/>
    <w:rsid w:val="00604CD1"/>
    <w:rsid w:val="0060660A"/>
    <w:rsid w:val="00607DD5"/>
    <w:rsid w:val="0061683B"/>
    <w:rsid w:val="00617A44"/>
    <w:rsid w:val="006202B6"/>
    <w:rsid w:val="00622291"/>
    <w:rsid w:val="00625CD0"/>
    <w:rsid w:val="00627432"/>
    <w:rsid w:val="00631090"/>
    <w:rsid w:val="006425CB"/>
    <w:rsid w:val="006448E4"/>
    <w:rsid w:val="0064673A"/>
    <w:rsid w:val="0064767E"/>
    <w:rsid w:val="0065066C"/>
    <w:rsid w:val="00653606"/>
    <w:rsid w:val="00661591"/>
    <w:rsid w:val="0066195F"/>
    <w:rsid w:val="0066632F"/>
    <w:rsid w:val="00672F70"/>
    <w:rsid w:val="00674A89"/>
    <w:rsid w:val="00676C16"/>
    <w:rsid w:val="00685545"/>
    <w:rsid w:val="006864B3"/>
    <w:rsid w:val="006A10F8"/>
    <w:rsid w:val="006A2100"/>
    <w:rsid w:val="006A7295"/>
    <w:rsid w:val="006B0209"/>
    <w:rsid w:val="006B0BF3"/>
    <w:rsid w:val="006B1D6E"/>
    <w:rsid w:val="006B775E"/>
    <w:rsid w:val="006C2535"/>
    <w:rsid w:val="006C441E"/>
    <w:rsid w:val="006C4B90"/>
    <w:rsid w:val="006C713E"/>
    <w:rsid w:val="006D1016"/>
    <w:rsid w:val="006D17F2"/>
    <w:rsid w:val="006E3546"/>
    <w:rsid w:val="006E3FA9"/>
    <w:rsid w:val="006E7A44"/>
    <w:rsid w:val="006E7D82"/>
    <w:rsid w:val="006F0F93"/>
    <w:rsid w:val="006F31F2"/>
    <w:rsid w:val="00703FD6"/>
    <w:rsid w:val="007111DD"/>
    <w:rsid w:val="00711DF6"/>
    <w:rsid w:val="00714DC5"/>
    <w:rsid w:val="00715237"/>
    <w:rsid w:val="00715C3A"/>
    <w:rsid w:val="0072232C"/>
    <w:rsid w:val="00722CA6"/>
    <w:rsid w:val="007254A5"/>
    <w:rsid w:val="00725748"/>
    <w:rsid w:val="00725EA5"/>
    <w:rsid w:val="00732028"/>
    <w:rsid w:val="00735D88"/>
    <w:rsid w:val="0073720D"/>
    <w:rsid w:val="00737507"/>
    <w:rsid w:val="007402E0"/>
    <w:rsid w:val="00740712"/>
    <w:rsid w:val="00742AB9"/>
    <w:rsid w:val="00743023"/>
    <w:rsid w:val="007454D4"/>
    <w:rsid w:val="00745AC1"/>
    <w:rsid w:val="00746233"/>
    <w:rsid w:val="00754FBF"/>
    <w:rsid w:val="0075648C"/>
    <w:rsid w:val="00761538"/>
    <w:rsid w:val="0077006F"/>
    <w:rsid w:val="007709EF"/>
    <w:rsid w:val="00783559"/>
    <w:rsid w:val="007952D9"/>
    <w:rsid w:val="00797AA5"/>
    <w:rsid w:val="007A4105"/>
    <w:rsid w:val="007A7DA3"/>
    <w:rsid w:val="007B3CE1"/>
    <w:rsid w:val="007B4503"/>
    <w:rsid w:val="007B69D9"/>
    <w:rsid w:val="007C406E"/>
    <w:rsid w:val="007C5183"/>
    <w:rsid w:val="007D0050"/>
    <w:rsid w:val="007D0A6B"/>
    <w:rsid w:val="007D1311"/>
    <w:rsid w:val="007D21B7"/>
    <w:rsid w:val="007D72D7"/>
    <w:rsid w:val="007E2B20"/>
    <w:rsid w:val="007F2868"/>
    <w:rsid w:val="007F5331"/>
    <w:rsid w:val="007F7E17"/>
    <w:rsid w:val="00800CCA"/>
    <w:rsid w:val="00802763"/>
    <w:rsid w:val="00806120"/>
    <w:rsid w:val="00812028"/>
    <w:rsid w:val="00813082"/>
    <w:rsid w:val="00814D03"/>
    <w:rsid w:val="0081547C"/>
    <w:rsid w:val="00816D33"/>
    <w:rsid w:val="00823AE2"/>
    <w:rsid w:val="0083178B"/>
    <w:rsid w:val="00833246"/>
    <w:rsid w:val="00833695"/>
    <w:rsid w:val="008336B7"/>
    <w:rsid w:val="00833872"/>
    <w:rsid w:val="00833A8E"/>
    <w:rsid w:val="00834CAD"/>
    <w:rsid w:val="008426EA"/>
    <w:rsid w:val="00842CD8"/>
    <w:rsid w:val="008431FA"/>
    <w:rsid w:val="00853234"/>
    <w:rsid w:val="008547BA"/>
    <w:rsid w:val="008553C7"/>
    <w:rsid w:val="00857D99"/>
    <w:rsid w:val="00857FEB"/>
    <w:rsid w:val="008601AF"/>
    <w:rsid w:val="00861833"/>
    <w:rsid w:val="00863AA8"/>
    <w:rsid w:val="00872271"/>
    <w:rsid w:val="00881F19"/>
    <w:rsid w:val="00882623"/>
    <w:rsid w:val="00890FB6"/>
    <w:rsid w:val="008A28F5"/>
    <w:rsid w:val="008B3929"/>
    <w:rsid w:val="008B4CB3"/>
    <w:rsid w:val="008B7B24"/>
    <w:rsid w:val="008C356D"/>
    <w:rsid w:val="008C46DF"/>
    <w:rsid w:val="008D15A5"/>
    <w:rsid w:val="008D6C99"/>
    <w:rsid w:val="008E3B63"/>
    <w:rsid w:val="008E49AD"/>
    <w:rsid w:val="008F2064"/>
    <w:rsid w:val="008F2731"/>
    <w:rsid w:val="008F3246"/>
    <w:rsid w:val="008F3C1B"/>
    <w:rsid w:val="008F3FFE"/>
    <w:rsid w:val="008F41D7"/>
    <w:rsid w:val="008F508C"/>
    <w:rsid w:val="0090271B"/>
    <w:rsid w:val="00904941"/>
    <w:rsid w:val="00910642"/>
    <w:rsid w:val="00910DDF"/>
    <w:rsid w:val="00916B2E"/>
    <w:rsid w:val="00925121"/>
    <w:rsid w:val="009311C8"/>
    <w:rsid w:val="00932581"/>
    <w:rsid w:val="00933376"/>
    <w:rsid w:val="00933A2F"/>
    <w:rsid w:val="00943D63"/>
    <w:rsid w:val="009517CD"/>
    <w:rsid w:val="0095762F"/>
    <w:rsid w:val="009718F9"/>
    <w:rsid w:val="00972FB9"/>
    <w:rsid w:val="00973727"/>
    <w:rsid w:val="00975112"/>
    <w:rsid w:val="00976511"/>
    <w:rsid w:val="009809C0"/>
    <w:rsid w:val="00981768"/>
    <w:rsid w:val="009839D2"/>
    <w:rsid w:val="00983E8F"/>
    <w:rsid w:val="00994FDA"/>
    <w:rsid w:val="009A2586"/>
    <w:rsid w:val="009A2FD7"/>
    <w:rsid w:val="009A3B71"/>
    <w:rsid w:val="009A61BC"/>
    <w:rsid w:val="009B0138"/>
    <w:rsid w:val="009B0FE9"/>
    <w:rsid w:val="009C3F20"/>
    <w:rsid w:val="009C7CA1"/>
    <w:rsid w:val="009D043D"/>
    <w:rsid w:val="009D58AC"/>
    <w:rsid w:val="009D5D50"/>
    <w:rsid w:val="009F3259"/>
    <w:rsid w:val="009F7FB7"/>
    <w:rsid w:val="00A0295A"/>
    <w:rsid w:val="00A128AD"/>
    <w:rsid w:val="00A12A4D"/>
    <w:rsid w:val="00A149E2"/>
    <w:rsid w:val="00A15D93"/>
    <w:rsid w:val="00A165F6"/>
    <w:rsid w:val="00A21E76"/>
    <w:rsid w:val="00A22FA9"/>
    <w:rsid w:val="00A23BC8"/>
    <w:rsid w:val="00A2457A"/>
    <w:rsid w:val="00A24F15"/>
    <w:rsid w:val="00A27CE4"/>
    <w:rsid w:val="00A30935"/>
    <w:rsid w:val="00A30E68"/>
    <w:rsid w:val="00A31933"/>
    <w:rsid w:val="00A34AA0"/>
    <w:rsid w:val="00A34B31"/>
    <w:rsid w:val="00A41FE2"/>
    <w:rsid w:val="00A473FF"/>
    <w:rsid w:val="00A47948"/>
    <w:rsid w:val="00A50824"/>
    <w:rsid w:val="00A547F6"/>
    <w:rsid w:val="00A56946"/>
    <w:rsid w:val="00A63B8C"/>
    <w:rsid w:val="00A76080"/>
    <w:rsid w:val="00A77F6F"/>
    <w:rsid w:val="00A831FD"/>
    <w:rsid w:val="00A9016E"/>
    <w:rsid w:val="00A919EE"/>
    <w:rsid w:val="00A91FA3"/>
    <w:rsid w:val="00AA7FC9"/>
    <w:rsid w:val="00AB237D"/>
    <w:rsid w:val="00AB34C4"/>
    <w:rsid w:val="00AB5933"/>
    <w:rsid w:val="00AD19E2"/>
    <w:rsid w:val="00AE013D"/>
    <w:rsid w:val="00AE0D4B"/>
    <w:rsid w:val="00AE11B7"/>
    <w:rsid w:val="00AE2171"/>
    <w:rsid w:val="00AF06E5"/>
    <w:rsid w:val="00AF070B"/>
    <w:rsid w:val="00AF13DA"/>
    <w:rsid w:val="00AF52F6"/>
    <w:rsid w:val="00AF7237"/>
    <w:rsid w:val="00AF78B4"/>
    <w:rsid w:val="00B0043A"/>
    <w:rsid w:val="00B00D75"/>
    <w:rsid w:val="00B03C09"/>
    <w:rsid w:val="00B05FCD"/>
    <w:rsid w:val="00B070CB"/>
    <w:rsid w:val="00B1021F"/>
    <w:rsid w:val="00B259C8"/>
    <w:rsid w:val="00B26CCF"/>
    <w:rsid w:val="00B349FA"/>
    <w:rsid w:val="00B34C10"/>
    <w:rsid w:val="00B37096"/>
    <w:rsid w:val="00B421C6"/>
    <w:rsid w:val="00B425F0"/>
    <w:rsid w:val="00B42DFA"/>
    <w:rsid w:val="00B44934"/>
    <w:rsid w:val="00B45A43"/>
    <w:rsid w:val="00B531DD"/>
    <w:rsid w:val="00B55014"/>
    <w:rsid w:val="00B62232"/>
    <w:rsid w:val="00B71DC2"/>
    <w:rsid w:val="00B8065E"/>
    <w:rsid w:val="00B832B9"/>
    <w:rsid w:val="00B93893"/>
    <w:rsid w:val="00B94A0B"/>
    <w:rsid w:val="00B95BDB"/>
    <w:rsid w:val="00BA5903"/>
    <w:rsid w:val="00BC164E"/>
    <w:rsid w:val="00BC23AC"/>
    <w:rsid w:val="00BC3B53"/>
    <w:rsid w:val="00BC3B96"/>
    <w:rsid w:val="00BC4AE3"/>
    <w:rsid w:val="00BE3F88"/>
    <w:rsid w:val="00BE4756"/>
    <w:rsid w:val="00BE5ED9"/>
    <w:rsid w:val="00BE77D3"/>
    <w:rsid w:val="00BE7B41"/>
    <w:rsid w:val="00BF5723"/>
    <w:rsid w:val="00C06B73"/>
    <w:rsid w:val="00C1212C"/>
    <w:rsid w:val="00C206F1"/>
    <w:rsid w:val="00C20B57"/>
    <w:rsid w:val="00C217E1"/>
    <w:rsid w:val="00C40C60"/>
    <w:rsid w:val="00C47047"/>
    <w:rsid w:val="00C50B53"/>
    <w:rsid w:val="00C5258E"/>
    <w:rsid w:val="00C60224"/>
    <w:rsid w:val="00C72038"/>
    <w:rsid w:val="00C97C80"/>
    <w:rsid w:val="00CA0EB1"/>
    <w:rsid w:val="00CA47D3"/>
    <w:rsid w:val="00CA6A3F"/>
    <w:rsid w:val="00CA78C2"/>
    <w:rsid w:val="00CA7C99"/>
    <w:rsid w:val="00CB54A0"/>
    <w:rsid w:val="00CB7ABA"/>
    <w:rsid w:val="00CD362D"/>
    <w:rsid w:val="00CD6935"/>
    <w:rsid w:val="00CE1C84"/>
    <w:rsid w:val="00CF053F"/>
    <w:rsid w:val="00CF2777"/>
    <w:rsid w:val="00D00B01"/>
    <w:rsid w:val="00D0609E"/>
    <w:rsid w:val="00D078E1"/>
    <w:rsid w:val="00D100E9"/>
    <w:rsid w:val="00D21E4B"/>
    <w:rsid w:val="00D23522"/>
    <w:rsid w:val="00D264D6"/>
    <w:rsid w:val="00D27A8B"/>
    <w:rsid w:val="00D33BF0"/>
    <w:rsid w:val="00D516BE"/>
    <w:rsid w:val="00D5423B"/>
    <w:rsid w:val="00D54F4E"/>
    <w:rsid w:val="00D60BA4"/>
    <w:rsid w:val="00D62419"/>
    <w:rsid w:val="00D65A9F"/>
    <w:rsid w:val="00D77870"/>
    <w:rsid w:val="00D80CCE"/>
    <w:rsid w:val="00D87D03"/>
    <w:rsid w:val="00D958E0"/>
    <w:rsid w:val="00D95C88"/>
    <w:rsid w:val="00D96747"/>
    <w:rsid w:val="00D970AE"/>
    <w:rsid w:val="00D97B2E"/>
    <w:rsid w:val="00DA7A38"/>
    <w:rsid w:val="00DB06C5"/>
    <w:rsid w:val="00DB36FE"/>
    <w:rsid w:val="00DB5138"/>
    <w:rsid w:val="00DB533A"/>
    <w:rsid w:val="00DD66F2"/>
    <w:rsid w:val="00DE3FE0"/>
    <w:rsid w:val="00DE578A"/>
    <w:rsid w:val="00DF1E82"/>
    <w:rsid w:val="00DF2583"/>
    <w:rsid w:val="00DF33EA"/>
    <w:rsid w:val="00DF5450"/>
    <w:rsid w:val="00DF54D9"/>
    <w:rsid w:val="00E01A59"/>
    <w:rsid w:val="00E0640A"/>
    <w:rsid w:val="00E10DC6"/>
    <w:rsid w:val="00E11F8E"/>
    <w:rsid w:val="00E21DE3"/>
    <w:rsid w:val="00E22F2D"/>
    <w:rsid w:val="00E3731D"/>
    <w:rsid w:val="00E50E7A"/>
    <w:rsid w:val="00E51469"/>
    <w:rsid w:val="00E634E3"/>
    <w:rsid w:val="00E650EA"/>
    <w:rsid w:val="00E71684"/>
    <w:rsid w:val="00E7650D"/>
    <w:rsid w:val="00E77F89"/>
    <w:rsid w:val="00E77FBA"/>
    <w:rsid w:val="00E80E71"/>
    <w:rsid w:val="00E83243"/>
    <w:rsid w:val="00E850D3"/>
    <w:rsid w:val="00E876B9"/>
    <w:rsid w:val="00EB458F"/>
    <w:rsid w:val="00EC0DFF"/>
    <w:rsid w:val="00EC219F"/>
    <w:rsid w:val="00EC237D"/>
    <w:rsid w:val="00EC4AA5"/>
    <w:rsid w:val="00EC4D0E"/>
    <w:rsid w:val="00ED072A"/>
    <w:rsid w:val="00EE4A1F"/>
    <w:rsid w:val="00EE4C2D"/>
    <w:rsid w:val="00EF1046"/>
    <w:rsid w:val="00EF1B5A"/>
    <w:rsid w:val="00EF24FB"/>
    <w:rsid w:val="00EF2CCA"/>
    <w:rsid w:val="00F0379C"/>
    <w:rsid w:val="00F03963"/>
    <w:rsid w:val="00F11068"/>
    <w:rsid w:val="00F1256D"/>
    <w:rsid w:val="00F13A4E"/>
    <w:rsid w:val="00F172BB"/>
    <w:rsid w:val="00F17B10"/>
    <w:rsid w:val="00F21BEF"/>
    <w:rsid w:val="00F35E47"/>
    <w:rsid w:val="00F432DA"/>
    <w:rsid w:val="00F4370A"/>
    <w:rsid w:val="00F44D1B"/>
    <w:rsid w:val="00F45A25"/>
    <w:rsid w:val="00F50590"/>
    <w:rsid w:val="00F50F86"/>
    <w:rsid w:val="00F52AB0"/>
    <w:rsid w:val="00F53F91"/>
    <w:rsid w:val="00F61610"/>
    <w:rsid w:val="00F61A72"/>
    <w:rsid w:val="00F62B67"/>
    <w:rsid w:val="00F66F13"/>
    <w:rsid w:val="00F74073"/>
    <w:rsid w:val="00F75603"/>
    <w:rsid w:val="00F845B4"/>
    <w:rsid w:val="00F86AA4"/>
    <w:rsid w:val="00F8713B"/>
    <w:rsid w:val="00F93F9E"/>
    <w:rsid w:val="00F9751C"/>
    <w:rsid w:val="00FA2CD7"/>
    <w:rsid w:val="00FB06ED"/>
    <w:rsid w:val="00FB44E8"/>
    <w:rsid w:val="00FC3165"/>
    <w:rsid w:val="00FC36AB"/>
    <w:rsid w:val="00FC7913"/>
    <w:rsid w:val="00FC7F66"/>
    <w:rsid w:val="00FE1CB6"/>
    <w:rsid w:val="00FE486B"/>
    <w:rsid w:val="00FE4F08"/>
    <w:rsid w:val="00FF0B3C"/>
    <w:rsid w:val="00FF2ECD"/>
    <w:rsid w:val="0EC206C1"/>
    <w:rsid w:val="25F2DABA"/>
    <w:rsid w:val="2DBD033A"/>
    <w:rsid w:val="39C623CE"/>
    <w:rsid w:val="3B3FFD68"/>
    <w:rsid w:val="5784E2AE"/>
    <w:rsid w:val="5F195141"/>
    <w:rsid w:val="61B2C77F"/>
    <w:rsid w:val="6CF541F9"/>
    <w:rsid w:val="7E94F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C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numbering" w:customStyle="1" w:styleId="Nummeringagenda">
    <w:name w:val="Nummering agenda"/>
    <w:basedOn w:val="Geenlijst"/>
    <w:rsid w:val="008426EA"/>
    <w:pPr>
      <w:numPr>
        <w:numId w:val="17"/>
      </w:numPr>
    </w:pPr>
  </w:style>
  <w:style w:type="character" w:styleId="Tekstvantijdelijkeaanduiding">
    <w:name w:val="Placeholder Text"/>
    <w:basedOn w:val="Standaardalinea-lettertype"/>
    <w:uiPriority w:val="99"/>
    <w:semiHidden/>
    <w:rsid w:val="007A7DA3"/>
    <w:rPr>
      <w:color w:val="808080"/>
    </w:rPr>
  </w:style>
  <w:style w:type="paragraph" w:styleId="Ballontekst">
    <w:name w:val="Balloon Text"/>
    <w:basedOn w:val="Standaard"/>
    <w:link w:val="BallontekstChar"/>
    <w:rsid w:val="007F7E17"/>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7F7E17"/>
    <w:rPr>
      <w:rFonts w:ascii="Segoe UI" w:hAnsi="Segoe UI" w:cs="Segoe UI"/>
      <w:sz w:val="18"/>
      <w:szCs w:val="18"/>
      <w:lang w:val="nl-NL" w:eastAsia="nl-NL"/>
    </w:rPr>
  </w:style>
  <w:style w:type="character" w:customStyle="1" w:styleId="HeaderChar">
    <w:name w:val="Header Char"/>
    <w:basedOn w:val="Standaardalinea-lettertype"/>
    <w:rsid w:val="00841CD9"/>
    <w:rPr>
      <w:rFonts w:ascii="Verdana" w:eastAsia="Times New Roman" w:hAnsi="Verdana" w:cs="Times New Roman"/>
      <w:sz w:val="18"/>
      <w:szCs w:val="24"/>
      <w:lang w:val="nl-NL" w:eastAsia="nl-NL"/>
    </w:rPr>
  </w:style>
  <w:style w:type="character" w:customStyle="1" w:styleId="Heading1Char">
    <w:name w:val="Heading 1 Char"/>
    <w:basedOn w:val="Standaardalinea-lettertype"/>
    <w:rsid w:val="00841CD9"/>
    <w:rPr>
      <w:rFonts w:ascii="Verdana" w:eastAsia="Times New Roman" w:hAnsi="Verdana" w:cs="Arial"/>
      <w:b/>
      <w:bCs/>
      <w:kern w:val="32"/>
      <w:sz w:val="32"/>
      <w:szCs w:val="32"/>
      <w:lang w:val="nl-NL" w:eastAsia="nl-NL"/>
    </w:rPr>
  </w:style>
  <w:style w:type="character" w:customStyle="1" w:styleId="Heading2Char">
    <w:name w:val="Heading 2 Char"/>
    <w:basedOn w:val="Standaardalinea-lettertype"/>
    <w:rsid w:val="00841CD9"/>
    <w:rPr>
      <w:rFonts w:ascii="Verdana" w:eastAsia="Times New Roman" w:hAnsi="Verdana" w:cs="Arial"/>
      <w:b/>
      <w:bCs/>
      <w:i/>
      <w:iCs/>
      <w:sz w:val="28"/>
      <w:szCs w:val="28"/>
      <w:lang w:val="nl-NL" w:eastAsia="nl-NL"/>
    </w:rPr>
  </w:style>
  <w:style w:type="character" w:customStyle="1" w:styleId="Heading3Char">
    <w:name w:val="Heading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FooterChar">
    <w:name w:val="Footer Char"/>
    <w:basedOn w:val="Standaardalinea-lettertype"/>
    <w:rsid w:val="00DE555F"/>
    <w:rPr>
      <w:rFonts w:ascii="Verdana" w:eastAsia="Times New Roman" w:hAnsi="Verdana" w:cs="Times New Roman"/>
      <w:sz w:val="18"/>
      <w:szCs w:val="24"/>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672F70"/>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672F70"/>
    <w:rPr>
      <w:rFonts w:ascii="Verdana" w:hAnsi="Verdana"/>
      <w:sz w:val="18"/>
      <w:szCs w:val="24"/>
      <w:lang w:val="nl-NL" w:eastAsia="nl-NL"/>
    </w:rPr>
  </w:style>
  <w:style w:type="character" w:styleId="Verwijzingopmerking">
    <w:name w:val="annotation reference"/>
    <w:basedOn w:val="Standaardalinea-lettertype"/>
    <w:semiHidden/>
    <w:unhideWhenUsed/>
    <w:rsid w:val="00672F70"/>
    <w:rPr>
      <w:sz w:val="16"/>
      <w:szCs w:val="16"/>
    </w:rPr>
  </w:style>
  <w:style w:type="paragraph" w:styleId="Tekstopmerking">
    <w:name w:val="annotation text"/>
    <w:basedOn w:val="Standaard"/>
    <w:link w:val="TekstopmerkingChar"/>
    <w:unhideWhenUsed/>
    <w:rsid w:val="00672F70"/>
    <w:pPr>
      <w:spacing w:line="240" w:lineRule="auto"/>
    </w:pPr>
    <w:rPr>
      <w:sz w:val="20"/>
      <w:szCs w:val="20"/>
    </w:rPr>
  </w:style>
  <w:style w:type="character" w:customStyle="1" w:styleId="TekstopmerkingChar">
    <w:name w:val="Tekst opmerking Char"/>
    <w:basedOn w:val="Standaardalinea-lettertype"/>
    <w:link w:val="Tekstopmerking"/>
    <w:rsid w:val="00672F70"/>
    <w:rPr>
      <w:rFonts w:ascii="Verdana" w:hAnsi="Verdana"/>
      <w:lang w:val="nl-NL" w:eastAsia="nl-NL"/>
    </w:rPr>
  </w:style>
  <w:style w:type="paragraph" w:styleId="Geenafstand">
    <w:name w:val="No Spacing"/>
    <w:uiPriority w:val="1"/>
    <w:qFormat/>
    <w:rsid w:val="00672F70"/>
    <w:rPr>
      <w:rFonts w:ascii="Verdana" w:eastAsiaTheme="minorHAnsi" w:hAnsi="Verdana" w:cstheme="minorBidi"/>
      <w:kern w:val="2"/>
      <w:sz w:val="18"/>
      <w:szCs w:val="22"/>
      <w:lang w:val="nl-NL"/>
      <w14:ligatures w14:val="standardContextual"/>
    </w:rPr>
  </w:style>
  <w:style w:type="table" w:styleId="Rastertabel5donker-Accent1">
    <w:name w:val="Grid Table 5 Dark Accent 1"/>
    <w:basedOn w:val="Standaardtabel"/>
    <w:uiPriority w:val="50"/>
    <w:rsid w:val="007B69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Vermelding">
    <w:name w:val="Mention"/>
    <w:basedOn w:val="Standaardalinea-lettertype"/>
    <w:uiPriority w:val="99"/>
    <w:unhideWhenUsed/>
    <w:rsid w:val="00D958E0"/>
    <w:rPr>
      <w:color w:val="2B579A"/>
      <w:shd w:val="clear" w:color="auto" w:fill="E1DFDD"/>
    </w:rPr>
  </w:style>
  <w:style w:type="paragraph" w:styleId="Onderwerpvanopmerking">
    <w:name w:val="annotation subject"/>
    <w:basedOn w:val="Tekstopmerking"/>
    <w:next w:val="Tekstopmerking"/>
    <w:link w:val="OnderwerpvanopmerkingChar"/>
    <w:semiHidden/>
    <w:unhideWhenUsed/>
    <w:rsid w:val="0064673A"/>
    <w:rPr>
      <w:b/>
      <w:bCs/>
    </w:rPr>
  </w:style>
  <w:style w:type="character" w:customStyle="1" w:styleId="OnderwerpvanopmerkingChar">
    <w:name w:val="Onderwerp van opmerking Char"/>
    <w:basedOn w:val="TekstopmerkingChar"/>
    <w:link w:val="Onderwerpvanopmerking"/>
    <w:semiHidden/>
    <w:rsid w:val="0064673A"/>
    <w:rPr>
      <w:rFonts w:ascii="Verdana" w:hAnsi="Verdana"/>
      <w:b/>
      <w:bCs/>
      <w:lang w:val="nl-NL" w:eastAsia="nl-NL"/>
    </w:rPr>
  </w:style>
  <w:style w:type="character" w:customStyle="1" w:styleId="cf01">
    <w:name w:val="cf01"/>
    <w:basedOn w:val="Standaardalinea-lettertype"/>
    <w:uiPriority w:val="1"/>
    <w:rsid w:val="6CF541F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2254</ap:Words>
  <ap:Characters>13455</ap:Characters>
  <ap:DocSecurity>0</ap:DocSecurity>
  <ap:Lines>112</ap:Lines>
  <ap:Paragraphs>31</ap:Paragraphs>
  <ap:ScaleCrop>false</ap:ScaleCrop>
  <ap:LinksUpToDate>false</ap:LinksUpToDate>
  <ap:CharactersWithSpaces>15678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2025-06-02T14:04:00.0000000Z</dcterms:created>
  <dcterms:modified xsi:type="dcterms:W3CDTF">2025-06-02T14:04:00.0000000Z</dcterms:modified>
  <dc:description>------------------------</dc:description>
  <dc:subject/>
  <keywords/>
  <version/>
  <category/>
</coreProperties>
</file>