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330A" w:rsidR="00766594" w:rsidP="003D26DD" w:rsidRDefault="0086330A" w14:paraId="62BC3C1C" w14:textId="43DFAAC2">
      <w:pPr>
        <w:rPr>
          <w:b/>
          <w:bCs/>
        </w:rPr>
      </w:pPr>
      <w:r w:rsidRPr="0086330A">
        <w:rPr>
          <w:b/>
          <w:bCs/>
        </w:rPr>
        <w:t xml:space="preserve">Stuk 9 </w:t>
      </w:r>
    </w:p>
    <w:p w:rsidRPr="00547398" w:rsidR="006D1810" w:rsidP="00547398" w:rsidRDefault="006D1810" w14:paraId="65994E40" w14:textId="0CD17822">
      <w:pPr>
        <w:rPr>
          <w:b/>
          <w:bCs/>
          <w:u w:val="single"/>
        </w:rPr>
      </w:pPr>
      <w:r w:rsidRPr="00547398">
        <w:rPr>
          <w:b/>
          <w:bCs/>
          <w:u w:val="single"/>
        </w:rPr>
        <w:t>Aanleiding</w:t>
      </w:r>
    </w:p>
    <w:p w:rsidR="00166F2D" w:rsidP="00EF2659" w:rsidRDefault="00766594" w14:paraId="47034665" w14:textId="1124A6E4">
      <w:pPr>
        <w:pStyle w:val="Lijstalinea"/>
        <w:numPr>
          <w:ilvl w:val="0"/>
          <w:numId w:val="40"/>
        </w:numPr>
      </w:pPr>
      <w:r>
        <w:t>De K</w:t>
      </w:r>
      <w:r w:rsidR="00166F2D">
        <w:t>limaat- en Energieverkenning 2024 (K</w:t>
      </w:r>
      <w:r>
        <w:t>EV24</w:t>
      </w:r>
      <w:r w:rsidR="00166F2D">
        <w:t>)</w:t>
      </w:r>
      <w:r>
        <w:t xml:space="preserve"> raamt een </w:t>
      </w:r>
      <w:r w:rsidR="00166F2D">
        <w:t>CO2-</w:t>
      </w:r>
      <w:r>
        <w:t xml:space="preserve">emissie in de mobiliteitssector </w:t>
      </w:r>
      <w:r w:rsidR="00166F2D">
        <w:t xml:space="preserve">in 2030 </w:t>
      </w:r>
      <w:r>
        <w:t xml:space="preserve">van </w:t>
      </w:r>
      <w:r w:rsidR="003F343D">
        <w:t xml:space="preserve">23,2 </w:t>
      </w:r>
      <w:proofErr w:type="spellStart"/>
      <w:r w:rsidR="003F343D">
        <w:t>Mton</w:t>
      </w:r>
      <w:proofErr w:type="spellEnd"/>
      <w:r w:rsidR="003F343D">
        <w:t xml:space="preserve"> (</w:t>
      </w:r>
      <w:r w:rsidR="002275F5">
        <w:t>20,6 – 25,4</w:t>
      </w:r>
      <w:r w:rsidR="00166F2D">
        <w:t xml:space="preserve"> </w:t>
      </w:r>
      <w:proofErr w:type="spellStart"/>
      <w:r w:rsidR="00166F2D">
        <w:t>Mton</w:t>
      </w:r>
      <w:proofErr w:type="spellEnd"/>
      <w:r w:rsidR="003F343D">
        <w:t>)</w:t>
      </w:r>
      <w:r w:rsidR="002275F5">
        <w:t>.</w:t>
      </w:r>
      <w:r w:rsidR="00033D4F">
        <w:t xml:space="preserve"> Wanneer ook rekening wordt gehouden met geagendeerd beleid (snelheidsverhoging snelwegen, herinvoering rode diesel landbouwvoertuigen en versoberen gewichtscorrectie MRB elektrische auto’s) neemt de CO2-emissie in 2030 toe en verwacht PBL dat die uitkomt tussen 21,1 en 25,9 </w:t>
      </w:r>
      <w:proofErr w:type="spellStart"/>
      <w:r w:rsidR="00033D4F">
        <w:t>Mton</w:t>
      </w:r>
      <w:proofErr w:type="spellEnd"/>
      <w:r w:rsidR="00033D4F">
        <w:t xml:space="preserve">. </w:t>
      </w:r>
      <w:r w:rsidR="002275F5">
        <w:t xml:space="preserve">PBL acht de kans </w:t>
      </w:r>
      <w:r w:rsidR="00166F2D">
        <w:t>zeer klein (</w:t>
      </w:r>
      <w:r w:rsidR="00033D4F">
        <w:t>5</w:t>
      </w:r>
      <w:r w:rsidR="002275F5">
        <w:t>%</w:t>
      </w:r>
      <w:r w:rsidR="00166F2D">
        <w:t>)</w:t>
      </w:r>
      <w:r w:rsidR="002275F5">
        <w:t xml:space="preserve"> dat het doel </w:t>
      </w:r>
      <w:r w:rsidR="00166F2D">
        <w:t xml:space="preserve">voor de sector mobiliteit van 21 </w:t>
      </w:r>
      <w:proofErr w:type="spellStart"/>
      <w:r w:rsidR="00166F2D">
        <w:t>Mton</w:t>
      </w:r>
      <w:proofErr w:type="spellEnd"/>
      <w:r w:rsidR="00166F2D">
        <w:t xml:space="preserve"> </w:t>
      </w:r>
      <w:r w:rsidR="002275F5">
        <w:t>wordt gerealiseerd.</w:t>
      </w:r>
    </w:p>
    <w:p w:rsidR="00702828" w:rsidP="00702828" w:rsidRDefault="00702828" w14:paraId="6AF9293E" w14:textId="21202DCA">
      <w:pPr>
        <w:pStyle w:val="Lijstalinea"/>
        <w:numPr>
          <w:ilvl w:val="0"/>
          <w:numId w:val="40"/>
        </w:numPr>
      </w:pPr>
      <w:r>
        <w:t xml:space="preserve">Het finaal energieverbruik wordt in de KEV24 </w:t>
      </w:r>
      <w:r w:rsidR="00284E48">
        <w:t>op basis van</w:t>
      </w:r>
      <w:r>
        <w:t xml:space="preserve"> vastgesteld en voorgenomen beleid geraamd op 1744 PJ (1606-1804 PJ) in 2030. Inclusief geagendeerd beleid komt de bandbreedte op 1590-1828 PJ. Het streefdoel voor finaal energieverbruik uit de Europese Energie Efficiency Directive (EED) is 1609 PJ. Kans dat invulling wordt gegeven aan het doel is lager dan 5%. </w:t>
      </w:r>
    </w:p>
    <w:p w:rsidRPr="00A23053" w:rsidR="00F35DC8" w:rsidP="00F35DC8" w:rsidRDefault="00766594" w14:paraId="44F6B529" w14:textId="74673AEF">
      <w:pPr>
        <w:pStyle w:val="Lijstalinea"/>
        <w:numPr>
          <w:ilvl w:val="0"/>
          <w:numId w:val="40"/>
        </w:numPr>
      </w:pPr>
      <w:r w:rsidRPr="00A23053">
        <w:t xml:space="preserve">Dit betekent dat we </w:t>
      </w:r>
      <w:r w:rsidRPr="00A23053" w:rsidR="001A4F99">
        <w:t xml:space="preserve">niet </w:t>
      </w:r>
      <w:r w:rsidRPr="00A23053">
        <w:t xml:space="preserve">op schema zitten t.a.v. realisatie van </w:t>
      </w:r>
      <w:r w:rsidRPr="00A23053" w:rsidR="001A4F99">
        <w:t>de klimaat- en energiedoelen in 2030</w:t>
      </w:r>
      <w:r w:rsidRPr="00A23053">
        <w:t>.</w:t>
      </w:r>
      <w:r w:rsidRPr="00A23053" w:rsidR="001A4F99">
        <w:t xml:space="preserve"> </w:t>
      </w:r>
      <w:r w:rsidRPr="00A23053" w:rsidR="00195AA6">
        <w:t xml:space="preserve">In </w:t>
      </w:r>
      <w:r w:rsidRPr="00A23053" w:rsidR="000C141D">
        <w:t>dit gesprek wordt stilgestaan bij de stand van zaken van de klimaat</w:t>
      </w:r>
      <w:r w:rsidRPr="00A23053" w:rsidR="00B579A6">
        <w:t>- en energie</w:t>
      </w:r>
      <w:r w:rsidRPr="00A23053" w:rsidR="000C141D">
        <w:t>maatregelen die reeds in uitvoering zijn en hoe knelpunten in de uitvoering kunnen worden weggenomen. Daarnaast wordt stilgestaan bij welke alternatieve maatregelen</w:t>
      </w:r>
      <w:r w:rsidRPr="00A23053" w:rsidR="008E5392">
        <w:t xml:space="preserve"> in de sector mogelijk zijn</w:t>
      </w:r>
      <w:r w:rsidRPr="00A23053" w:rsidR="00B579A6">
        <w:t xml:space="preserve"> om invulling te geven aan de klimaat- en energiebesparingsdoelen</w:t>
      </w:r>
      <w:r w:rsidRPr="00A23053" w:rsidR="008E5392">
        <w:t>.</w:t>
      </w:r>
      <w:r w:rsidRPr="00A23053" w:rsidR="00922F91">
        <w:t xml:space="preserve"> </w:t>
      </w:r>
    </w:p>
    <w:p w:rsidRPr="00A23053" w:rsidR="003B1A9C" w:rsidP="007336BB" w:rsidRDefault="004F3E7F" w14:paraId="6D5207CC" w14:textId="535D7504">
      <w:pPr>
        <w:pStyle w:val="Lijstalinea"/>
        <w:numPr>
          <w:ilvl w:val="0"/>
          <w:numId w:val="20"/>
        </w:numPr>
        <w:rPr>
          <w:b/>
          <w:bCs/>
        </w:rPr>
      </w:pPr>
      <w:r w:rsidRPr="00A23053">
        <w:rPr>
          <w:b/>
          <w:bCs/>
          <w:u w:val="single"/>
        </w:rPr>
        <w:lastRenderedPageBreak/>
        <w:t>Actua</w:t>
      </w:r>
      <w:r w:rsidRPr="00A23053" w:rsidR="003F755D">
        <w:rPr>
          <w:b/>
          <w:bCs/>
          <w:u w:val="single"/>
        </w:rPr>
        <w:t>liteiten</w:t>
      </w:r>
    </w:p>
    <w:p w:rsidRPr="00A23053" w:rsidR="007262E9" w:rsidP="00A23053" w:rsidRDefault="007262E9" w14:paraId="512EEBCA" w14:textId="77777777"/>
    <w:p w:rsidRPr="00A23053" w:rsidR="003B1A9C" w:rsidP="004F4737" w:rsidRDefault="003B1A9C" w14:paraId="48753303" w14:textId="25393F7D">
      <w:pPr>
        <w:pStyle w:val="Lijstalinea"/>
        <w:numPr>
          <w:ilvl w:val="1"/>
          <w:numId w:val="40"/>
        </w:numPr>
        <w:ind w:left="360"/>
        <w:rPr>
          <w:u w:val="single"/>
        </w:rPr>
      </w:pPr>
      <w:r w:rsidRPr="00A23053">
        <w:rPr>
          <w:i/>
          <w:iCs/>
          <w:u w:val="single"/>
        </w:rPr>
        <w:t>Herstel</w:t>
      </w:r>
      <w:r w:rsidR="00A23053">
        <w:rPr>
          <w:i/>
          <w:iCs/>
          <w:u w:val="single"/>
        </w:rPr>
        <w:t>-</w:t>
      </w:r>
      <w:r w:rsidRPr="00A23053">
        <w:rPr>
          <w:i/>
          <w:iCs/>
          <w:u w:val="single"/>
        </w:rPr>
        <w:t xml:space="preserve"> en Veerkrachtplan (H</w:t>
      </w:r>
      <w:r w:rsidR="00A23053">
        <w:rPr>
          <w:i/>
          <w:iCs/>
          <w:u w:val="single"/>
        </w:rPr>
        <w:t>VP</w:t>
      </w:r>
      <w:r w:rsidRPr="00A23053">
        <w:rPr>
          <w:i/>
          <w:iCs/>
          <w:u w:val="single"/>
        </w:rPr>
        <w:t>)</w:t>
      </w:r>
    </w:p>
    <w:p w:rsidRPr="00A23053" w:rsidR="00033D4F" w:rsidP="00033D4F" w:rsidRDefault="00033D4F" w14:paraId="796BBA54" w14:textId="5F052F20">
      <w:pPr>
        <w:numPr>
          <w:ilvl w:val="0"/>
          <w:numId w:val="54"/>
        </w:numPr>
        <w:spacing w:line="240" w:lineRule="auto"/>
        <w:rPr>
          <w:szCs w:val="18"/>
          <w:lang w:eastAsia="en-US"/>
        </w:rPr>
      </w:pPr>
      <w:r w:rsidRPr="00A23053">
        <w:rPr>
          <w:szCs w:val="18"/>
          <w:lang w:eastAsia="en-US"/>
        </w:rPr>
        <w:t xml:space="preserve">In het Nederlandse HVP is Betalen naar Gebruik </w:t>
      </w:r>
      <w:r w:rsidR="00702828">
        <w:rPr>
          <w:szCs w:val="18"/>
          <w:lang w:eastAsia="en-US"/>
        </w:rPr>
        <w:t>(</w:t>
      </w:r>
      <w:proofErr w:type="spellStart"/>
      <w:r w:rsidR="00702828">
        <w:rPr>
          <w:szCs w:val="18"/>
          <w:lang w:eastAsia="en-US"/>
        </w:rPr>
        <w:t>BnG</w:t>
      </w:r>
      <w:proofErr w:type="spellEnd"/>
      <w:r w:rsidR="00702828">
        <w:rPr>
          <w:szCs w:val="18"/>
          <w:lang w:eastAsia="en-US"/>
        </w:rPr>
        <w:t xml:space="preserve">) </w:t>
      </w:r>
      <w:r w:rsidRPr="00A23053">
        <w:rPr>
          <w:szCs w:val="18"/>
          <w:lang w:eastAsia="en-US"/>
        </w:rPr>
        <w:t xml:space="preserve">voor personen- en bestelauto’s opgenomen als hervormingsmaatregel. Het niet behalen van een mijlpaal of doelstelling kan leiden tot een korting die kan oplopen tot €600 mln. Naar huidig inzicht kunnen de mijlpalen voor </w:t>
      </w:r>
      <w:proofErr w:type="spellStart"/>
      <w:r w:rsidRPr="00A23053">
        <w:rPr>
          <w:szCs w:val="18"/>
          <w:lang w:eastAsia="en-US"/>
        </w:rPr>
        <w:t>BnG</w:t>
      </w:r>
      <w:proofErr w:type="spellEnd"/>
      <w:r w:rsidRPr="00A23053">
        <w:rPr>
          <w:szCs w:val="18"/>
          <w:lang w:eastAsia="en-US"/>
        </w:rPr>
        <w:t xml:space="preserve"> niet worden behaald.</w:t>
      </w:r>
    </w:p>
    <w:p w:rsidRPr="00A23053" w:rsidR="00033D4F" w:rsidP="00033D4F" w:rsidRDefault="00033D4F" w14:paraId="34D82F03" w14:textId="579B1706">
      <w:pPr>
        <w:numPr>
          <w:ilvl w:val="0"/>
          <w:numId w:val="54"/>
        </w:numPr>
        <w:spacing w:line="240" w:lineRule="auto"/>
        <w:rPr>
          <w:szCs w:val="18"/>
          <w:lang w:eastAsia="en-US"/>
        </w:rPr>
      </w:pPr>
      <w:r w:rsidRPr="00A23053">
        <w:rPr>
          <w:szCs w:val="18"/>
          <w:lang w:eastAsia="en-US"/>
        </w:rPr>
        <w:t xml:space="preserve">Ambtelijk wordt tussen FIN en </w:t>
      </w:r>
      <w:proofErr w:type="spellStart"/>
      <w:r w:rsidRPr="00A23053">
        <w:rPr>
          <w:szCs w:val="18"/>
          <w:lang w:eastAsia="en-US"/>
        </w:rPr>
        <w:t>IenW</w:t>
      </w:r>
      <w:proofErr w:type="spellEnd"/>
      <w:r w:rsidRPr="00A23053">
        <w:rPr>
          <w:szCs w:val="18"/>
          <w:lang w:eastAsia="en-US"/>
        </w:rPr>
        <w:t xml:space="preserve"> een alternatief hervormingspakket onder het HVP voorbereid om het gesprek met de Europese Commissie aan te gaan. Uitgangspunt daarbij is dat het gaat om bestaand beleid dat nog geen onderdeel is van het HVP. Maatregelen die hiervoor ambtelijk worden overwogen zijn de vrachtwagenheffing en de extra bijmenging van biobrandstoffen</w:t>
      </w:r>
      <w:r w:rsidRPr="00A23053" w:rsidR="007262E9">
        <w:rPr>
          <w:szCs w:val="18"/>
          <w:lang w:eastAsia="en-US"/>
        </w:rPr>
        <w:t xml:space="preserve">, zoals die in het </w:t>
      </w:r>
      <w:r w:rsidRPr="00A23053">
        <w:rPr>
          <w:szCs w:val="18"/>
          <w:lang w:eastAsia="en-US"/>
        </w:rPr>
        <w:t xml:space="preserve">voorjaar </w:t>
      </w:r>
      <w:r w:rsidRPr="00A23053" w:rsidR="007262E9">
        <w:rPr>
          <w:szCs w:val="18"/>
          <w:lang w:eastAsia="en-US"/>
        </w:rPr>
        <w:t xml:space="preserve">van </w:t>
      </w:r>
      <w:r w:rsidRPr="00A23053">
        <w:rPr>
          <w:szCs w:val="18"/>
          <w:lang w:eastAsia="en-US"/>
        </w:rPr>
        <w:t>2023</w:t>
      </w:r>
      <w:r w:rsidRPr="00A23053" w:rsidR="007262E9">
        <w:rPr>
          <w:szCs w:val="18"/>
          <w:lang w:eastAsia="en-US"/>
        </w:rPr>
        <w:t xml:space="preserve"> is afgesproken</w:t>
      </w:r>
      <w:r w:rsidRPr="00A23053">
        <w:rPr>
          <w:szCs w:val="18"/>
          <w:lang w:eastAsia="en-US"/>
        </w:rPr>
        <w:t xml:space="preserve">. </w:t>
      </w:r>
    </w:p>
    <w:p w:rsidRPr="00A23053" w:rsidR="00A62001" w:rsidP="00A62001" w:rsidRDefault="00A62001" w14:paraId="6A87D77F" w14:textId="05A3C54E">
      <w:pPr>
        <w:pStyle w:val="Lijstalinea"/>
        <w:ind w:left="0"/>
      </w:pPr>
    </w:p>
    <w:p w:rsidRPr="00A23053" w:rsidR="004F3E7F" w:rsidP="00BD193A" w:rsidRDefault="004F3E7F" w14:paraId="2EF849D0" w14:textId="6603EF2A">
      <w:pPr>
        <w:pStyle w:val="Lijstalinea"/>
        <w:numPr>
          <w:ilvl w:val="1"/>
          <w:numId w:val="40"/>
        </w:numPr>
        <w:ind w:left="360"/>
        <w:rPr>
          <w:i/>
          <w:iCs/>
          <w:u w:val="single"/>
        </w:rPr>
      </w:pPr>
      <w:r w:rsidRPr="00A23053">
        <w:rPr>
          <w:i/>
          <w:iCs/>
          <w:u w:val="single"/>
        </w:rPr>
        <w:t>Stand van zaken Europese CO2-normen voor lichte voertuigen</w:t>
      </w:r>
    </w:p>
    <w:p w:rsidRPr="00A23053" w:rsidR="007262E9" w:rsidP="007262E9" w:rsidRDefault="007262E9" w14:paraId="4CBE4DB5" w14:textId="77777777">
      <w:pPr>
        <w:numPr>
          <w:ilvl w:val="0"/>
          <w:numId w:val="54"/>
        </w:numPr>
        <w:spacing w:line="240" w:lineRule="auto"/>
        <w:rPr>
          <w:szCs w:val="18"/>
          <w:lang w:eastAsia="en-US"/>
        </w:rPr>
      </w:pPr>
      <w:r w:rsidRPr="00A23053">
        <w:rPr>
          <w:szCs w:val="18"/>
          <w:lang w:eastAsia="en-US"/>
        </w:rPr>
        <w:t>Italië en Tsjechië hebben middels een non-paper een pleidooi gepresenteerd voor versoepelende maatregelen voor voertuigfabrikanten ten aanzien van de CO2-reductiedoelstellingen in 2025 en een eerdere herziening van de Europese CO2-normen voor lichte en zware voertuigen.</w:t>
      </w:r>
    </w:p>
    <w:p w:rsidRPr="00A23053" w:rsidR="007262E9" w:rsidP="007262E9" w:rsidRDefault="007262E9" w14:paraId="039C3FF1" w14:textId="77777777">
      <w:pPr>
        <w:numPr>
          <w:ilvl w:val="0"/>
          <w:numId w:val="54"/>
        </w:numPr>
        <w:spacing w:line="240" w:lineRule="auto"/>
        <w:rPr>
          <w:szCs w:val="18"/>
          <w:lang w:eastAsia="en-US"/>
        </w:rPr>
      </w:pPr>
      <w:r w:rsidRPr="00A23053">
        <w:rPr>
          <w:szCs w:val="18"/>
          <w:lang w:eastAsia="en-US"/>
        </w:rPr>
        <w:t>Er is nog geen sprake van dat de Europese Commissie ingaat op het verzoek tot eerdere herziening of aanpassing van de normen voor 2025.</w:t>
      </w:r>
    </w:p>
    <w:p w:rsidRPr="00A23053" w:rsidR="007262E9" w:rsidP="007262E9" w:rsidRDefault="007262E9" w14:paraId="1A4C29B4" w14:textId="0F08D4DD">
      <w:pPr>
        <w:numPr>
          <w:ilvl w:val="0"/>
          <w:numId w:val="54"/>
        </w:numPr>
        <w:spacing w:line="240" w:lineRule="auto"/>
        <w:rPr>
          <w:szCs w:val="18"/>
          <w:lang w:eastAsia="en-US"/>
        </w:rPr>
      </w:pPr>
      <w:r w:rsidRPr="00A23053">
        <w:rPr>
          <w:szCs w:val="18"/>
          <w:lang w:eastAsia="en-US"/>
        </w:rPr>
        <w:t>De CO2-emissienormen voor lichte voertuigen (personen- en bestelauto’s) en zware bedrijfsvoertuigen (vrachtauto’s en bussen) leveren een belangrijke bijdrage aan het behalen van de klimaatdoelen voor mobiliteit en zorgen voor een gelijk speelveld voor de Europese auto-industrie.</w:t>
      </w:r>
    </w:p>
    <w:p w:rsidRPr="00A23053" w:rsidR="007262E9" w:rsidP="00A23053" w:rsidRDefault="007262E9" w14:paraId="54687AA9" w14:textId="4D649BAE">
      <w:pPr>
        <w:numPr>
          <w:ilvl w:val="0"/>
          <w:numId w:val="54"/>
        </w:numPr>
        <w:spacing w:line="240" w:lineRule="auto"/>
        <w:rPr>
          <w:szCs w:val="18"/>
          <w:lang w:eastAsia="en-US"/>
        </w:rPr>
      </w:pPr>
      <w:r w:rsidRPr="00A23053">
        <w:rPr>
          <w:szCs w:val="18"/>
          <w:lang w:eastAsia="en-US"/>
        </w:rPr>
        <w:t>Nederland heeft hierin nog geen positie ingenomen en aangegeven dat het intern in beraad is over de CO2-normen.</w:t>
      </w:r>
    </w:p>
    <w:p w:rsidRPr="00A23053" w:rsidR="00A62001" w:rsidP="004F4737" w:rsidRDefault="00A62001" w14:paraId="7F467627" w14:textId="77777777">
      <w:pPr>
        <w:pStyle w:val="Lijstalinea"/>
        <w:ind w:left="0"/>
      </w:pPr>
    </w:p>
    <w:p w:rsidRPr="00A23053" w:rsidR="00A6607B" w:rsidP="00A23053" w:rsidRDefault="00A6607B" w14:paraId="588D0591" w14:textId="54F1A253">
      <w:pPr>
        <w:pStyle w:val="Lijstalinea"/>
        <w:numPr>
          <w:ilvl w:val="1"/>
          <w:numId w:val="40"/>
        </w:numPr>
        <w:ind w:left="360"/>
        <w:rPr>
          <w:i/>
          <w:iCs/>
          <w:u w:val="single"/>
        </w:rPr>
      </w:pPr>
      <w:r w:rsidRPr="00A23053">
        <w:rPr>
          <w:i/>
          <w:iCs/>
          <w:u w:val="single"/>
        </w:rPr>
        <w:t>Stand van zaken</w:t>
      </w:r>
      <w:r w:rsidR="00702828">
        <w:rPr>
          <w:i/>
          <w:iCs/>
          <w:u w:val="single"/>
        </w:rPr>
        <w:t xml:space="preserve"> </w:t>
      </w:r>
      <w:proofErr w:type="spellStart"/>
      <w:r w:rsidRPr="00A23053">
        <w:rPr>
          <w:i/>
          <w:iCs/>
          <w:u w:val="single"/>
        </w:rPr>
        <w:t>Social</w:t>
      </w:r>
      <w:proofErr w:type="spellEnd"/>
      <w:r w:rsidRPr="00A23053">
        <w:rPr>
          <w:i/>
          <w:iCs/>
          <w:u w:val="single"/>
        </w:rPr>
        <w:t xml:space="preserve"> </w:t>
      </w:r>
      <w:proofErr w:type="spellStart"/>
      <w:r w:rsidRPr="00A23053">
        <w:rPr>
          <w:i/>
          <w:iCs/>
          <w:u w:val="single"/>
        </w:rPr>
        <w:t>Climate</w:t>
      </w:r>
      <w:proofErr w:type="spellEnd"/>
      <w:r w:rsidRPr="00A23053">
        <w:rPr>
          <w:i/>
          <w:iCs/>
          <w:u w:val="single"/>
        </w:rPr>
        <w:t xml:space="preserve"> Fund</w:t>
      </w:r>
    </w:p>
    <w:p w:rsidRPr="000737BB" w:rsidR="000737BB" w:rsidP="000737BB" w:rsidRDefault="000737BB" w14:paraId="4E256F8D" w14:textId="77777777">
      <w:pPr>
        <w:numPr>
          <w:ilvl w:val="0"/>
          <w:numId w:val="40"/>
        </w:numPr>
        <w:spacing w:line="240" w:lineRule="auto"/>
        <w:rPr>
          <w:szCs w:val="18"/>
          <w:lang w:eastAsia="en-US"/>
        </w:rPr>
      </w:pPr>
      <w:r>
        <w:rPr>
          <w:lang w:eastAsia="en-US"/>
        </w:rPr>
        <w:t xml:space="preserve">In de RFL van 5 november wordt besloten of de SCF middelen worden ingezet voor bestaand of nieuw beleid. </w:t>
      </w:r>
    </w:p>
    <w:p w:rsidRPr="000737BB" w:rsidR="000737BB" w:rsidP="000737BB" w:rsidRDefault="000737BB" w14:paraId="5A45EFB1" w14:textId="3B2DB11C">
      <w:pPr>
        <w:numPr>
          <w:ilvl w:val="0"/>
          <w:numId w:val="40"/>
        </w:numPr>
        <w:spacing w:line="240" w:lineRule="auto"/>
        <w:rPr>
          <w:szCs w:val="18"/>
          <w:lang w:eastAsia="en-US"/>
        </w:rPr>
      </w:pPr>
      <w:r>
        <w:rPr>
          <w:lang w:eastAsia="en-US"/>
        </w:rPr>
        <w:t xml:space="preserve">Het gaat om €720. </w:t>
      </w:r>
      <w:proofErr w:type="spellStart"/>
      <w:r>
        <w:rPr>
          <w:lang w:eastAsia="en-US"/>
        </w:rPr>
        <w:t>mln</w:t>
      </w:r>
      <w:proofErr w:type="spellEnd"/>
      <w:r>
        <w:rPr>
          <w:lang w:eastAsia="en-US"/>
        </w:rPr>
        <w:t xml:space="preserve"> tussen 2026 en 2032, die moet worden besteed aan het verlichten van de impact van ETS2 op kwetsbare huishoudens en microbedrijven. Bij de inzet van SCF middelen zijn lidstaten verplicht 25% van het bedrag te </w:t>
      </w:r>
      <w:proofErr w:type="spellStart"/>
      <w:r>
        <w:rPr>
          <w:lang w:eastAsia="en-US"/>
        </w:rPr>
        <w:t>cofinancieren</w:t>
      </w:r>
      <w:proofErr w:type="spellEnd"/>
      <w:r>
        <w:rPr>
          <w:lang w:eastAsia="en-US"/>
        </w:rPr>
        <w:t xml:space="preserve"> en het bedrag voor te schieten. Het totaalbedrag is dus €960 mln.</w:t>
      </w:r>
    </w:p>
    <w:p w:rsidRPr="00702828" w:rsidR="00BE0DAE" w:rsidP="00BE0DAE" w:rsidRDefault="00BE0DAE" w14:paraId="71F6BF28" w14:textId="77777777">
      <w:pPr>
        <w:numPr>
          <w:ilvl w:val="0"/>
          <w:numId w:val="54"/>
        </w:numPr>
        <w:spacing w:line="240" w:lineRule="auto"/>
        <w:rPr>
          <w:szCs w:val="18"/>
          <w:lang w:eastAsia="en-US"/>
        </w:rPr>
      </w:pPr>
      <w:r>
        <w:rPr>
          <w:lang w:eastAsia="en-US"/>
        </w:rPr>
        <w:t xml:space="preserve">De inzet van het </w:t>
      </w:r>
      <w:r w:rsidRPr="00A23053">
        <w:rPr>
          <w:lang w:eastAsia="en-US"/>
        </w:rPr>
        <w:t>SCF</w:t>
      </w:r>
      <w:r>
        <w:rPr>
          <w:lang w:eastAsia="en-US"/>
        </w:rPr>
        <w:t xml:space="preserve"> zal</w:t>
      </w:r>
      <w:r w:rsidRPr="00A23053">
        <w:rPr>
          <w:lang w:eastAsia="en-US"/>
        </w:rPr>
        <w:t xml:space="preserve"> integraal worden meegenomen in de voorjaarsbesluitvorming.</w:t>
      </w:r>
    </w:p>
    <w:p w:rsidRPr="00702828" w:rsidR="00A6607B" w:rsidP="009D2E83" w:rsidRDefault="009D2E83" w14:paraId="4DD2E737" w14:textId="03FBD2AB">
      <w:pPr>
        <w:spacing w:line="240" w:lineRule="auto"/>
        <w:rPr>
          <w:szCs w:val="18"/>
          <w:lang w:eastAsia="en-US"/>
        </w:rPr>
      </w:pPr>
      <w:r>
        <w:rPr>
          <w:szCs w:val="18"/>
          <w:lang w:eastAsia="en-US"/>
        </w:rPr>
        <w:br w:type="page"/>
      </w:r>
    </w:p>
    <w:p w:rsidRPr="00A23053" w:rsidR="007336BB" w:rsidP="007336BB" w:rsidRDefault="0054414B" w14:paraId="7D9D41CF" w14:textId="625D2C27">
      <w:pPr>
        <w:pStyle w:val="Lijstalinea"/>
        <w:numPr>
          <w:ilvl w:val="0"/>
          <w:numId w:val="20"/>
        </w:numPr>
        <w:rPr>
          <w:b/>
          <w:bCs/>
        </w:rPr>
      </w:pPr>
      <w:r w:rsidRPr="00A23053">
        <w:rPr>
          <w:b/>
          <w:bCs/>
          <w:u w:val="single"/>
        </w:rPr>
        <w:lastRenderedPageBreak/>
        <w:t>Beleid in</w:t>
      </w:r>
      <w:r w:rsidRPr="00A23053" w:rsidR="007336BB">
        <w:rPr>
          <w:b/>
          <w:bCs/>
          <w:u w:val="single"/>
        </w:rPr>
        <w:t xml:space="preserve"> uitvoering </w:t>
      </w:r>
      <w:r w:rsidRPr="00A23053" w:rsidR="00CD798E">
        <w:rPr>
          <w:b/>
          <w:bCs/>
          <w:u w:val="single"/>
        </w:rPr>
        <w:t>mobiliteit</w:t>
      </w:r>
    </w:p>
    <w:p w:rsidRPr="00A23053" w:rsidR="006E41D4" w:rsidP="00EF2659" w:rsidRDefault="003B1A9C" w14:paraId="283297D1" w14:textId="5B19883F">
      <w:pPr>
        <w:pStyle w:val="Lijstalinea"/>
        <w:numPr>
          <w:ilvl w:val="0"/>
          <w:numId w:val="44"/>
        </w:numPr>
      </w:pPr>
      <w:r w:rsidRPr="00A23053">
        <w:t>In de bijlage</w:t>
      </w:r>
      <w:r w:rsidRPr="00A23053" w:rsidR="00A6607B">
        <w:t xml:space="preserve"> 1</w:t>
      </w:r>
      <w:r w:rsidRPr="00A23053">
        <w:t xml:space="preserve"> is een overzicht opgenomen van de mobiliteitsmaatregelen die </w:t>
      </w:r>
      <w:r w:rsidRPr="00A23053" w:rsidR="007262E9">
        <w:t>door PBL zijn betrokken bij de totstandkoming van de KEV2024.</w:t>
      </w:r>
      <w:r w:rsidR="00702828">
        <w:t xml:space="preserve"> </w:t>
      </w:r>
      <w:r w:rsidRPr="00A23053">
        <w:t xml:space="preserve">Hierbij </w:t>
      </w:r>
      <w:r w:rsidRPr="00A23053" w:rsidR="00A6607B">
        <w:t xml:space="preserve">heeft PBL </w:t>
      </w:r>
      <w:r w:rsidRPr="00A23053">
        <w:t xml:space="preserve">gebruikgemaakt van informatie van de </w:t>
      </w:r>
      <w:proofErr w:type="spellStart"/>
      <w:r w:rsidRPr="00D5137E">
        <w:t>workflowtool</w:t>
      </w:r>
      <w:proofErr w:type="spellEnd"/>
      <w:r w:rsidRPr="00A23053">
        <w:t>, aangevuld met de inhoud van het HLA en de uitkomsten van de augustusbesluitvorming.</w:t>
      </w:r>
      <w:r w:rsidRPr="00A23053" w:rsidR="0003160D">
        <w:t xml:space="preserve"> </w:t>
      </w:r>
    </w:p>
    <w:p w:rsidRPr="00A23053" w:rsidR="003B1A9C" w:rsidP="00EF2659" w:rsidRDefault="0003160D" w14:paraId="3B63BE84" w14:textId="01406096">
      <w:pPr>
        <w:pStyle w:val="Lijstalinea"/>
        <w:numPr>
          <w:ilvl w:val="0"/>
          <w:numId w:val="44"/>
        </w:numPr>
      </w:pPr>
      <w:r w:rsidRPr="00A23053">
        <w:t>Daarnaast is in bijlage</w:t>
      </w:r>
      <w:r w:rsidRPr="00A23053" w:rsidR="00A6607B">
        <w:t xml:space="preserve"> 2</w:t>
      </w:r>
      <w:r w:rsidRPr="00A23053">
        <w:t xml:space="preserve"> een overzicht opgenomen van de reserveringen </w:t>
      </w:r>
      <w:r w:rsidRPr="00A23053" w:rsidR="00CE4374">
        <w:t xml:space="preserve">en voorwaardelijke toekenningen </w:t>
      </w:r>
      <w:r w:rsidRPr="00A23053">
        <w:t>die momenteel zijn opgenomen in het</w:t>
      </w:r>
      <w:r w:rsidRPr="00A23053" w:rsidR="00CE4374">
        <w:t xml:space="preserve"> Meerjarenprogramma 202</w:t>
      </w:r>
      <w:r w:rsidR="004D43DB">
        <w:t>5</w:t>
      </w:r>
      <w:r w:rsidRPr="00A23053" w:rsidR="00CE4374">
        <w:t xml:space="preserve"> van het</w:t>
      </w:r>
      <w:r w:rsidRPr="00A23053">
        <w:t xml:space="preserve"> Klimaatfonds.</w:t>
      </w:r>
    </w:p>
    <w:p w:rsidRPr="00A23053" w:rsidR="003B1A9C" w:rsidP="003B1A9C" w:rsidRDefault="007336BB" w14:paraId="70A5D32E" w14:textId="213575E1">
      <w:pPr>
        <w:pStyle w:val="Lijstalinea"/>
        <w:numPr>
          <w:ilvl w:val="0"/>
          <w:numId w:val="44"/>
        </w:numPr>
      </w:pPr>
      <w:r w:rsidRPr="00A23053">
        <w:t xml:space="preserve">Hieruit komt naar voren dat </w:t>
      </w:r>
      <w:r w:rsidRPr="00A23053" w:rsidR="00E77A11">
        <w:t>de</w:t>
      </w:r>
      <w:r w:rsidRPr="00A23053" w:rsidR="008234E0">
        <w:t xml:space="preserve"> uitvoering</w:t>
      </w:r>
      <w:r w:rsidRPr="00A23053" w:rsidR="00E77A11">
        <w:t xml:space="preserve"> </w:t>
      </w:r>
      <w:r w:rsidRPr="00A23053" w:rsidR="00B307A0">
        <w:t xml:space="preserve">van reeds ingezet beleid </w:t>
      </w:r>
      <w:r w:rsidRPr="00A23053" w:rsidR="00E77A11">
        <w:t>over het algemeen</w:t>
      </w:r>
      <w:r w:rsidRPr="00A23053" w:rsidR="008234E0">
        <w:t xml:space="preserve"> op schema</w:t>
      </w:r>
      <w:r w:rsidRPr="00A23053" w:rsidR="00E77A11">
        <w:t xml:space="preserve"> ligt</w:t>
      </w:r>
      <w:r w:rsidRPr="00A23053" w:rsidR="003B1A9C">
        <w:t>.</w:t>
      </w:r>
      <w:r w:rsidRPr="00A23053" w:rsidR="00B4515D">
        <w:t xml:space="preserve"> </w:t>
      </w:r>
      <w:r w:rsidRPr="00A23053" w:rsidR="00A565DE">
        <w:t>Hieronder zijn ter informatie enkele punten opgenomen die relevant zijn t</w:t>
      </w:r>
      <w:r w:rsidRPr="00A23053" w:rsidR="00CE4374">
        <w:t xml:space="preserve">en aanzien van </w:t>
      </w:r>
      <w:r w:rsidRPr="00A23053" w:rsidR="00A565DE">
        <w:t>het doelbereik</w:t>
      </w:r>
      <w:r w:rsidRPr="00A23053" w:rsidR="00B4515D">
        <w:t>:</w:t>
      </w:r>
    </w:p>
    <w:p w:rsidRPr="00A23053" w:rsidR="00B4515D" w:rsidP="004F4737" w:rsidRDefault="00B4515D" w14:paraId="2BE23637" w14:textId="77777777"/>
    <w:p w:rsidRPr="00895C06" w:rsidR="004F3E7F" w:rsidP="00BD193A" w:rsidRDefault="004F3E7F" w14:paraId="70D38B3D" w14:textId="3ECD02E3">
      <w:pPr>
        <w:pStyle w:val="Lijstalinea"/>
        <w:numPr>
          <w:ilvl w:val="0"/>
          <w:numId w:val="50"/>
        </w:numPr>
        <w:rPr>
          <w:i/>
          <w:iCs/>
          <w:u w:val="single"/>
        </w:rPr>
      </w:pPr>
      <w:r w:rsidRPr="00895C06">
        <w:rPr>
          <w:i/>
          <w:iCs/>
          <w:u w:val="single"/>
        </w:rPr>
        <w:t>Ter info: Zero-emissiezones stadslogistiek (HLA/RP)</w:t>
      </w:r>
    </w:p>
    <w:p w:rsidRPr="00A23053" w:rsidR="00073264" w:rsidP="004D1ECA" w:rsidRDefault="004D43DB" w14:paraId="25101CA9" w14:textId="4BECD38C">
      <w:pPr>
        <w:pStyle w:val="Lijstalinea"/>
        <w:numPr>
          <w:ilvl w:val="0"/>
          <w:numId w:val="44"/>
        </w:numPr>
      </w:pPr>
      <w:r>
        <w:t>E</w:t>
      </w:r>
      <w:r w:rsidRPr="00A23053" w:rsidR="004D1ECA">
        <w:t xml:space="preserve">en aantal gemeenten voert op 1 januari 2025 een zero-emissiezone voor stadslogistiek in. In de Kamer is veel aandacht voor het onderwerp omdat in het HLA/RP is </w:t>
      </w:r>
      <w:r w:rsidR="00702828">
        <w:t>af</w:t>
      </w:r>
      <w:r w:rsidRPr="00A23053" w:rsidR="004D1ECA">
        <w:t xml:space="preserve">gesproken dat </w:t>
      </w:r>
      <w:r w:rsidRPr="00A23053" w:rsidR="00073264">
        <w:t>‘B</w:t>
      </w:r>
      <w:r w:rsidRPr="00A23053" w:rsidR="004D1ECA">
        <w:t>ezien wordt op welke manier het instellen van zero-emissiezones kan worden uitgesteld’.</w:t>
      </w:r>
    </w:p>
    <w:p w:rsidR="00284E48" w:rsidP="00997613" w:rsidRDefault="00997613" w14:paraId="3994FEED" w14:textId="77777777">
      <w:pPr>
        <w:pStyle w:val="Lijstalinea"/>
        <w:numPr>
          <w:ilvl w:val="0"/>
          <w:numId w:val="44"/>
        </w:numPr>
      </w:pPr>
      <w:r>
        <w:t>Er is een motie aangenomen</w:t>
      </w:r>
      <w:r w:rsidRPr="00A23053" w:rsidR="00073264">
        <w:t xml:space="preserve"> waarin het kabinet wordt opgeroepen om de zones uit te stellen tot 2029. </w:t>
      </w:r>
      <w:r>
        <w:t>D</w:t>
      </w:r>
      <w:r w:rsidRPr="00A23053" w:rsidR="00073264">
        <w:t xml:space="preserve">e staatssecretaris van </w:t>
      </w:r>
      <w:proofErr w:type="spellStart"/>
      <w:r w:rsidRPr="00A23053" w:rsidR="00073264">
        <w:t>IenW</w:t>
      </w:r>
      <w:proofErr w:type="spellEnd"/>
      <w:r w:rsidRPr="00A23053" w:rsidR="00073264">
        <w:t xml:space="preserve"> </w:t>
      </w:r>
      <w:r>
        <w:t xml:space="preserve">bereid </w:t>
      </w:r>
      <w:r w:rsidRPr="00A23053" w:rsidR="00073264">
        <w:t xml:space="preserve">een kabinetsreactie </w:t>
      </w:r>
      <w:r>
        <w:t>voor</w:t>
      </w:r>
      <w:r w:rsidRPr="00A23053" w:rsidR="004D1ECA">
        <w:t>.</w:t>
      </w:r>
    </w:p>
    <w:p w:rsidRPr="00A23053" w:rsidR="004D1ECA" w:rsidP="00997613" w:rsidRDefault="00284E48" w14:paraId="0C1E8848" w14:textId="695BDF03">
      <w:pPr>
        <w:pStyle w:val="Lijstalinea"/>
        <w:numPr>
          <w:ilvl w:val="0"/>
          <w:numId w:val="44"/>
        </w:numPr>
      </w:pPr>
      <w:r>
        <w:t xml:space="preserve">Op 6 november is een tweeminutendebat Duurzaam Vervoer, waarbij mogelijk ook nog andere moties worden ingediend. </w:t>
      </w:r>
      <w:r w:rsidRPr="00A23053" w:rsidR="004D1ECA">
        <w:t xml:space="preserve"> </w:t>
      </w:r>
    </w:p>
    <w:p w:rsidRPr="00A23053" w:rsidR="006E13A6" w:rsidP="004F4737" w:rsidRDefault="006E13A6" w14:paraId="2437939F" w14:textId="77777777">
      <w:pPr>
        <w:pStyle w:val="Lijstalinea"/>
        <w:ind w:left="0"/>
      </w:pPr>
    </w:p>
    <w:p w:rsidRPr="00895C06" w:rsidR="004F3E7F" w:rsidP="00BD193A" w:rsidRDefault="004F3E7F" w14:paraId="33911FFB" w14:textId="17FFAB55">
      <w:pPr>
        <w:pStyle w:val="Lijstalinea"/>
        <w:numPr>
          <w:ilvl w:val="0"/>
          <w:numId w:val="50"/>
        </w:numPr>
        <w:rPr>
          <w:i/>
          <w:iCs/>
          <w:u w:val="single"/>
        </w:rPr>
      </w:pPr>
      <w:r w:rsidRPr="00895C06">
        <w:rPr>
          <w:i/>
          <w:iCs/>
          <w:u w:val="single"/>
        </w:rPr>
        <w:t xml:space="preserve">Ter info: Beperken administratieve lasten 1,5 </w:t>
      </w:r>
      <w:proofErr w:type="spellStart"/>
      <w:r w:rsidRPr="00895C06">
        <w:rPr>
          <w:i/>
          <w:iCs/>
          <w:u w:val="single"/>
        </w:rPr>
        <w:t>Mton</w:t>
      </w:r>
      <w:proofErr w:type="spellEnd"/>
      <w:r w:rsidRPr="00895C06">
        <w:rPr>
          <w:i/>
          <w:iCs/>
          <w:u w:val="single"/>
        </w:rPr>
        <w:t xml:space="preserve"> </w:t>
      </w:r>
      <w:proofErr w:type="spellStart"/>
      <w:r w:rsidRPr="00895C06">
        <w:rPr>
          <w:i/>
          <w:iCs/>
          <w:u w:val="single"/>
        </w:rPr>
        <w:t>werkgebonden</w:t>
      </w:r>
      <w:proofErr w:type="spellEnd"/>
      <w:r w:rsidRPr="00895C06">
        <w:rPr>
          <w:i/>
          <w:iCs/>
          <w:u w:val="single"/>
        </w:rPr>
        <w:t xml:space="preserve"> personenmobiliteit </w:t>
      </w:r>
    </w:p>
    <w:p w:rsidRPr="00A23053" w:rsidR="00CE4374" w:rsidP="00CE4374" w:rsidRDefault="004F3E7F" w14:paraId="11DD30E6" w14:textId="77777777">
      <w:pPr>
        <w:pStyle w:val="Lijstalinea"/>
        <w:numPr>
          <w:ilvl w:val="0"/>
          <w:numId w:val="44"/>
        </w:numPr>
      </w:pPr>
      <w:r w:rsidRPr="00A23053">
        <w:t>Op 1 juli</w:t>
      </w:r>
      <w:r w:rsidRPr="00A23053" w:rsidR="00CE4374">
        <w:t xml:space="preserve"> 2024</w:t>
      </w:r>
      <w:r w:rsidRPr="00A23053">
        <w:t xml:space="preserve"> is het besluit van kracht geworden op basis waarvan werkgevers met 100 of meer werknemers jaarlijks moeten rapporteren over woon-werk en zakelijke mobiliteit.</w:t>
      </w:r>
    </w:p>
    <w:p w:rsidRPr="00997613" w:rsidR="00A565DE" w:rsidP="00D5137E" w:rsidRDefault="00CE4374" w14:paraId="00E39D65" w14:textId="4F4081D9">
      <w:pPr>
        <w:pStyle w:val="Lijstalinea"/>
        <w:numPr>
          <w:ilvl w:val="0"/>
          <w:numId w:val="44"/>
        </w:numPr>
        <w:rPr>
          <w:b/>
          <w:bCs/>
        </w:rPr>
      </w:pPr>
      <w:r w:rsidRPr="00A23053">
        <w:t xml:space="preserve">Op verzoek van de minister van EZ </w:t>
      </w:r>
      <w:r w:rsidRPr="00A23053" w:rsidR="004F3E7F">
        <w:t xml:space="preserve">wordt </w:t>
      </w:r>
      <w:r w:rsidRPr="00A23053" w:rsidR="002E1344">
        <w:t xml:space="preserve">namens </w:t>
      </w:r>
      <w:proofErr w:type="spellStart"/>
      <w:r w:rsidRPr="00A23053" w:rsidR="002E1344">
        <w:t>IenW</w:t>
      </w:r>
      <w:proofErr w:type="spellEnd"/>
      <w:r w:rsidRPr="00A23053" w:rsidR="002E1344">
        <w:t xml:space="preserve"> en EZ </w:t>
      </w:r>
      <w:r w:rsidRPr="00A23053" w:rsidR="004F3E7F">
        <w:t>nader bekeken wat de admin</w:t>
      </w:r>
      <w:r w:rsidRPr="00A23053" w:rsidR="002E1344">
        <w:t>is</w:t>
      </w:r>
      <w:r w:rsidRPr="00A23053" w:rsidR="004F3E7F">
        <w:t xml:space="preserve">tratieve lasten zijn van de huidige invulling van de afspraken rondom </w:t>
      </w:r>
      <w:proofErr w:type="spellStart"/>
      <w:r w:rsidRPr="00A23053" w:rsidR="004F3E7F">
        <w:t>werkgebonden</w:t>
      </w:r>
      <w:proofErr w:type="spellEnd"/>
      <w:r w:rsidRPr="00A23053" w:rsidR="004F3E7F">
        <w:t xml:space="preserve"> personenmobiliteit. </w:t>
      </w:r>
      <w:r w:rsidRPr="00A23053" w:rsidR="002E1344">
        <w:t xml:space="preserve">Hierbij </w:t>
      </w:r>
      <w:r w:rsidRPr="00A23053">
        <w:t xml:space="preserve">is vooralsnog geen aanleiding (ondanks berichten in de media) dat de norm van 1,5 </w:t>
      </w:r>
      <w:proofErr w:type="spellStart"/>
      <w:r w:rsidRPr="00A23053">
        <w:t>Mton</w:t>
      </w:r>
      <w:proofErr w:type="spellEnd"/>
      <w:r w:rsidRPr="00A23053">
        <w:t xml:space="preserve"> moet worden losgelaten. E</w:t>
      </w:r>
      <w:r w:rsidRPr="00A23053" w:rsidR="002E1344">
        <w:t xml:space="preserve">n wordt vooral gekeken </w:t>
      </w:r>
      <w:r w:rsidRPr="00A23053">
        <w:t xml:space="preserve">hoe </w:t>
      </w:r>
      <w:r w:rsidRPr="00A23053" w:rsidR="002E1344">
        <w:t xml:space="preserve"> de informatieverplichting voor bedrijven</w:t>
      </w:r>
      <w:r w:rsidRPr="00A23053">
        <w:t xml:space="preserve"> kan worden vereenvoudigd</w:t>
      </w:r>
      <w:r w:rsidRPr="00A23053" w:rsidR="002E1344">
        <w:t xml:space="preserve">, met name door </w:t>
      </w:r>
      <w:r w:rsidRPr="00A23053" w:rsidR="00073264">
        <w:t xml:space="preserve">meer aan te sluiten bij de rapportageverplichting uit </w:t>
      </w:r>
      <w:r w:rsidRPr="00A23053" w:rsidR="002E1344">
        <w:t>de Europese C</w:t>
      </w:r>
      <w:r w:rsidRPr="00A23053" w:rsidR="00073264">
        <w:t xml:space="preserve">orporate </w:t>
      </w:r>
      <w:proofErr w:type="spellStart"/>
      <w:r w:rsidRPr="00A23053" w:rsidR="002E1344">
        <w:t>S</w:t>
      </w:r>
      <w:r w:rsidRPr="00A23053" w:rsidR="00073264">
        <w:t>ustainability</w:t>
      </w:r>
      <w:proofErr w:type="spellEnd"/>
      <w:r w:rsidRPr="00A23053" w:rsidR="00073264">
        <w:t xml:space="preserve"> </w:t>
      </w:r>
      <w:r w:rsidRPr="00A23053" w:rsidR="002E1344">
        <w:t>R</w:t>
      </w:r>
      <w:r w:rsidRPr="00A23053" w:rsidR="00073264">
        <w:t xml:space="preserve">eporting </w:t>
      </w:r>
      <w:r w:rsidRPr="00A23053" w:rsidR="002E1344">
        <w:t>D</w:t>
      </w:r>
      <w:r w:rsidRPr="00A23053" w:rsidR="00073264">
        <w:t>irective</w:t>
      </w:r>
      <w:r w:rsidRPr="00A23053" w:rsidR="002E1344">
        <w:t>.</w:t>
      </w:r>
    </w:p>
    <w:p w:rsidRPr="00A23053" w:rsidR="00A565DE" w:rsidP="00A565DE" w:rsidRDefault="00A565DE" w14:paraId="06CFFD9C" w14:textId="77777777">
      <w:pPr>
        <w:rPr>
          <w:b/>
          <w:bCs/>
        </w:rPr>
      </w:pPr>
    </w:p>
    <w:tbl>
      <w:tblPr>
        <w:tblStyle w:val="Tabelraster"/>
        <w:tblW w:w="0" w:type="auto"/>
        <w:tblLook w:val="04A0" w:firstRow="1" w:lastRow="0" w:firstColumn="1" w:lastColumn="0" w:noHBand="0" w:noVBand="1"/>
      </w:tblPr>
      <w:tblGrid>
        <w:gridCol w:w="7519"/>
      </w:tblGrid>
      <w:tr w:rsidRPr="00A23053" w:rsidR="00A23053" w:rsidTr="00A565DE" w14:paraId="2355F26E" w14:textId="77777777">
        <w:tc>
          <w:tcPr>
            <w:tcW w:w="7519" w:type="dxa"/>
          </w:tcPr>
          <w:p w:rsidRPr="00A23053" w:rsidR="00A565DE" w:rsidP="00A565DE" w:rsidRDefault="00A565DE" w14:paraId="613805D2" w14:textId="012C1FBC">
            <w:r w:rsidRPr="00A23053">
              <w:rPr>
                <w:b/>
                <w:bCs/>
              </w:rPr>
              <w:t>Bespreekpunt</w:t>
            </w:r>
            <w:r w:rsidR="00895C06">
              <w:rPr>
                <w:b/>
                <w:bCs/>
              </w:rPr>
              <w:t xml:space="preserve"> agendapunt 2</w:t>
            </w:r>
            <w:r w:rsidRPr="00A23053">
              <w:t xml:space="preserve">: </w:t>
            </w:r>
          </w:p>
          <w:p w:rsidRPr="00A23053" w:rsidR="00A565DE" w:rsidP="00BD193A" w:rsidRDefault="00A565DE" w14:paraId="12F02F5E" w14:textId="6635E163">
            <w:pPr>
              <w:pStyle w:val="Lijstalinea"/>
              <w:numPr>
                <w:ilvl w:val="0"/>
                <w:numId w:val="29"/>
              </w:numPr>
            </w:pPr>
            <w:r w:rsidRPr="00A23053">
              <w:t>Eventueel kunt u aandachtspunten meegeven bij bovenstaande maatregelen.</w:t>
            </w:r>
          </w:p>
        </w:tc>
      </w:tr>
    </w:tbl>
    <w:p w:rsidR="009D2E83" w:rsidP="00A565DE" w:rsidRDefault="009D2E83" w14:paraId="67E6B89C" w14:textId="77777777">
      <w:pPr>
        <w:pStyle w:val="Lijstalinea"/>
        <w:ind w:left="360"/>
        <w:rPr>
          <w:i/>
          <w:iCs/>
        </w:rPr>
      </w:pPr>
    </w:p>
    <w:p w:rsidRPr="00A23053" w:rsidR="00A565DE" w:rsidP="00A565DE" w:rsidRDefault="00A565DE" w14:paraId="4739676C" w14:textId="5278306D">
      <w:pPr>
        <w:pStyle w:val="Lijstalinea"/>
        <w:ind w:left="360"/>
        <w:rPr>
          <w:i/>
          <w:iCs/>
        </w:rPr>
      </w:pPr>
      <w:r w:rsidRPr="009D2E83">
        <w:rPr>
          <w:i/>
          <w:iCs/>
          <w:u w:val="single"/>
        </w:rPr>
        <w:t>Bijlage 1:</w:t>
      </w:r>
      <w:r w:rsidRPr="00895C06">
        <w:rPr>
          <w:i/>
          <w:iCs/>
        </w:rPr>
        <w:t xml:space="preserve"> Tabel met overzicht van maatregelen </w:t>
      </w:r>
      <w:r w:rsidR="00997613">
        <w:rPr>
          <w:i/>
          <w:iCs/>
        </w:rPr>
        <w:t>PBL</w:t>
      </w:r>
    </w:p>
    <w:p w:rsidRPr="00A23053" w:rsidR="00B76844" w:rsidP="00A565DE" w:rsidRDefault="00B76844" w14:paraId="73985900" w14:textId="1791FF70">
      <w:pPr>
        <w:pStyle w:val="Lijstalinea"/>
        <w:ind w:left="360"/>
        <w:rPr>
          <w:i/>
          <w:iCs/>
        </w:rPr>
      </w:pPr>
      <w:r w:rsidRPr="009D2E83">
        <w:rPr>
          <w:i/>
          <w:iCs/>
          <w:u w:val="single"/>
        </w:rPr>
        <w:t>Bijlage 2</w:t>
      </w:r>
      <w:r w:rsidRPr="009D2E83" w:rsidR="00651F88">
        <w:rPr>
          <w:i/>
          <w:iCs/>
          <w:u w:val="single"/>
        </w:rPr>
        <w:t xml:space="preserve"> – bijgevoegd hieronder</w:t>
      </w:r>
      <w:r w:rsidRPr="00A23053">
        <w:rPr>
          <w:i/>
          <w:iCs/>
        </w:rPr>
        <w:t xml:space="preserve">: Tabel met overzicht </w:t>
      </w:r>
      <w:r w:rsidRPr="00A23053" w:rsidR="00891CA4">
        <w:rPr>
          <w:i/>
          <w:iCs/>
        </w:rPr>
        <w:t>van</w:t>
      </w:r>
      <w:r w:rsidRPr="00A23053">
        <w:rPr>
          <w:i/>
          <w:iCs/>
        </w:rPr>
        <w:t xml:space="preserve"> </w:t>
      </w:r>
      <w:r w:rsidRPr="00A23053" w:rsidR="00891CA4">
        <w:rPr>
          <w:i/>
          <w:iCs/>
        </w:rPr>
        <w:t>reserveringen</w:t>
      </w:r>
      <w:r w:rsidRPr="00A23053" w:rsidR="00CE4374">
        <w:rPr>
          <w:i/>
          <w:iCs/>
        </w:rPr>
        <w:t xml:space="preserve"> en voorwaardelijke toekenningen</w:t>
      </w:r>
      <w:r w:rsidRPr="00A23053" w:rsidR="00891CA4">
        <w:rPr>
          <w:i/>
          <w:iCs/>
        </w:rPr>
        <w:t xml:space="preserve"> uit het Meerjarenprogramma 202</w:t>
      </w:r>
      <w:r w:rsidR="004D43DB">
        <w:rPr>
          <w:i/>
          <w:iCs/>
        </w:rPr>
        <w:t>5</w:t>
      </w:r>
      <w:r w:rsidRPr="00A23053" w:rsidR="00891CA4">
        <w:rPr>
          <w:i/>
          <w:iCs/>
        </w:rPr>
        <w:t xml:space="preserve"> van het Klimaatfonds</w:t>
      </w:r>
      <w:r w:rsidR="009D2E83">
        <w:rPr>
          <w:i/>
          <w:iCs/>
        </w:rPr>
        <w:t xml:space="preserve"> en ambtelijke voorstellen Meerjarenprogramma 2026.</w:t>
      </w:r>
    </w:p>
    <w:p w:rsidRPr="00A23053" w:rsidR="006D57BD" w:rsidP="00634A0A" w:rsidRDefault="00A565DE" w14:paraId="42E4C471" w14:textId="588A2225">
      <w:pPr>
        <w:pStyle w:val="Lijstalinea"/>
        <w:numPr>
          <w:ilvl w:val="0"/>
          <w:numId w:val="20"/>
        </w:numPr>
        <w:rPr>
          <w:b/>
          <w:bCs/>
          <w:u w:val="single"/>
        </w:rPr>
      </w:pPr>
      <w:r w:rsidRPr="00A23053">
        <w:rPr>
          <w:b/>
          <w:bCs/>
          <w:u w:val="single"/>
        </w:rPr>
        <w:lastRenderedPageBreak/>
        <w:t>A</w:t>
      </w:r>
      <w:r w:rsidRPr="00A23053" w:rsidR="005A5285">
        <w:rPr>
          <w:b/>
          <w:bCs/>
          <w:u w:val="single"/>
        </w:rPr>
        <w:t>lternatief beleid</w:t>
      </w:r>
      <w:r w:rsidRPr="00A23053" w:rsidR="00556B45">
        <w:rPr>
          <w:b/>
          <w:bCs/>
          <w:u w:val="single"/>
        </w:rPr>
        <w:t xml:space="preserve"> voor Klimaat- en Energiedoelen</w:t>
      </w:r>
    </w:p>
    <w:p w:rsidRPr="00A23053" w:rsidR="00A565DE" w:rsidP="00EF2659" w:rsidRDefault="00E7435E" w14:paraId="2C9BCD77" w14:textId="3851B854">
      <w:pPr>
        <w:pStyle w:val="Lijstalinea"/>
        <w:numPr>
          <w:ilvl w:val="0"/>
          <w:numId w:val="41"/>
        </w:numPr>
      </w:pPr>
      <w:r w:rsidRPr="00A23053">
        <w:t>Conform afspraak in het H</w:t>
      </w:r>
      <w:r w:rsidRPr="00A23053" w:rsidR="00891CA4">
        <w:t xml:space="preserve">oofdlijnenakkoord en </w:t>
      </w:r>
      <w:proofErr w:type="spellStart"/>
      <w:r w:rsidRPr="00A23053" w:rsidR="00891CA4">
        <w:t>Regeerprogrammas</w:t>
      </w:r>
      <w:proofErr w:type="spellEnd"/>
      <w:r w:rsidRPr="00A23053">
        <w:t xml:space="preserve"> zal het kabinet alternatieve maatregelen treffen als de </w:t>
      </w:r>
      <w:r w:rsidRPr="00A23053" w:rsidR="005C629E">
        <w:t>klimaat- en energiedoelen niet binnen bereik zijn.</w:t>
      </w:r>
      <w:r w:rsidRPr="00A23053" w:rsidR="00124791">
        <w:t xml:space="preserve"> </w:t>
      </w:r>
    </w:p>
    <w:p w:rsidRPr="00A23053" w:rsidR="003D26DD" w:rsidP="00502C6F" w:rsidRDefault="00124791" w14:paraId="01E8BE35" w14:textId="15FC7B8E">
      <w:pPr>
        <w:pStyle w:val="Lijstalinea"/>
        <w:numPr>
          <w:ilvl w:val="0"/>
          <w:numId w:val="41"/>
        </w:numPr>
      </w:pPr>
      <w:r w:rsidRPr="00A23053">
        <w:t>Hieronder zijn enkele maatregelen opgenomen die richting voorjaar worden uitgewerkt:</w:t>
      </w:r>
      <w:r w:rsidRPr="00A23053">
        <w:br/>
      </w:r>
    </w:p>
    <w:p w:rsidRPr="00895C06" w:rsidR="00124791" w:rsidP="00BD193A" w:rsidRDefault="00124791" w14:paraId="6672938F" w14:textId="32B0DDE7">
      <w:pPr>
        <w:pStyle w:val="Lijstalinea"/>
        <w:numPr>
          <w:ilvl w:val="0"/>
          <w:numId w:val="51"/>
        </w:numPr>
        <w:rPr>
          <w:i/>
          <w:iCs/>
          <w:u w:val="single"/>
        </w:rPr>
      </w:pPr>
      <w:r w:rsidRPr="00895C06">
        <w:rPr>
          <w:i/>
          <w:iCs/>
          <w:u w:val="single"/>
        </w:rPr>
        <w:t>Hervorming autobelastingen en aanpalend mobiliteitsbeleid</w:t>
      </w:r>
    </w:p>
    <w:p w:rsidR="00124791" w:rsidP="00124791" w:rsidRDefault="00124791" w14:paraId="5493C976" w14:textId="77777777">
      <w:pPr>
        <w:pStyle w:val="Lijstalinea"/>
        <w:numPr>
          <w:ilvl w:val="0"/>
          <w:numId w:val="29"/>
        </w:numPr>
      </w:pPr>
      <w:r w:rsidRPr="00A23053">
        <w:t>In het Regeerprogramma is afgesproken dat het kabinet in het voorjaar van 2025 met een plan voor hervorming van de autobelastingen en het aanpalende mobiliteitsbeleid komt om een nieuwe balans te vinden tussen 1) realisatie klimaatdoelen, 2) betaalbaarheid, 3) overheidsfinanciën op orde en 4) bereikbaarheid.</w:t>
      </w:r>
    </w:p>
    <w:p w:rsidRPr="00A23053" w:rsidR="00D46090" w:rsidP="00124791" w:rsidRDefault="00502C6F" w14:paraId="283F3AF8" w14:textId="06671E22">
      <w:pPr>
        <w:pStyle w:val="Lijstalinea"/>
        <w:numPr>
          <w:ilvl w:val="0"/>
          <w:numId w:val="29"/>
        </w:numPr>
      </w:pPr>
      <w:r>
        <w:t xml:space="preserve">In bijlage </w:t>
      </w:r>
      <w:r w:rsidRPr="009D2E83">
        <w:t>3</w:t>
      </w:r>
      <w:r>
        <w:t xml:space="preserve"> is op </w:t>
      </w:r>
      <w:bookmarkStart w:name="_Hlk181113606" w:id="0"/>
      <w:r>
        <w:t>hoofdlijnen een plan van aanpak opgenomen met een eerste doorkijk naar de probleemanalyse.</w:t>
      </w:r>
      <w:bookmarkEnd w:id="0"/>
      <w:r>
        <w:t xml:space="preserve"> </w:t>
      </w:r>
    </w:p>
    <w:p w:rsidRPr="00A23053" w:rsidR="0003160D" w:rsidP="00BD193A" w:rsidRDefault="0003160D" w14:paraId="0112DD74" w14:textId="77777777"/>
    <w:p w:rsidRPr="00895C06" w:rsidR="00BE6F91" w:rsidP="00BD193A" w:rsidRDefault="003B1A9C" w14:paraId="25A0BC7A" w14:textId="77777777">
      <w:pPr>
        <w:pStyle w:val="Lijstalinea"/>
        <w:numPr>
          <w:ilvl w:val="0"/>
          <w:numId w:val="51"/>
        </w:numPr>
        <w:rPr>
          <w:i/>
          <w:iCs/>
          <w:u w:val="single"/>
        </w:rPr>
      </w:pPr>
      <w:r w:rsidRPr="00895C06">
        <w:rPr>
          <w:i/>
          <w:iCs/>
          <w:u w:val="single"/>
        </w:rPr>
        <w:t>Invulling rode diesel door belastingvoordeel duurzame diesel</w:t>
      </w:r>
    </w:p>
    <w:p w:rsidRPr="00A23053" w:rsidR="00BE6F91" w:rsidP="0003160D" w:rsidRDefault="00BE6F91" w14:paraId="6BD40340" w14:textId="187ADF64">
      <w:pPr>
        <w:pStyle w:val="Lijstalinea"/>
        <w:numPr>
          <w:ilvl w:val="0"/>
          <w:numId w:val="29"/>
        </w:numPr>
      </w:pPr>
      <w:r w:rsidRPr="00A23053">
        <w:t xml:space="preserve">Bij de uitwerking van de afspraak uit het Regeerprogramma kan worden verkend of het mogelijk is om de rode </w:t>
      </w:r>
      <w:r w:rsidRPr="00A23053" w:rsidR="0003160D">
        <w:t xml:space="preserve">diesel </w:t>
      </w:r>
      <w:r w:rsidRPr="00A23053">
        <w:t>in te vullen door duurzame diesel (HVO)</w:t>
      </w:r>
      <w:r w:rsidRPr="00A23053" w:rsidR="0003160D">
        <w:t>.</w:t>
      </w:r>
      <w:r w:rsidRPr="00A23053" w:rsidR="00067F46">
        <w:t xml:space="preserve"> De CO2-reductie kan oplopen tot 1,2 </w:t>
      </w:r>
      <w:proofErr w:type="spellStart"/>
      <w:r w:rsidRPr="00A23053" w:rsidR="00067F46">
        <w:t>Mton</w:t>
      </w:r>
      <w:proofErr w:type="spellEnd"/>
      <w:r w:rsidRPr="00A23053" w:rsidR="00067F46">
        <w:t xml:space="preserve"> in 2030.</w:t>
      </w:r>
    </w:p>
    <w:p w:rsidRPr="00A23053" w:rsidR="0003160D" w:rsidP="0003160D" w:rsidRDefault="0003160D" w14:paraId="2D51B252" w14:textId="0262077C">
      <w:pPr>
        <w:pStyle w:val="Lijstalinea"/>
        <w:numPr>
          <w:ilvl w:val="0"/>
          <w:numId w:val="29"/>
        </w:numPr>
      </w:pPr>
      <w:r w:rsidRPr="00A23053">
        <w:t>Op dit moment wordt bezien of dit uitvoeringstechnisch mogelijk is.</w:t>
      </w:r>
    </w:p>
    <w:p w:rsidRPr="00A23053" w:rsidR="00067F46" w:rsidP="0003160D" w:rsidRDefault="00067F46" w14:paraId="15FF71FF" w14:textId="30F4CAC3">
      <w:pPr>
        <w:pStyle w:val="Lijstalinea"/>
        <w:numPr>
          <w:ilvl w:val="0"/>
          <w:numId w:val="29"/>
        </w:numPr>
      </w:pPr>
      <w:r w:rsidRPr="00A23053">
        <w:t xml:space="preserve">Aangezien de inzet van HVO leidt tot meerkosten, wordt hiervoor een fiche </w:t>
      </w:r>
      <w:r w:rsidRPr="00A23053" w:rsidR="004D1ECA">
        <w:t>voorbereid voor het verkrijgen van middelen uit het Klimaatfonds.</w:t>
      </w:r>
      <w:r w:rsidRPr="00A23053">
        <w:t xml:space="preserve"> </w:t>
      </w:r>
    </w:p>
    <w:p w:rsidRPr="00A23053" w:rsidR="0003160D" w:rsidP="00BE6F91" w:rsidRDefault="0003160D" w14:paraId="24D56393" w14:textId="77777777">
      <w:pPr>
        <w:pStyle w:val="Lijstalinea"/>
        <w:ind w:left="1080"/>
        <w:rPr>
          <w:i/>
          <w:iCs/>
          <w:u w:val="single"/>
        </w:rPr>
      </w:pPr>
    </w:p>
    <w:p w:rsidRPr="00895C06" w:rsidR="00CD798E" w:rsidP="00BD193A" w:rsidRDefault="003B1A9C" w14:paraId="1B1BB3FB" w14:textId="57279C37">
      <w:pPr>
        <w:pStyle w:val="Lijstalinea"/>
        <w:numPr>
          <w:ilvl w:val="0"/>
          <w:numId w:val="51"/>
        </w:numPr>
        <w:rPr>
          <w:i/>
          <w:iCs/>
          <w:u w:val="single"/>
        </w:rPr>
      </w:pPr>
      <w:r w:rsidRPr="00895C06">
        <w:rPr>
          <w:i/>
          <w:iCs/>
          <w:u w:val="single"/>
        </w:rPr>
        <w:t>Verplichting inzet duurzame scheepsbrandstoffen (HVO) bij tenders voor wind op zee</w:t>
      </w:r>
    </w:p>
    <w:p w:rsidRPr="00A23053" w:rsidR="00067F46" w:rsidP="00556B45" w:rsidRDefault="0003160D" w14:paraId="0913E060" w14:textId="77777777">
      <w:pPr>
        <w:pStyle w:val="Lijstalinea"/>
        <w:numPr>
          <w:ilvl w:val="0"/>
          <w:numId w:val="29"/>
        </w:numPr>
      </w:pPr>
      <w:r w:rsidRPr="00A23053">
        <w:t>Op dit moment wordt verkend door KGG/</w:t>
      </w:r>
      <w:proofErr w:type="spellStart"/>
      <w:r w:rsidRPr="00A23053">
        <w:t>IenW</w:t>
      </w:r>
      <w:proofErr w:type="spellEnd"/>
      <w:r w:rsidRPr="00A23053">
        <w:t xml:space="preserve"> </w:t>
      </w:r>
      <w:r w:rsidRPr="00A23053" w:rsidR="00F26135">
        <w:t>in hoeverre dit kan worden toegepast bij het aangaan van nieuwe tenders.</w:t>
      </w:r>
    </w:p>
    <w:p w:rsidRPr="00A23053" w:rsidR="00556B45" w:rsidP="00556B45" w:rsidRDefault="00067F46" w14:paraId="63AE8FF8" w14:textId="1F968E25">
      <w:pPr>
        <w:pStyle w:val="Lijstalinea"/>
        <w:numPr>
          <w:ilvl w:val="0"/>
          <w:numId w:val="29"/>
        </w:numPr>
      </w:pPr>
      <w:r w:rsidRPr="00A23053">
        <w:t xml:space="preserve">Aangezien de meeste tenders tot en met 2030 al zijn uitgegeven, wordt daarnaast gekeken in hoeverre vrijwillige afspraken gemaakt kunnen worden met bedrijven over de bestaande tenders. Hiervoor wordt een fiche voorbereid voor het Klimaatfonds. De CO2-reductie kan oplopen tot 0,6 </w:t>
      </w:r>
      <w:proofErr w:type="spellStart"/>
      <w:r w:rsidRPr="00A23053">
        <w:t>Mton</w:t>
      </w:r>
      <w:proofErr w:type="spellEnd"/>
      <w:r w:rsidRPr="00A23053">
        <w:t xml:space="preserve"> in 2030 </w:t>
      </w:r>
    </w:p>
    <w:p w:rsidRPr="00A23053" w:rsidR="00F17DC9" w:rsidP="00651F88" w:rsidRDefault="00F17DC9" w14:paraId="2EDA5531" w14:textId="77777777"/>
    <w:p w:rsidRPr="00895C06" w:rsidR="00F17DC9" w:rsidP="00F17DC9" w:rsidRDefault="00F17DC9" w14:paraId="2D20773C" w14:textId="77777777">
      <w:pPr>
        <w:pStyle w:val="Lijstalinea"/>
        <w:numPr>
          <w:ilvl w:val="0"/>
          <w:numId w:val="51"/>
        </w:numPr>
        <w:rPr>
          <w:u w:val="single"/>
        </w:rPr>
      </w:pPr>
      <w:r>
        <w:rPr>
          <w:u w:val="single"/>
        </w:rPr>
        <w:t xml:space="preserve">Ter info: </w:t>
      </w:r>
      <w:r w:rsidRPr="00895C06">
        <w:rPr>
          <w:u w:val="single"/>
        </w:rPr>
        <w:t>Voorbereidingen Meerjarenprogramma 2025 (MJP2025) van het Klimaatfonds (KF)</w:t>
      </w:r>
    </w:p>
    <w:p w:rsidRPr="00A23053" w:rsidR="002D2BE9" w:rsidP="002D2BE9" w:rsidRDefault="00F17DC9" w14:paraId="38D6B074" w14:textId="55CB0110">
      <w:pPr>
        <w:pStyle w:val="Lijstalinea"/>
        <w:ind w:left="360"/>
      </w:pPr>
      <w:r>
        <w:t xml:space="preserve">In de bijlage is ter informatie een overzicht opgenomen van de maatregelen op het gebied van mobiliteit waar reeds middelen voor gereserveerd zijn uit het Klimaatfonds en nieuwe maatregelen die nog in ontwikkeling zijn. </w:t>
      </w:r>
      <w:r>
        <w:br/>
      </w:r>
    </w:p>
    <w:p w:rsidRPr="00895C06" w:rsidR="002D2BE9" w:rsidP="00A23053" w:rsidRDefault="002D2BE9" w14:paraId="3C3D8085" w14:textId="4FB9FB59">
      <w:pPr>
        <w:pStyle w:val="Lijstalinea"/>
        <w:numPr>
          <w:ilvl w:val="0"/>
          <w:numId w:val="51"/>
        </w:numPr>
        <w:rPr>
          <w:u w:val="single"/>
        </w:rPr>
      </w:pPr>
      <w:r w:rsidRPr="00895C06">
        <w:rPr>
          <w:u w:val="single"/>
        </w:rPr>
        <w:t>Invulling energiebesparingsplicht uit Europese Energy Efficiency Directive (EED)</w:t>
      </w:r>
    </w:p>
    <w:p w:rsidRPr="00A23053" w:rsidR="00397386" w:rsidRDefault="00397386" w14:paraId="694AEEFC" w14:textId="1B82335F">
      <w:pPr>
        <w:pStyle w:val="Lijstalinea"/>
        <w:numPr>
          <w:ilvl w:val="0"/>
          <w:numId w:val="29"/>
        </w:numPr>
      </w:pPr>
      <w:r w:rsidRPr="00A23053">
        <w:t xml:space="preserve">Op dit moment worden mogelijke maatregelen geïdentificeerd door </w:t>
      </w:r>
      <w:proofErr w:type="spellStart"/>
      <w:r w:rsidRPr="00A23053">
        <w:t>IenW</w:t>
      </w:r>
      <w:proofErr w:type="spellEnd"/>
      <w:r w:rsidRPr="00A23053">
        <w:t xml:space="preserve"> die een bijdrage kunnen leveren aan het verminderen van het energieverbruik in de mobiliteitssector.</w:t>
      </w:r>
      <w:r w:rsidR="00BF626C">
        <w:t xml:space="preserve"> </w:t>
      </w:r>
    </w:p>
    <w:p w:rsidRPr="00A23053" w:rsidR="009D2E83" w:rsidP="00D20DB0" w:rsidRDefault="00D82834" w14:paraId="477BDAD1" w14:textId="0004709E">
      <w:pPr>
        <w:pStyle w:val="Lijstalinea"/>
        <w:numPr>
          <w:ilvl w:val="0"/>
          <w:numId w:val="29"/>
        </w:numPr>
      </w:pPr>
      <w:r w:rsidRPr="00A23053">
        <w:lastRenderedPageBreak/>
        <w:t xml:space="preserve">Hierop volgt interdepartementale afstemming over per sector </w:t>
      </w:r>
      <w:proofErr w:type="spellStart"/>
      <w:r w:rsidRPr="00A23053">
        <w:t>geinventariseerde</w:t>
      </w:r>
      <w:proofErr w:type="spellEnd"/>
      <w:r w:rsidRPr="00A23053">
        <w:t xml:space="preserve"> maatregelen om te bezien of daarmee het  energiebesparingsdoel gerealiseerd kan worden.</w:t>
      </w:r>
      <w:r w:rsidR="00BF626C">
        <w:t xml:space="preserve"> Dit </w:t>
      </w:r>
      <w:r w:rsidR="004F176E">
        <w:t>zal in combinatie met</w:t>
      </w:r>
      <w:r w:rsidR="00BF626C">
        <w:t xml:space="preserve"> de klimaatmaatregelen</w:t>
      </w:r>
      <w:r w:rsidR="004F176E">
        <w:t xml:space="preserve"> plaatsvinden</w:t>
      </w:r>
      <w:r w:rsidR="00BF626C">
        <w:t xml:space="preserve">, zodat </w:t>
      </w:r>
      <w:r w:rsidR="004F176E">
        <w:t>hierover in samenhang kan worden besloten.</w:t>
      </w:r>
    </w:p>
    <w:p w:rsidRPr="00A23053" w:rsidR="00CD798E" w:rsidP="00CD798E" w:rsidRDefault="00CD798E" w14:paraId="71E56A95" w14:textId="38201F69"/>
    <w:tbl>
      <w:tblPr>
        <w:tblStyle w:val="Tabelraster"/>
        <w:tblW w:w="0" w:type="auto"/>
        <w:tblLook w:val="04A0" w:firstRow="1" w:lastRow="0" w:firstColumn="1" w:lastColumn="0" w:noHBand="0" w:noVBand="1"/>
      </w:tblPr>
      <w:tblGrid>
        <w:gridCol w:w="7519"/>
      </w:tblGrid>
      <w:tr w:rsidRPr="00A23053" w:rsidR="0003160D" w:rsidTr="0003160D" w14:paraId="20AAE2A2" w14:textId="77777777">
        <w:tc>
          <w:tcPr>
            <w:tcW w:w="7519" w:type="dxa"/>
          </w:tcPr>
          <w:p w:rsidRPr="00A23053" w:rsidR="0003160D" w:rsidP="0003160D" w:rsidRDefault="0003160D" w14:paraId="5410BA84" w14:textId="2B7A8AB7">
            <w:r w:rsidRPr="00A23053">
              <w:rPr>
                <w:b/>
                <w:bCs/>
              </w:rPr>
              <w:t>Bespreekpunt</w:t>
            </w:r>
            <w:r w:rsidR="00895C06">
              <w:rPr>
                <w:b/>
                <w:bCs/>
              </w:rPr>
              <w:t xml:space="preserve"> agendapunt 3</w:t>
            </w:r>
            <w:r w:rsidRPr="00A23053">
              <w:t xml:space="preserve">: </w:t>
            </w:r>
          </w:p>
          <w:p w:rsidRPr="00895C06" w:rsidR="0003160D" w:rsidP="009D2E83" w:rsidRDefault="0003160D" w14:paraId="20D03C90" w14:textId="577C7A93">
            <w:pPr>
              <w:pStyle w:val="Lijstalinea"/>
              <w:numPr>
                <w:ilvl w:val="0"/>
                <w:numId w:val="58"/>
              </w:numPr>
            </w:pPr>
            <w:r w:rsidRPr="00895C06">
              <w:rPr>
                <w:i/>
                <w:iCs/>
              </w:rPr>
              <w:t xml:space="preserve">Hoe wil </w:t>
            </w:r>
            <w:r w:rsidRPr="00895C06" w:rsidR="00891CA4">
              <w:rPr>
                <w:i/>
                <w:iCs/>
              </w:rPr>
              <w:t>S</w:t>
            </w:r>
            <w:r w:rsidRPr="00895C06">
              <w:rPr>
                <w:i/>
                <w:iCs/>
              </w:rPr>
              <w:t xml:space="preserve">I&amp;W invulling geven aan het </w:t>
            </w:r>
            <w:r w:rsidRPr="00895C06" w:rsidR="00891CA4">
              <w:rPr>
                <w:i/>
                <w:iCs/>
              </w:rPr>
              <w:t xml:space="preserve">indicatieve </w:t>
            </w:r>
            <w:r w:rsidRPr="00895C06">
              <w:rPr>
                <w:i/>
                <w:iCs/>
              </w:rPr>
              <w:t>sectordoel</w:t>
            </w:r>
            <w:r w:rsidRPr="00895C06" w:rsidR="00891CA4">
              <w:rPr>
                <w:i/>
                <w:iCs/>
              </w:rPr>
              <w:t xml:space="preserve"> van 21 </w:t>
            </w:r>
            <w:proofErr w:type="spellStart"/>
            <w:r w:rsidRPr="00895C06" w:rsidR="00891CA4">
              <w:rPr>
                <w:i/>
                <w:iCs/>
              </w:rPr>
              <w:t>Mton</w:t>
            </w:r>
            <w:proofErr w:type="spellEnd"/>
            <w:r w:rsidRPr="00895C06" w:rsidR="00891CA4">
              <w:rPr>
                <w:i/>
                <w:iCs/>
              </w:rPr>
              <w:t xml:space="preserve"> in 2030</w:t>
            </w:r>
            <w:r w:rsidR="00BF626C">
              <w:rPr>
                <w:i/>
                <w:iCs/>
              </w:rPr>
              <w:t xml:space="preserve"> en het nationale EED doel</w:t>
            </w:r>
            <w:r w:rsidRPr="00895C06">
              <w:rPr>
                <w:i/>
                <w:iCs/>
              </w:rPr>
              <w:t>?</w:t>
            </w:r>
          </w:p>
          <w:p w:rsidRPr="009D2E83" w:rsidR="00502C6F" w:rsidP="00502C6F" w:rsidRDefault="004D1ECA" w14:paraId="7C12E8A3" w14:textId="77777777">
            <w:pPr>
              <w:pStyle w:val="Lijstalinea"/>
              <w:numPr>
                <w:ilvl w:val="0"/>
                <w:numId w:val="58"/>
              </w:numPr>
            </w:pPr>
            <w:r w:rsidRPr="00895C06">
              <w:rPr>
                <w:i/>
                <w:iCs/>
              </w:rPr>
              <w:t xml:space="preserve">Ten aanzien van hervorming van de autobelastingen (onderdeel </w:t>
            </w:r>
            <w:r w:rsidR="00BF626C">
              <w:rPr>
                <w:i/>
                <w:iCs/>
              </w:rPr>
              <w:t>3.</w:t>
            </w:r>
            <w:r w:rsidRPr="00895C06">
              <w:rPr>
                <w:i/>
                <w:iCs/>
              </w:rPr>
              <w:t>A)</w:t>
            </w:r>
            <w:r w:rsidR="00502C6F">
              <w:rPr>
                <w:i/>
                <w:iCs/>
              </w:rPr>
              <w:t>:</w:t>
            </w:r>
          </w:p>
          <w:p w:rsidR="00502C6F" w:rsidP="00502C6F" w:rsidRDefault="00502C6F" w14:paraId="65D6C258" w14:textId="3093A400">
            <w:pPr>
              <w:pStyle w:val="Lijstalinea"/>
              <w:numPr>
                <w:ilvl w:val="1"/>
                <w:numId w:val="58"/>
              </w:numPr>
            </w:pPr>
            <w:r>
              <w:t>Gaat u akkoord met de planning en aanpak zoals voorgesteld in bijgevoegd memo, met de afspraak dat zonder taboes maatregelen worden uitgewerkt richting het voorjaar?</w:t>
            </w:r>
          </w:p>
          <w:p w:rsidR="00502C6F" w:rsidP="009D2E83" w:rsidRDefault="00502C6F" w14:paraId="7AEA9257" w14:textId="698B81D9">
            <w:pPr>
              <w:pStyle w:val="Lijstalinea"/>
              <w:numPr>
                <w:ilvl w:val="1"/>
                <w:numId w:val="58"/>
              </w:numPr>
            </w:pPr>
            <w:r>
              <w:t>Heeft u aandachtspunten bij de eerste aanzet van de probleemanalyse en de doorkijk naar mogelijke oplossingsrichtingen?</w:t>
            </w:r>
          </w:p>
          <w:p w:rsidRPr="00895C06" w:rsidR="0003160D" w:rsidP="009D2E83" w:rsidRDefault="0003160D" w14:paraId="7FF31FC4" w14:textId="0037E265">
            <w:pPr>
              <w:pStyle w:val="Lijstalinea"/>
              <w:numPr>
                <w:ilvl w:val="0"/>
                <w:numId w:val="58"/>
              </w:numPr>
              <w:rPr>
                <w:i/>
                <w:iCs/>
              </w:rPr>
            </w:pPr>
            <w:r w:rsidRPr="00895C06">
              <w:rPr>
                <w:i/>
                <w:iCs/>
              </w:rPr>
              <w:t xml:space="preserve">Eventueel kunnen </w:t>
            </w:r>
            <w:r w:rsidRPr="00895C06" w:rsidR="004D1ECA">
              <w:rPr>
                <w:i/>
                <w:iCs/>
              </w:rPr>
              <w:t xml:space="preserve">overige </w:t>
            </w:r>
            <w:r w:rsidRPr="00895C06">
              <w:rPr>
                <w:i/>
                <w:iCs/>
              </w:rPr>
              <w:t xml:space="preserve">aandachtspunten worden meegegeven bij </w:t>
            </w:r>
            <w:r w:rsidRPr="00895C06" w:rsidR="004D1ECA">
              <w:rPr>
                <w:i/>
                <w:iCs/>
              </w:rPr>
              <w:t xml:space="preserve">andere hiervoor genoemde </w:t>
            </w:r>
            <w:r w:rsidRPr="00895C06">
              <w:rPr>
                <w:i/>
                <w:iCs/>
              </w:rPr>
              <w:t>maatregelen</w:t>
            </w:r>
          </w:p>
          <w:p w:rsidRPr="00A23053" w:rsidR="0003160D" w:rsidP="00CD798E" w:rsidRDefault="0003160D" w14:paraId="3EC4D84D" w14:textId="77777777">
            <w:pPr>
              <w:rPr>
                <w:b/>
                <w:bCs/>
              </w:rPr>
            </w:pPr>
          </w:p>
        </w:tc>
      </w:tr>
    </w:tbl>
    <w:p w:rsidRPr="009D2E83" w:rsidR="006931A2" w:rsidP="009D2E83" w:rsidRDefault="009D2E83" w14:paraId="2BF298B9" w14:textId="67CACDD6">
      <w:pPr>
        <w:pStyle w:val="Lijstalinea"/>
        <w:ind w:left="360"/>
        <w:rPr>
          <w:i/>
          <w:iCs/>
        </w:rPr>
      </w:pPr>
      <w:r w:rsidRPr="009D2E83">
        <w:rPr>
          <w:i/>
          <w:iCs/>
          <w:u w:val="single"/>
        </w:rPr>
        <w:t>Bijlage 3:</w:t>
      </w:r>
      <w:r w:rsidRPr="009D2E83">
        <w:rPr>
          <w:i/>
          <w:iCs/>
        </w:rPr>
        <w:t xml:space="preserve"> </w:t>
      </w:r>
      <w:r>
        <w:rPr>
          <w:i/>
          <w:iCs/>
        </w:rPr>
        <w:t>Aanpak voorbereiding voorjaarsbesluitvorming</w:t>
      </w:r>
      <w:r w:rsidR="004F176E">
        <w:rPr>
          <w:i/>
          <w:iCs/>
        </w:rPr>
        <w:t xml:space="preserve"> autodossier (</w:t>
      </w:r>
      <w:r>
        <w:rPr>
          <w:i/>
          <w:iCs/>
        </w:rPr>
        <w:t>hervorming autobelastingen</w:t>
      </w:r>
      <w:r w:rsidR="004F176E">
        <w:rPr>
          <w:i/>
          <w:iCs/>
        </w:rPr>
        <w:t>)</w:t>
      </w:r>
      <w:r w:rsidRPr="009D2E83">
        <w:rPr>
          <w:i/>
          <w:iCs/>
        </w:rPr>
        <w:t>.</w:t>
      </w:r>
    </w:p>
    <w:p w:rsidRPr="00A23053" w:rsidR="006931A2" w:rsidP="006931A2" w:rsidRDefault="006931A2" w14:paraId="3AEEFBEE" w14:textId="77777777"/>
    <w:p w:rsidRPr="00A23053" w:rsidR="0003160D" w:rsidRDefault="009D2E83" w14:paraId="31F4B42C" w14:textId="57C3CDE3">
      <w:pPr>
        <w:spacing w:line="240" w:lineRule="auto"/>
        <w:rPr>
          <w:b/>
          <w:bCs/>
          <w:u w:val="single"/>
        </w:rPr>
      </w:pPr>
      <w:r>
        <w:rPr>
          <w:b/>
          <w:bCs/>
        </w:rPr>
        <w:t>--------------------</w:t>
      </w:r>
      <w:r w:rsidRPr="00A23053" w:rsidR="0003160D">
        <w:rPr>
          <w:b/>
          <w:bCs/>
          <w:u w:val="single"/>
        </w:rPr>
        <w:br w:type="page"/>
      </w:r>
    </w:p>
    <w:p w:rsidR="00997613" w:rsidP="002165C2" w:rsidRDefault="00895C06" w14:paraId="723D49AF" w14:textId="14FBCD15">
      <w:pPr>
        <w:rPr>
          <w:b/>
          <w:bCs/>
        </w:rPr>
      </w:pPr>
      <w:r>
        <w:rPr>
          <w:b/>
          <w:bCs/>
          <w:u w:val="single"/>
        </w:rPr>
        <w:lastRenderedPageBreak/>
        <w:t>Bijlage 2</w:t>
      </w:r>
    </w:p>
    <w:p w:rsidRPr="00895C06" w:rsidR="000779F0" w:rsidP="002165C2" w:rsidRDefault="00895C06" w14:paraId="4B519444" w14:textId="00153107">
      <w:pPr>
        <w:rPr>
          <w:b/>
          <w:bCs/>
        </w:rPr>
      </w:pPr>
      <w:r>
        <w:rPr>
          <w:b/>
          <w:bCs/>
        </w:rPr>
        <w:t>Klimaatm</w:t>
      </w:r>
      <w:r w:rsidRPr="00895C06">
        <w:rPr>
          <w:b/>
          <w:bCs/>
        </w:rPr>
        <w:t>aatregelen waarvoor in het Meerjarenprogramma 202</w:t>
      </w:r>
      <w:r w:rsidR="004D43DB">
        <w:rPr>
          <w:b/>
          <w:bCs/>
        </w:rPr>
        <w:t>5</w:t>
      </w:r>
      <w:r w:rsidRPr="00895C06">
        <w:rPr>
          <w:b/>
          <w:bCs/>
        </w:rPr>
        <w:t xml:space="preserve"> een reservering is opgenomen of onder voorwaarden een bijdrage is toegekend uit het Klimaatfonds</w:t>
      </w:r>
    </w:p>
    <w:tbl>
      <w:tblPr>
        <w:tblStyle w:val="Tabelraster"/>
        <w:tblW w:w="8536" w:type="dxa"/>
        <w:tblLook w:val="04A0" w:firstRow="1" w:lastRow="0" w:firstColumn="1" w:lastColumn="0" w:noHBand="0" w:noVBand="1"/>
      </w:tblPr>
      <w:tblGrid>
        <w:gridCol w:w="3145"/>
        <w:gridCol w:w="5391"/>
      </w:tblGrid>
      <w:tr w:rsidR="000779F0" w:rsidTr="009D2E83" w14:paraId="37889104" w14:textId="77777777">
        <w:trPr>
          <w:trHeight w:val="242"/>
        </w:trPr>
        <w:tc>
          <w:tcPr>
            <w:tcW w:w="3145" w:type="dxa"/>
          </w:tcPr>
          <w:p w:rsidR="000779F0" w:rsidP="00186B3F" w:rsidRDefault="000779F0" w14:paraId="2955C4C3" w14:textId="77777777">
            <w:pPr>
              <w:rPr>
                <w:b/>
                <w:bCs/>
                <w:u w:val="single"/>
              </w:rPr>
            </w:pPr>
            <w:r w:rsidRPr="00AC5D95">
              <w:rPr>
                <w:b/>
                <w:bCs/>
              </w:rPr>
              <w:t>Maatregel</w:t>
            </w:r>
          </w:p>
        </w:tc>
        <w:tc>
          <w:tcPr>
            <w:tcW w:w="5391" w:type="dxa"/>
          </w:tcPr>
          <w:p w:rsidR="000779F0" w:rsidP="00186B3F" w:rsidRDefault="000779F0" w14:paraId="5A6A3538" w14:textId="77777777">
            <w:pPr>
              <w:rPr>
                <w:b/>
                <w:bCs/>
                <w:u w:val="single"/>
              </w:rPr>
            </w:pPr>
            <w:r>
              <w:rPr>
                <w:b/>
                <w:bCs/>
              </w:rPr>
              <w:t xml:space="preserve">Toelichting </w:t>
            </w:r>
          </w:p>
        </w:tc>
      </w:tr>
      <w:tr w:rsidR="000779F0" w:rsidTr="009D2E83" w14:paraId="27E3FFC7" w14:textId="77777777">
        <w:trPr>
          <w:trHeight w:val="744"/>
        </w:trPr>
        <w:tc>
          <w:tcPr>
            <w:tcW w:w="3145" w:type="dxa"/>
          </w:tcPr>
          <w:p w:rsidRPr="003D0D24" w:rsidR="000779F0" w:rsidP="00186B3F" w:rsidRDefault="000779F0" w14:paraId="0D3020F8" w14:textId="77777777">
            <w:r w:rsidRPr="003D0D24">
              <w:t>Duurzame luchtvaartbrandstoffen (e-</w:t>
            </w:r>
            <w:proofErr w:type="spellStart"/>
            <w:r w:rsidRPr="003D0D24">
              <w:t>fuels</w:t>
            </w:r>
            <w:proofErr w:type="spellEnd"/>
            <w:r w:rsidRPr="003D0D24">
              <w:t>)</w:t>
            </w:r>
          </w:p>
        </w:tc>
        <w:tc>
          <w:tcPr>
            <w:tcW w:w="5391" w:type="dxa"/>
          </w:tcPr>
          <w:p w:rsidRPr="003D0D24" w:rsidR="000779F0" w:rsidP="00186B3F" w:rsidRDefault="00BF626C" w14:paraId="0A6D8DC2" w14:textId="1AF76597">
            <w:r w:rsidRPr="003D0D24">
              <w:t xml:space="preserve">Reservering € 150 mln. </w:t>
            </w:r>
            <w:r>
              <w:t>onder voorwaarde dat kennisdeling wordt geborgd en overlap met NIKI voorkomen wordt.</w:t>
            </w:r>
          </w:p>
        </w:tc>
      </w:tr>
      <w:tr w:rsidR="000779F0" w:rsidTr="009D2E83" w14:paraId="74334898" w14:textId="77777777">
        <w:trPr>
          <w:trHeight w:val="571"/>
        </w:trPr>
        <w:tc>
          <w:tcPr>
            <w:tcW w:w="3145" w:type="dxa"/>
          </w:tcPr>
          <w:p w:rsidRPr="003D0D24" w:rsidR="000779F0" w:rsidP="00186B3F" w:rsidRDefault="000779F0" w14:paraId="70D846E3" w14:textId="77777777">
            <w:r w:rsidRPr="003D0D24">
              <w:t>Subsidie voor waterstof in binnenvaart</w:t>
            </w:r>
          </w:p>
        </w:tc>
        <w:tc>
          <w:tcPr>
            <w:tcW w:w="5391" w:type="dxa"/>
          </w:tcPr>
          <w:p w:rsidRPr="003D0D24" w:rsidR="000779F0" w:rsidP="00186B3F" w:rsidRDefault="00BF626C" w14:paraId="34246B40" w14:textId="200105DC">
            <w:r>
              <w:t>Reservering € 33,5 mln. onder voorwaarde dat besluit REDIII naar RvS verzonden is met verplichting 14,5% CO</w:t>
            </w:r>
            <w:r w:rsidRPr="00157DA5">
              <w:rPr>
                <w:vertAlign w:val="subscript"/>
              </w:rPr>
              <w:t>2</w:t>
            </w:r>
            <w:r>
              <w:t xml:space="preserve">-reductie en dat </w:t>
            </w:r>
            <w:proofErr w:type="spellStart"/>
            <w:r>
              <w:t>opt</w:t>
            </w:r>
            <w:proofErr w:type="spellEnd"/>
            <w:r>
              <w:t xml:space="preserve">-in ETS2 blijft doorgaan.  </w:t>
            </w:r>
          </w:p>
        </w:tc>
      </w:tr>
      <w:tr w:rsidR="000779F0" w:rsidTr="009D2E83" w14:paraId="7EEB2F96" w14:textId="77777777">
        <w:trPr>
          <w:trHeight w:val="693"/>
        </w:trPr>
        <w:tc>
          <w:tcPr>
            <w:tcW w:w="3145" w:type="dxa"/>
          </w:tcPr>
          <w:p w:rsidRPr="003D0D24" w:rsidR="000779F0" w:rsidP="00186B3F" w:rsidRDefault="000779F0" w14:paraId="6E74E0F5" w14:textId="77777777">
            <w:r w:rsidRPr="003D0D24">
              <w:t>M7: monitoren van CO2-prestaties en prestatieafspraken goederenvervoer</w:t>
            </w:r>
          </w:p>
        </w:tc>
        <w:tc>
          <w:tcPr>
            <w:tcW w:w="5391" w:type="dxa"/>
          </w:tcPr>
          <w:p w:rsidRPr="003D0D24" w:rsidR="000779F0" w:rsidP="00186B3F" w:rsidRDefault="00BF626C" w14:paraId="14E70D05" w14:textId="624A7EA5">
            <w:r w:rsidRPr="003D0D24">
              <w:t xml:space="preserve">Reservering  € 6,0 mln. </w:t>
            </w:r>
            <w:r>
              <w:t xml:space="preserve">onder voorwaarde van nadere uitwerking en voldoende voortgang op </w:t>
            </w:r>
            <w:r w:rsidRPr="003D0D24">
              <w:t xml:space="preserve"> CO</w:t>
            </w:r>
            <w:r w:rsidRPr="00157DA5">
              <w:rPr>
                <w:vertAlign w:val="subscript"/>
              </w:rPr>
              <w:t>2</w:t>
            </w:r>
            <w:r w:rsidRPr="003D0D24">
              <w:t>-normering voor het goederenvervoer over weg, water en spoor</w:t>
            </w:r>
            <w:r>
              <w:t>.</w:t>
            </w:r>
          </w:p>
        </w:tc>
      </w:tr>
      <w:tr w:rsidR="00895C06" w:rsidTr="009D2E83" w14:paraId="28EEEABF" w14:textId="77777777">
        <w:trPr>
          <w:trHeight w:val="693"/>
        </w:trPr>
        <w:tc>
          <w:tcPr>
            <w:tcW w:w="3145" w:type="dxa"/>
            <w:hideMark/>
          </w:tcPr>
          <w:p w:rsidR="00895C06" w:rsidRDefault="00895C06" w14:paraId="23B3A63B" w14:textId="77777777">
            <w:pPr>
              <w:rPr>
                <w:rFonts w:ascii="Calibri" w:hAnsi="Calibri"/>
                <w:sz w:val="22"/>
                <w:szCs w:val="22"/>
                <w:lang w:val="en-US" w:eastAsia="en-US"/>
              </w:rPr>
            </w:pPr>
            <w:r>
              <w:rPr>
                <w:lang w:val="en-US" w:eastAsia="en-US"/>
              </w:rPr>
              <w:t>Elektric Road system</w:t>
            </w:r>
          </w:p>
        </w:tc>
        <w:tc>
          <w:tcPr>
            <w:tcW w:w="5391" w:type="dxa"/>
            <w:hideMark/>
          </w:tcPr>
          <w:p w:rsidR="00895C06" w:rsidRDefault="00895C06" w14:paraId="3DFCDE74" w14:textId="77777777">
            <w:pPr>
              <w:rPr>
                <w:lang w:eastAsia="en-US"/>
              </w:rPr>
            </w:pPr>
            <w:r>
              <w:rPr>
                <w:lang w:eastAsia="en-US"/>
              </w:rPr>
              <w:t xml:space="preserve">€ 20 </w:t>
            </w:r>
            <w:proofErr w:type="spellStart"/>
            <w:r>
              <w:rPr>
                <w:lang w:eastAsia="en-US"/>
              </w:rPr>
              <w:t>mln</w:t>
            </w:r>
            <w:proofErr w:type="spellEnd"/>
            <w:r>
              <w:rPr>
                <w:lang w:eastAsia="en-US"/>
              </w:rPr>
              <w:t xml:space="preserve"> toegekend onder voorwaarde. Gekoppeld aan afronding en positieve uitkomst Haalbaarheidsstudie van TNO, waaruit ook moet blijken dat er voldoende prikkels zijn voor vervoerders om ook ERS-compatibele vrachtwagens aan te schaffen</w:t>
            </w:r>
          </w:p>
        </w:tc>
      </w:tr>
      <w:tr w:rsidR="00895C06" w:rsidTr="009D2E83" w14:paraId="4B256560" w14:textId="77777777">
        <w:trPr>
          <w:trHeight w:val="693"/>
        </w:trPr>
        <w:tc>
          <w:tcPr>
            <w:tcW w:w="3145" w:type="dxa"/>
            <w:hideMark/>
          </w:tcPr>
          <w:p w:rsidR="00895C06" w:rsidRDefault="00895C06" w14:paraId="70B07CB9" w14:textId="77777777">
            <w:pPr>
              <w:rPr>
                <w:lang w:val="en-US" w:eastAsia="en-US"/>
              </w:rPr>
            </w:pPr>
            <w:proofErr w:type="spellStart"/>
            <w:r>
              <w:rPr>
                <w:lang w:val="en-US" w:eastAsia="en-US"/>
              </w:rPr>
              <w:t>Aanscherpen</w:t>
            </w:r>
            <w:proofErr w:type="spellEnd"/>
            <w:r>
              <w:rPr>
                <w:lang w:val="en-US" w:eastAsia="en-US"/>
              </w:rPr>
              <w:t xml:space="preserve"> </w:t>
            </w:r>
            <w:proofErr w:type="spellStart"/>
            <w:r>
              <w:rPr>
                <w:lang w:val="en-US" w:eastAsia="en-US"/>
              </w:rPr>
              <w:t>normen</w:t>
            </w:r>
            <w:proofErr w:type="spellEnd"/>
            <w:r>
              <w:rPr>
                <w:lang w:val="en-US" w:eastAsia="en-US"/>
              </w:rPr>
              <w:t xml:space="preserve"> </w:t>
            </w:r>
            <w:proofErr w:type="spellStart"/>
            <w:r>
              <w:rPr>
                <w:lang w:val="en-US" w:eastAsia="en-US"/>
              </w:rPr>
              <w:t>duurzaam</w:t>
            </w:r>
            <w:proofErr w:type="spellEnd"/>
            <w:r>
              <w:rPr>
                <w:lang w:val="en-US" w:eastAsia="en-US"/>
              </w:rPr>
              <w:t xml:space="preserve"> </w:t>
            </w:r>
            <w:proofErr w:type="spellStart"/>
            <w:r>
              <w:rPr>
                <w:lang w:val="en-US" w:eastAsia="en-US"/>
              </w:rPr>
              <w:t>inkopen</w:t>
            </w:r>
            <w:proofErr w:type="spellEnd"/>
          </w:p>
        </w:tc>
        <w:tc>
          <w:tcPr>
            <w:tcW w:w="5391" w:type="dxa"/>
            <w:hideMark/>
          </w:tcPr>
          <w:p w:rsidR="00895C06" w:rsidRDefault="00895C06" w14:paraId="3DADAF28" w14:textId="77777777">
            <w:pPr>
              <w:rPr>
                <w:lang w:eastAsia="en-US"/>
              </w:rPr>
            </w:pPr>
            <w:r>
              <w:rPr>
                <w:lang w:eastAsia="en-US"/>
              </w:rPr>
              <w:t xml:space="preserve">€ 30, 2 </w:t>
            </w:r>
            <w:proofErr w:type="spellStart"/>
            <w:r>
              <w:rPr>
                <w:lang w:eastAsia="en-US"/>
              </w:rPr>
              <w:t>mln</w:t>
            </w:r>
            <w:proofErr w:type="spellEnd"/>
            <w:r>
              <w:rPr>
                <w:lang w:eastAsia="en-US"/>
              </w:rPr>
              <w:t xml:space="preserve"> toegekend onder voorwaarde dat de internetconsultatie van de aanpassing van RBSW is afgerond en regeling is hierop aangepast.</w:t>
            </w:r>
          </w:p>
        </w:tc>
      </w:tr>
    </w:tbl>
    <w:p w:rsidR="000779F0" w:rsidP="008075BC" w:rsidRDefault="000779F0" w14:paraId="0D4310C0" w14:textId="77777777"/>
    <w:p w:rsidRPr="00A23053" w:rsidR="00F17DC9" w:rsidP="00F17DC9" w:rsidRDefault="00F17DC9" w14:paraId="2C81B570" w14:textId="06E75CBB">
      <w:pPr>
        <w:pStyle w:val="Lijstalinea"/>
        <w:numPr>
          <w:ilvl w:val="0"/>
          <w:numId w:val="29"/>
        </w:numPr>
      </w:pPr>
      <w:r w:rsidRPr="00A23053">
        <w:t xml:space="preserve">Vanuit </w:t>
      </w:r>
      <w:proofErr w:type="spellStart"/>
      <w:r w:rsidRPr="00A23053">
        <w:t>IenW</w:t>
      </w:r>
      <w:proofErr w:type="spellEnd"/>
      <w:r w:rsidRPr="00A23053">
        <w:t xml:space="preserve"> zijn op ambtelijk niveau </w:t>
      </w:r>
      <w:r>
        <w:t xml:space="preserve">in aanvulling hierop </w:t>
      </w:r>
      <w:r w:rsidRPr="00A23053">
        <w:t xml:space="preserve">de volgende </w:t>
      </w:r>
      <w:r>
        <w:t>klimaatfondsvoorstellen</w:t>
      </w:r>
      <w:r w:rsidRPr="00A23053">
        <w:t xml:space="preserve"> in voorbereiding</w:t>
      </w:r>
      <w:r w:rsidR="009D2E83">
        <w:t xml:space="preserve"> voor het MJP 2026</w:t>
      </w:r>
      <w:r w:rsidRPr="00A23053">
        <w:t>:</w:t>
      </w:r>
    </w:p>
    <w:p w:rsidRPr="00A23053" w:rsidR="00F17DC9" w:rsidP="00F17DC9" w:rsidRDefault="00F17DC9" w14:paraId="071A542C" w14:textId="77777777">
      <w:pPr>
        <w:pStyle w:val="Lijstalinea"/>
        <w:numPr>
          <w:ilvl w:val="1"/>
          <w:numId w:val="29"/>
        </w:numPr>
      </w:pPr>
      <w:r>
        <w:t>M</w:t>
      </w:r>
      <w:r w:rsidRPr="00A23053">
        <w:t>eerkosten HVO in landbouwvoertuigen in plaats van rode diesel (zie hiervoor)</w:t>
      </w:r>
    </w:p>
    <w:p w:rsidRPr="00A23053" w:rsidR="00F17DC9" w:rsidP="00F17DC9" w:rsidRDefault="00F17DC9" w14:paraId="181BD53B" w14:textId="77777777">
      <w:pPr>
        <w:pStyle w:val="Lijstalinea"/>
        <w:numPr>
          <w:ilvl w:val="1"/>
          <w:numId w:val="29"/>
        </w:numPr>
      </w:pPr>
      <w:r>
        <w:t>M</w:t>
      </w:r>
      <w:r w:rsidRPr="00A23053">
        <w:t>eerkosten HVO in werkschepen voor wind op zee (zie hiervoor)</w:t>
      </w:r>
    </w:p>
    <w:p w:rsidRPr="00A23053" w:rsidR="00F17DC9" w:rsidP="00F17DC9" w:rsidRDefault="00F17DC9" w14:paraId="7ED00994" w14:textId="77777777">
      <w:pPr>
        <w:pStyle w:val="Lijstalinea"/>
        <w:numPr>
          <w:ilvl w:val="1"/>
          <w:numId w:val="29"/>
        </w:numPr>
      </w:pPr>
      <w:r>
        <w:t>C</w:t>
      </w:r>
      <w:r w:rsidRPr="00A23053">
        <w:t>ommunicatie over juiste bandenspanning voertuigen</w:t>
      </w:r>
    </w:p>
    <w:p w:rsidRPr="00A23053" w:rsidR="00F17DC9" w:rsidP="00F17DC9" w:rsidRDefault="00F17DC9" w14:paraId="0E0C681B" w14:textId="77777777">
      <w:pPr>
        <w:pStyle w:val="Lijstalinea"/>
        <w:numPr>
          <w:ilvl w:val="1"/>
          <w:numId w:val="29"/>
        </w:numPr>
      </w:pPr>
      <w:r>
        <w:t>R</w:t>
      </w:r>
      <w:r w:rsidRPr="00A23053">
        <w:t>ealisatie van elektrisch aangedreven waddenveerboten.</w:t>
      </w:r>
    </w:p>
    <w:p w:rsidRPr="00A23053" w:rsidR="00F17DC9" w:rsidP="00F17DC9" w:rsidRDefault="00F17DC9" w14:paraId="0D0298AC" w14:textId="77777777">
      <w:pPr>
        <w:pStyle w:val="Lijstalinea"/>
        <w:numPr>
          <w:ilvl w:val="1"/>
          <w:numId w:val="29"/>
        </w:numPr>
      </w:pPr>
      <w:r>
        <w:t>V</w:t>
      </w:r>
      <w:r w:rsidRPr="00A23053">
        <w:t>erduurzaming spoorgoederenvervoer. (</w:t>
      </w:r>
      <w:proofErr w:type="spellStart"/>
      <w:r w:rsidRPr="00A23053">
        <w:t>bijv</w:t>
      </w:r>
      <w:proofErr w:type="spellEnd"/>
      <w:r w:rsidRPr="00A23053">
        <w:t xml:space="preserve"> elektrificatie en subsidieregeling vervangen of ombouwen diesellocomotieven).</w:t>
      </w:r>
    </w:p>
    <w:p w:rsidRPr="00A23053" w:rsidR="00F17DC9" w:rsidP="00F17DC9" w:rsidRDefault="00F17DC9" w14:paraId="37A7AF30" w14:textId="77777777">
      <w:pPr>
        <w:pStyle w:val="Lijstalinea"/>
        <w:numPr>
          <w:ilvl w:val="1"/>
          <w:numId w:val="29"/>
        </w:numPr>
      </w:pPr>
      <w:r>
        <w:t>G</w:t>
      </w:r>
      <w:r w:rsidRPr="00A23053">
        <w:t>e</w:t>
      </w:r>
      <w:r>
        <w:t>f</w:t>
      </w:r>
      <w:r w:rsidRPr="00A23053">
        <w:t xml:space="preserve">aseerd vervangen dieselreizigerstreinen door zero-emissietreinen in </w:t>
      </w:r>
      <w:proofErr w:type="spellStart"/>
      <w:r w:rsidRPr="00A23053">
        <w:t>noord-Nederland</w:t>
      </w:r>
      <w:proofErr w:type="spellEnd"/>
      <w:r w:rsidRPr="00A23053">
        <w:t>.</w:t>
      </w:r>
    </w:p>
    <w:p w:rsidRPr="00A23053" w:rsidR="00F17DC9" w:rsidP="00F17DC9" w:rsidRDefault="00F17DC9" w14:paraId="36F8A0D3" w14:textId="77777777">
      <w:pPr>
        <w:pStyle w:val="Lijstalinea"/>
        <w:numPr>
          <w:ilvl w:val="1"/>
          <w:numId w:val="29"/>
        </w:numPr>
      </w:pPr>
      <w:r>
        <w:t>B</w:t>
      </w:r>
      <w:r w:rsidRPr="00A23053">
        <w:t xml:space="preserve">estaande Rail Technology Hub in Amersfoort uitbreiden met een Rail Power Lab, ter flexibilisering van de </w:t>
      </w:r>
      <w:proofErr w:type="spellStart"/>
      <w:r w:rsidRPr="00A23053">
        <w:t>spoorse</w:t>
      </w:r>
      <w:proofErr w:type="spellEnd"/>
      <w:r w:rsidRPr="00A23053">
        <w:t xml:space="preserve"> energievoorziening.</w:t>
      </w:r>
    </w:p>
    <w:p w:rsidRPr="00A23053" w:rsidR="00F17DC9" w:rsidP="00F17DC9" w:rsidRDefault="00F17DC9" w14:paraId="7B3E9710" w14:textId="77777777">
      <w:pPr>
        <w:pStyle w:val="Lijstalinea"/>
        <w:numPr>
          <w:ilvl w:val="1"/>
          <w:numId w:val="29"/>
        </w:numPr>
      </w:pPr>
      <w:r>
        <w:t>I</w:t>
      </w:r>
      <w:r w:rsidRPr="00A23053">
        <w:t>nkomstgerichte bijdrage voor vervanging van oude, fossiele brandstofauto’s (in combinatie met SCF)</w:t>
      </w:r>
      <w:r>
        <w:t>.</w:t>
      </w:r>
    </w:p>
    <w:p w:rsidR="00F17DC9" w:rsidP="00F17DC9" w:rsidRDefault="00F17DC9" w14:paraId="2B364DE7" w14:textId="77777777">
      <w:pPr>
        <w:pStyle w:val="Lijstalinea"/>
        <w:numPr>
          <w:ilvl w:val="0"/>
          <w:numId w:val="29"/>
        </w:numPr>
      </w:pPr>
      <w:r>
        <w:t>Alle maatregelen (zowel uitwerking reserveringen als nieuwe maatregelen) kunnen tot uiterlijk 8 november worden ingediend door MI&amp;W en zullen dan door de MKGG vanuit haar rol als perceelhouder voor diverse percelen en als fondsbeheerder worden beoordeeld.</w:t>
      </w:r>
    </w:p>
    <w:p w:rsidRPr="00A23053" w:rsidR="009D2E83" w:rsidP="009D2E83" w:rsidRDefault="009D2E83" w14:paraId="1C4C462A" w14:textId="65E87124">
      <w:r>
        <w:t>------------</w:t>
      </w:r>
    </w:p>
    <w:p w:rsidRPr="00C6448C" w:rsidR="00C6448C" w:rsidP="002165C2" w:rsidRDefault="00C6448C" w14:paraId="38CA416A" w14:textId="22284BD3"/>
    <w:sectPr w:rsidRPr="00C6448C" w:rsidR="00C6448C" w:rsidSect="005C3F39">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E5A2" w14:textId="77777777" w:rsidR="00F02549" w:rsidRDefault="00F02549">
      <w:pPr>
        <w:spacing w:line="240" w:lineRule="auto"/>
      </w:pPr>
      <w:r>
        <w:separator/>
      </w:r>
    </w:p>
  </w:endnote>
  <w:endnote w:type="continuationSeparator" w:id="0">
    <w:p w14:paraId="54D2E0CB" w14:textId="77777777" w:rsidR="00F02549" w:rsidRDefault="00F02549">
      <w:pPr>
        <w:spacing w:line="240" w:lineRule="auto"/>
      </w:pPr>
      <w:r>
        <w:continuationSeparator/>
      </w:r>
    </w:p>
  </w:endnote>
  <w:endnote w:type="continuationNotice" w:id="1">
    <w:p w14:paraId="5086AC18" w14:textId="77777777" w:rsidR="00F02549" w:rsidRDefault="00F025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6E0B" w14:textId="17B82420" w:rsidR="00C60224" w:rsidRDefault="00C60224">
    <w:pPr>
      <w:pStyle w:val="Voettekst"/>
    </w:pPr>
  </w:p>
  <w:p w14:paraId="3FB7F346" w14:textId="77777777" w:rsidR="00D20DB0" w:rsidRDefault="00D20DB0"/>
  <w:p w14:paraId="6EF8F8BE" w14:textId="77777777" w:rsidR="00D20DB0" w:rsidRDefault="00D20DB0"/>
  <w:p w14:paraId="11CCCE50" w14:textId="77777777" w:rsidR="00D20DB0" w:rsidRDefault="00D20DB0"/>
  <w:p w14:paraId="4DDB95BA" w14:textId="77777777" w:rsidR="00D20DB0" w:rsidRDefault="00D20DB0"/>
  <w:p w14:paraId="759AAA86" w14:textId="77777777" w:rsidR="00D20DB0" w:rsidRDefault="00D20D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6046" w14:textId="67D5FF83" w:rsidR="00600B57" w:rsidRPr="00BC3B53" w:rsidRDefault="00600B57"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37ED3" w14:paraId="09126817" w14:textId="77777777" w:rsidTr="001E4C6B">
      <w:trPr>
        <w:trHeight w:hRule="exact" w:val="240"/>
      </w:trPr>
      <w:tc>
        <w:tcPr>
          <w:tcW w:w="7601" w:type="dxa"/>
          <w:shd w:val="clear" w:color="auto" w:fill="auto"/>
        </w:tcPr>
        <w:p w14:paraId="04864C67" w14:textId="77777777" w:rsidR="00600B57" w:rsidRDefault="00600B57" w:rsidP="003F1F6B">
          <w:pPr>
            <w:pStyle w:val="Huisstijl-Rubricering"/>
          </w:pPr>
        </w:p>
      </w:tc>
      <w:tc>
        <w:tcPr>
          <w:tcW w:w="2156" w:type="dxa"/>
        </w:tcPr>
        <w:p w14:paraId="2F2DBF58" w14:textId="7D92F3A1" w:rsidR="00600B57" w:rsidRPr="00236CFE" w:rsidRDefault="00D564D2"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265D9">
            <w:t>2</w:t>
          </w:r>
          <w:r w:rsidRPr="00CB7ABA">
            <w:fldChar w:fldCharType="end"/>
          </w:r>
          <w:r w:rsidRPr="00CB7ABA">
            <w:t xml:space="preserve"> van </w:t>
          </w:r>
          <w:r w:rsidR="005265D9">
            <w:fldChar w:fldCharType="begin"/>
          </w:r>
          <w:r>
            <w:instrText xml:space="preserve"> SECTIONPAGES   \* MERGEFORMAT </w:instrText>
          </w:r>
          <w:r w:rsidR="005265D9">
            <w:fldChar w:fldCharType="separate"/>
          </w:r>
          <w:r w:rsidR="005005C4">
            <w:t>6</w:t>
          </w:r>
          <w:r w:rsidR="005265D9">
            <w:fldChar w:fldCharType="end"/>
          </w:r>
        </w:p>
      </w:tc>
    </w:tr>
  </w:tbl>
  <w:p w14:paraId="222FFB05" w14:textId="77777777" w:rsidR="00600B57" w:rsidRPr="00BC3B53" w:rsidRDefault="00600B57" w:rsidP="00BC3B53">
    <w:pPr>
      <w:pStyle w:val="Voettekst"/>
      <w:spacing w:line="240" w:lineRule="auto"/>
      <w:rPr>
        <w:sz w:val="2"/>
        <w:szCs w:val="2"/>
      </w:rPr>
    </w:pPr>
  </w:p>
  <w:p w14:paraId="087447A9" w14:textId="77777777" w:rsidR="00D20DB0" w:rsidRDefault="00D20DB0"/>
  <w:p w14:paraId="141A0303" w14:textId="77777777" w:rsidR="00D20DB0" w:rsidRDefault="00D20DB0"/>
  <w:p w14:paraId="6DEA6822" w14:textId="77777777" w:rsidR="00D20DB0" w:rsidRDefault="00D20DB0"/>
  <w:p w14:paraId="2A664D4E" w14:textId="77777777" w:rsidR="00D20DB0" w:rsidRDefault="00D20DB0"/>
  <w:p w14:paraId="5DE53BAE" w14:textId="77777777" w:rsidR="00D20DB0" w:rsidRDefault="00D20D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37ED3" w14:paraId="149A315E" w14:textId="77777777" w:rsidTr="001E4C6B">
      <w:trPr>
        <w:trHeight w:hRule="exact" w:val="240"/>
      </w:trPr>
      <w:tc>
        <w:tcPr>
          <w:tcW w:w="7601" w:type="dxa"/>
          <w:shd w:val="clear" w:color="auto" w:fill="auto"/>
        </w:tcPr>
        <w:p w14:paraId="04B0ACAA" w14:textId="0E4EA9CF" w:rsidR="00600B57" w:rsidRDefault="00600B57" w:rsidP="008C356D">
          <w:pPr>
            <w:pStyle w:val="Huisstijl-Rubricering"/>
          </w:pPr>
        </w:p>
      </w:tc>
      <w:tc>
        <w:tcPr>
          <w:tcW w:w="2170" w:type="dxa"/>
        </w:tcPr>
        <w:p w14:paraId="08DCAB09" w14:textId="7584DCBF" w:rsidR="00600B57" w:rsidRPr="00CB7ABA" w:rsidRDefault="00D564D2"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E650EA">
            <w:t>1</w:t>
          </w:r>
          <w:r w:rsidRPr="00CB7ABA">
            <w:fldChar w:fldCharType="end"/>
          </w:r>
          <w:r w:rsidRPr="00CB7ABA">
            <w:t xml:space="preserve"> van</w:t>
          </w:r>
          <w:r w:rsidRPr="00CB7ABA">
            <w:rPr>
              <w:rStyle w:val="Huisstijl-GegevenCharChar"/>
            </w:rPr>
            <w:t xml:space="preserve"> </w:t>
          </w:r>
          <w:fldSimple w:instr=" SECTIONPAGES   \* MERGEFORMAT ">
            <w:r w:rsidR="005005C4">
              <w:t>6</w:t>
            </w:r>
          </w:fldSimple>
        </w:p>
      </w:tc>
    </w:tr>
  </w:tbl>
  <w:p w14:paraId="7A64A65B" w14:textId="77777777" w:rsidR="00600B57" w:rsidRPr="00BC3B53" w:rsidRDefault="00600B57" w:rsidP="008C356D">
    <w:pPr>
      <w:pStyle w:val="Voettekst"/>
      <w:spacing w:line="240" w:lineRule="auto"/>
      <w:rPr>
        <w:sz w:val="2"/>
        <w:szCs w:val="2"/>
      </w:rPr>
    </w:pPr>
  </w:p>
  <w:p w14:paraId="024EEEA4" w14:textId="77777777" w:rsidR="00600B57" w:rsidRPr="00BC3B53" w:rsidRDefault="00600B57" w:rsidP="00023E9A">
    <w:pPr>
      <w:pStyle w:val="Voettekst"/>
      <w:spacing w:line="240" w:lineRule="auto"/>
      <w:rPr>
        <w:sz w:val="2"/>
        <w:szCs w:val="2"/>
      </w:rPr>
    </w:pPr>
  </w:p>
  <w:p w14:paraId="759194CB" w14:textId="77777777" w:rsidR="00D20DB0" w:rsidRDefault="00D20DB0"/>
  <w:p w14:paraId="7A73A07C" w14:textId="77777777" w:rsidR="00D20DB0" w:rsidRDefault="00D20DB0"/>
  <w:p w14:paraId="10422399" w14:textId="77777777" w:rsidR="00D20DB0" w:rsidRDefault="00D20DB0"/>
  <w:p w14:paraId="491F16F6" w14:textId="77777777" w:rsidR="00D20DB0" w:rsidRDefault="00D20DB0"/>
  <w:p w14:paraId="5F33F345" w14:textId="77777777" w:rsidR="00D20DB0" w:rsidRDefault="00D20D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1A46" w14:textId="77777777" w:rsidR="00F02549" w:rsidRDefault="00F02549">
      <w:pPr>
        <w:spacing w:line="240" w:lineRule="auto"/>
      </w:pPr>
      <w:r>
        <w:separator/>
      </w:r>
    </w:p>
  </w:footnote>
  <w:footnote w:type="continuationSeparator" w:id="0">
    <w:p w14:paraId="26C50E88" w14:textId="77777777" w:rsidR="00F02549" w:rsidRDefault="00F02549">
      <w:pPr>
        <w:spacing w:line="240" w:lineRule="auto"/>
      </w:pPr>
      <w:r>
        <w:continuationSeparator/>
      </w:r>
    </w:p>
  </w:footnote>
  <w:footnote w:type="continuationNotice" w:id="1">
    <w:p w14:paraId="41DC1C5D" w14:textId="77777777" w:rsidR="00F02549" w:rsidRDefault="00F025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03F5" w14:textId="77777777" w:rsidR="00600B57" w:rsidRDefault="00600B57"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7ED3" w14:paraId="1EB6AA59" w14:textId="77777777" w:rsidTr="005558E0">
      <w:tc>
        <w:tcPr>
          <w:tcW w:w="2160" w:type="dxa"/>
          <w:shd w:val="clear" w:color="auto" w:fill="auto"/>
        </w:tcPr>
        <w:p w14:paraId="074C8C7F" w14:textId="77777777" w:rsidR="00600B57" w:rsidRPr="00044613" w:rsidRDefault="00D564D2" w:rsidP="005558E0">
          <w:pPr>
            <w:pStyle w:val="Huisstijl-Adres"/>
          </w:pPr>
          <w:r>
            <w:rPr>
              <w:b/>
            </w:rPr>
            <w:t>Directoraat-generaal Klimaat en Energie</w:t>
          </w:r>
          <w:r>
            <w:rPr>
              <w:b/>
            </w:rPr>
            <w:br/>
          </w:r>
          <w:r>
            <w:t>Directie Klimaat</w:t>
          </w:r>
        </w:p>
      </w:tc>
    </w:tr>
    <w:tr w:rsidR="00A37ED3" w14:paraId="2106E8D0" w14:textId="77777777" w:rsidTr="005558E0">
      <w:trPr>
        <w:trHeight w:hRule="exact" w:val="200"/>
      </w:trPr>
      <w:tc>
        <w:tcPr>
          <w:tcW w:w="2160" w:type="dxa"/>
          <w:shd w:val="clear" w:color="auto" w:fill="auto"/>
        </w:tcPr>
        <w:p w14:paraId="60B1D360" w14:textId="77777777" w:rsidR="00600B57" w:rsidRPr="005819CE" w:rsidRDefault="00600B57" w:rsidP="005558E0"/>
      </w:tc>
    </w:tr>
    <w:tr w:rsidR="00A37ED3" w14:paraId="19AC0D32" w14:textId="77777777" w:rsidTr="005558E0">
      <w:tc>
        <w:tcPr>
          <w:tcW w:w="2160" w:type="dxa"/>
          <w:shd w:val="clear" w:color="auto" w:fill="auto"/>
        </w:tcPr>
        <w:p w14:paraId="211E2C5C" w14:textId="77777777" w:rsidR="00600B57" w:rsidRPr="005819CE" w:rsidRDefault="00D564D2" w:rsidP="005558E0">
          <w:pPr>
            <w:pStyle w:val="Huisstijl-Kopje"/>
          </w:pPr>
          <w:r>
            <w:t>Ons kenmerk</w:t>
          </w:r>
        </w:p>
        <w:p w14:paraId="1D989320" w14:textId="77777777" w:rsidR="00600B57" w:rsidRDefault="00D564D2" w:rsidP="005558E0">
          <w:pPr>
            <w:pStyle w:val="Huisstijl-Gegeven"/>
          </w:pPr>
          <w:r>
            <w:t xml:space="preserve">DGKE-K / </w:t>
          </w:r>
        </w:p>
        <w:p w14:paraId="0150F3F7" w14:textId="77777777" w:rsidR="00600B57" w:rsidRPr="005819CE" w:rsidRDefault="00600B57" w:rsidP="005558E0">
          <w:pPr>
            <w:pStyle w:val="Huisstijl-Gegeven"/>
          </w:pPr>
        </w:p>
      </w:tc>
    </w:tr>
  </w:tbl>
  <w:p w14:paraId="38994BC5" w14:textId="77777777" w:rsidR="00600B57" w:rsidRPr="00217880" w:rsidRDefault="00600B57" w:rsidP="004F44C2">
    <w:pPr>
      <w:spacing w:line="0" w:lineRule="atLeast"/>
      <w:rPr>
        <w:sz w:val="2"/>
        <w:szCs w:val="2"/>
      </w:rPr>
    </w:pPr>
  </w:p>
  <w:p w14:paraId="1B579DC7" w14:textId="77777777" w:rsidR="00D20DB0" w:rsidRDefault="00D20DB0"/>
  <w:p w14:paraId="69BE882E" w14:textId="77777777" w:rsidR="00D20DB0" w:rsidRDefault="00D20DB0"/>
  <w:p w14:paraId="6278CFC9" w14:textId="77777777" w:rsidR="00D20DB0" w:rsidRDefault="00D20DB0"/>
  <w:p w14:paraId="468E3399" w14:textId="77777777" w:rsidR="00D20DB0" w:rsidRDefault="00D20DB0"/>
  <w:p w14:paraId="232BD743" w14:textId="77777777" w:rsidR="00D20DB0" w:rsidRDefault="00D20D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7ED3" w14:paraId="7DDA3D88" w14:textId="77777777" w:rsidTr="003B7675">
      <w:trPr>
        <w:trHeight w:val="2636"/>
      </w:trPr>
      <w:tc>
        <w:tcPr>
          <w:tcW w:w="737" w:type="dxa"/>
          <w:shd w:val="clear" w:color="auto" w:fill="auto"/>
        </w:tcPr>
        <w:p w14:paraId="7B6056DE" w14:textId="77EB2C2F" w:rsidR="00600B57" w:rsidRDefault="00D564D2" w:rsidP="00044613">
          <w:pPr>
            <w:framePr w:w="6340" w:h="2750" w:hRule="exact" w:hSpace="180" w:wrap="around" w:vAnchor="page" w:hAnchor="text" w:x="3873" w:y="-70"/>
            <w:spacing w:line="240" w:lineRule="auto"/>
          </w:pPr>
          <w:r>
            <w:rPr>
              <w:noProof/>
              <w:lang w:val="en-US" w:eastAsia="en-US"/>
            </w:rPr>
            <w:drawing>
              <wp:inline distT="0" distB="0" distL="0" distR="0" wp14:anchorId="18FE69D1" wp14:editId="732E41C7">
                <wp:extent cx="466725" cy="1581150"/>
                <wp:effectExtent l="0" t="0" r="0" b="0"/>
                <wp:docPr id="13" name="Afbeelding 13"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01478" name="Picture 9" descr="Rijkslint Zwa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shd w:val="clear" w:color="auto" w:fill="auto"/>
        </w:tcPr>
        <w:p w14:paraId="39F16C73" w14:textId="57852279" w:rsidR="00600B57" w:rsidRPr="00DB5138" w:rsidRDefault="00600B57" w:rsidP="00044613">
          <w:pPr>
            <w:framePr w:w="6340" w:h="2750" w:hRule="exact" w:hSpace="180" w:wrap="around" w:vAnchor="page" w:hAnchor="text" w:x="3873" w:y="-70"/>
            <w:spacing w:line="240" w:lineRule="auto"/>
          </w:pPr>
        </w:p>
      </w:tc>
    </w:tr>
  </w:tbl>
  <w:p w14:paraId="38778EBB" w14:textId="77777777" w:rsidR="00600B57" w:rsidRDefault="00600B57" w:rsidP="00044613">
    <w:pPr>
      <w:framePr w:w="6340" w:h="2750" w:hRule="exact" w:hSpace="180" w:wrap="around" w:vAnchor="page" w:hAnchor="text" w:x="3873" w:y="-70"/>
    </w:pPr>
  </w:p>
  <w:p w14:paraId="5DAB6D61" w14:textId="77777777" w:rsidR="00600B57" w:rsidRDefault="00600B57"/>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7ED3" w:rsidRPr="00702828" w14:paraId="5B13E604" w14:textId="77777777" w:rsidTr="005558E0">
      <w:tc>
        <w:tcPr>
          <w:tcW w:w="2160" w:type="dxa"/>
          <w:shd w:val="clear" w:color="auto" w:fill="auto"/>
        </w:tcPr>
        <w:p w14:paraId="14900D17" w14:textId="77777777" w:rsidR="00600B57" w:rsidRPr="00F9751C" w:rsidRDefault="00D564D2" w:rsidP="005558E0">
          <w:pPr>
            <w:pStyle w:val="Huisstijl-Adres"/>
          </w:pPr>
          <w:r>
            <w:rPr>
              <w:b/>
            </w:rPr>
            <w:t>Directoraat-generaal Klimaat en Energie</w:t>
          </w:r>
          <w:r w:rsidRPr="00F9751C">
            <w:rPr>
              <w:b/>
            </w:rPr>
            <w:br/>
          </w:r>
          <w:r>
            <w:t>Directie Klimaat</w:t>
          </w:r>
          <w:r w:rsidR="008C46DF" w:rsidRPr="00F9751C">
            <w:t xml:space="preserve"> </w:t>
          </w:r>
        </w:p>
        <w:p w14:paraId="075821C3" w14:textId="634402A2" w:rsidR="00600B57" w:rsidRPr="00284E48" w:rsidRDefault="00600B57" w:rsidP="005558E0">
          <w:pPr>
            <w:pStyle w:val="Huisstijl-Adres"/>
          </w:pPr>
        </w:p>
      </w:tc>
    </w:tr>
    <w:tr w:rsidR="00A37ED3" w:rsidRPr="00702828" w14:paraId="400C5748" w14:textId="77777777" w:rsidTr="005558E0">
      <w:trPr>
        <w:trHeight w:hRule="exact" w:val="200"/>
      </w:trPr>
      <w:tc>
        <w:tcPr>
          <w:tcW w:w="2160" w:type="dxa"/>
          <w:shd w:val="clear" w:color="auto" w:fill="auto"/>
        </w:tcPr>
        <w:p w14:paraId="256C1FCA" w14:textId="77777777" w:rsidR="00600B57" w:rsidRPr="00284E48" w:rsidRDefault="00600B57" w:rsidP="005558E0"/>
      </w:tc>
    </w:tr>
    <w:tr w:rsidR="00A37ED3" w14:paraId="5F45AC9B" w14:textId="77777777" w:rsidTr="005558E0">
      <w:tc>
        <w:tcPr>
          <w:tcW w:w="2160" w:type="dxa"/>
          <w:shd w:val="clear" w:color="auto" w:fill="auto"/>
        </w:tcPr>
        <w:p w14:paraId="347D4943" w14:textId="77777777" w:rsidR="00600B57" w:rsidRPr="00F9751C" w:rsidRDefault="00D564D2" w:rsidP="005558E0">
          <w:pPr>
            <w:pStyle w:val="Huisstijl-Kopje"/>
          </w:pPr>
          <w:r>
            <w:t>Datum</w:t>
          </w:r>
        </w:p>
        <w:p w14:paraId="45705C97" w14:textId="05DDFEDB" w:rsidR="00600B57" w:rsidRPr="00F9751C" w:rsidRDefault="00A23053" w:rsidP="005558E0">
          <w:pPr>
            <w:pStyle w:val="Huisstijl-Gegeven"/>
          </w:pPr>
          <w:r>
            <w:t>2</w:t>
          </w:r>
          <w:r w:rsidR="004F176E">
            <w:t>9</w:t>
          </w:r>
          <w:r w:rsidR="00284A1C">
            <w:t xml:space="preserve"> oktober</w:t>
          </w:r>
          <w:r w:rsidR="00CD798E">
            <w:t xml:space="preserve"> 2024</w:t>
          </w:r>
        </w:p>
        <w:p w14:paraId="029CF11D" w14:textId="77777777" w:rsidR="00600B57" w:rsidRPr="00F9751C" w:rsidRDefault="00D564D2" w:rsidP="005558E0">
          <w:pPr>
            <w:pStyle w:val="Huisstijl-Kopje"/>
          </w:pPr>
          <w:r>
            <w:t>Kenmerk</w:t>
          </w:r>
        </w:p>
        <w:p w14:paraId="246A6A0E" w14:textId="77777777" w:rsidR="00CD798E" w:rsidRDefault="00CD798E" w:rsidP="005558E0">
          <w:pPr>
            <w:pStyle w:val="Huisstijl-Kopje"/>
          </w:pPr>
        </w:p>
        <w:p w14:paraId="32609770" w14:textId="1D7ECC25" w:rsidR="00600B57" w:rsidRPr="00F9751C" w:rsidRDefault="00D564D2" w:rsidP="005558E0">
          <w:pPr>
            <w:pStyle w:val="Huisstijl-Kopje"/>
          </w:pPr>
          <w:r w:rsidRPr="00F9751C">
            <w:t>Bijlage</w:t>
          </w:r>
          <w:r>
            <w:t>(</w:t>
          </w:r>
          <w:r w:rsidRPr="00F9751C">
            <w:t>n</w:t>
          </w:r>
          <w:r>
            <w:t>)</w:t>
          </w:r>
        </w:p>
        <w:p w14:paraId="6D728240" w14:textId="77777777" w:rsidR="00B76844" w:rsidRDefault="00B76844" w:rsidP="00A23053">
          <w:pPr>
            <w:pStyle w:val="Huisstijl-Gegeven"/>
            <w:numPr>
              <w:ilvl w:val="0"/>
              <w:numId w:val="52"/>
            </w:numPr>
          </w:pPr>
          <w:r>
            <w:t>Overzicht stand van zaken klimaatmaatregelen</w:t>
          </w:r>
        </w:p>
        <w:p w14:paraId="7F8ED0F3" w14:textId="77777777" w:rsidR="00B76844" w:rsidRDefault="00B76844" w:rsidP="00A23053">
          <w:pPr>
            <w:pStyle w:val="Huisstijl-Gegeven"/>
            <w:numPr>
              <w:ilvl w:val="0"/>
              <w:numId w:val="52"/>
            </w:numPr>
          </w:pPr>
          <w:r>
            <w:t xml:space="preserve">Overzicht reserveringen </w:t>
          </w:r>
          <w:r w:rsidR="00A23053">
            <w:t xml:space="preserve">MJP 2024 </w:t>
          </w:r>
          <w:r>
            <w:t>Klimaatfonds</w:t>
          </w:r>
        </w:p>
        <w:p w14:paraId="3E9E7044" w14:textId="25ADF92F" w:rsidR="009271C0" w:rsidRPr="00F0379C" w:rsidRDefault="009271C0" w:rsidP="00A23053">
          <w:pPr>
            <w:pStyle w:val="Huisstijl-Gegeven"/>
            <w:numPr>
              <w:ilvl w:val="0"/>
              <w:numId w:val="52"/>
            </w:numPr>
          </w:pPr>
          <w:r>
            <w:t>Aanpak voorbereiding voorjaarsbesluitvroming autodossier</w:t>
          </w:r>
        </w:p>
      </w:tc>
    </w:tr>
  </w:tbl>
  <w:p w14:paraId="0EFB903A" w14:textId="77777777" w:rsidR="00604CD1" w:rsidRPr="00604CD1" w:rsidRDefault="00604CD1" w:rsidP="00604CD1">
    <w:pPr>
      <w:rPr>
        <w:vanish/>
      </w:rPr>
    </w:pPr>
  </w:p>
  <w:tbl>
    <w:tblPr>
      <w:tblW w:w="7371" w:type="dxa"/>
      <w:tblLayout w:type="fixed"/>
      <w:tblCellMar>
        <w:left w:w="0" w:type="dxa"/>
        <w:right w:w="0" w:type="dxa"/>
      </w:tblCellMar>
      <w:tblLook w:val="0000" w:firstRow="0" w:lastRow="0" w:firstColumn="0" w:lastColumn="0" w:noHBand="0" w:noVBand="0"/>
    </w:tblPr>
    <w:tblGrid>
      <w:gridCol w:w="2176"/>
      <w:gridCol w:w="5195"/>
    </w:tblGrid>
    <w:tr w:rsidR="00A37ED3" w14:paraId="0B65329B" w14:textId="77777777" w:rsidTr="004C5FEA">
      <w:trPr>
        <w:trHeight w:val="400"/>
      </w:trPr>
      <w:tc>
        <w:tcPr>
          <w:tcW w:w="7520" w:type="dxa"/>
          <w:gridSpan w:val="2"/>
          <w:shd w:val="clear" w:color="auto" w:fill="auto"/>
        </w:tcPr>
        <w:p w14:paraId="63D8B358" w14:textId="77777777" w:rsidR="00600B57" w:rsidRPr="00B349FA" w:rsidRDefault="00600B57" w:rsidP="009D5D50"/>
      </w:tc>
    </w:tr>
    <w:tr w:rsidR="00A37ED3" w14:paraId="41151F17" w14:textId="77777777" w:rsidTr="004C5FEA">
      <w:trPr>
        <w:trHeight w:hRule="exact" w:val="1880"/>
      </w:trPr>
      <w:tc>
        <w:tcPr>
          <w:tcW w:w="7520" w:type="dxa"/>
          <w:gridSpan w:val="2"/>
          <w:shd w:val="clear" w:color="auto" w:fill="auto"/>
        </w:tcPr>
        <w:p w14:paraId="44530C8C" w14:textId="77777777" w:rsidR="00600B57" w:rsidRDefault="00600B57" w:rsidP="00925121">
          <w:pPr>
            <w:pStyle w:val="Huisstijl-NAW"/>
          </w:pPr>
        </w:p>
      </w:tc>
    </w:tr>
    <w:tr w:rsidR="00A37ED3" w14:paraId="2A1E6773" w14:textId="77777777" w:rsidTr="004C5FEA">
      <w:trPr>
        <w:trHeight w:val="460"/>
      </w:trPr>
      <w:tc>
        <w:tcPr>
          <w:tcW w:w="2220" w:type="dxa"/>
          <w:vMerge w:val="restart"/>
          <w:shd w:val="clear" w:color="auto" w:fill="auto"/>
        </w:tcPr>
        <w:p w14:paraId="62569317" w14:textId="77777777" w:rsidR="00600B57" w:rsidRDefault="00D564D2" w:rsidP="009D5D50">
          <w:r>
            <w:rPr>
              <w:noProof/>
              <w:lang w:val="en-US" w:eastAsia="en-US"/>
            </w:rPr>
            <w:drawing>
              <wp:inline distT="0" distB="0" distL="0" distR="0" wp14:anchorId="7321069D" wp14:editId="5507ACB2">
                <wp:extent cx="1238250" cy="533400"/>
                <wp:effectExtent l="0" t="0" r="0" b="0"/>
                <wp:docPr id="15" name="Afbeelding 15" descr="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66954" name="Picture 38" descr="Agend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38250" cy="533400"/>
                        </a:xfrm>
                        <a:prstGeom prst="rect">
                          <a:avLst/>
                        </a:prstGeom>
                        <a:noFill/>
                        <a:ln>
                          <a:noFill/>
                        </a:ln>
                      </pic:spPr>
                    </pic:pic>
                  </a:graphicData>
                </a:graphic>
              </wp:inline>
            </w:drawing>
          </w:r>
        </w:p>
      </w:tc>
      <w:tc>
        <w:tcPr>
          <w:tcW w:w="5300" w:type="dxa"/>
          <w:shd w:val="clear" w:color="auto" w:fill="auto"/>
        </w:tcPr>
        <w:p w14:paraId="2E55BC1D" w14:textId="77777777" w:rsidR="00600B57" w:rsidRDefault="00600B57" w:rsidP="009D5D50"/>
      </w:tc>
    </w:tr>
    <w:tr w:rsidR="00A37ED3" w14:paraId="3368D581" w14:textId="77777777" w:rsidTr="004C5FEA">
      <w:trPr>
        <w:trHeight w:val="560"/>
      </w:trPr>
      <w:tc>
        <w:tcPr>
          <w:tcW w:w="2220" w:type="dxa"/>
          <w:vMerge/>
          <w:tcBorders>
            <w:bottom w:val="dotted" w:sz="4" w:space="0" w:color="auto"/>
          </w:tcBorders>
          <w:shd w:val="clear" w:color="auto" w:fill="auto"/>
        </w:tcPr>
        <w:p w14:paraId="6B73621E" w14:textId="77777777" w:rsidR="00600B57" w:rsidRDefault="00600B57" w:rsidP="009D5D50"/>
      </w:tc>
      <w:tc>
        <w:tcPr>
          <w:tcW w:w="5300" w:type="dxa"/>
          <w:tcBorders>
            <w:bottom w:val="dotted" w:sz="4" w:space="0" w:color="auto"/>
          </w:tcBorders>
          <w:shd w:val="clear" w:color="auto" w:fill="auto"/>
        </w:tcPr>
        <w:p w14:paraId="448813B5" w14:textId="77777777" w:rsidR="00600B57" w:rsidRPr="007402E0" w:rsidRDefault="00600B57" w:rsidP="009D5D50"/>
      </w:tc>
    </w:tr>
    <w:tr w:rsidR="00A37ED3" w14:paraId="1BDA0090" w14:textId="77777777" w:rsidTr="004C5FEA">
      <w:trPr>
        <w:trHeight w:hRule="exact" w:val="238"/>
      </w:trPr>
      <w:tc>
        <w:tcPr>
          <w:tcW w:w="2220" w:type="dxa"/>
          <w:tcBorders>
            <w:top w:val="dotted" w:sz="4" w:space="0" w:color="auto"/>
          </w:tcBorders>
          <w:shd w:val="clear" w:color="auto" w:fill="auto"/>
        </w:tcPr>
        <w:p w14:paraId="57D38C08" w14:textId="77777777" w:rsidR="00863AA8" w:rsidRDefault="00863AA8" w:rsidP="00925121">
          <w:pPr>
            <w:pStyle w:val="Huisstijl-Gegeven"/>
            <w:rPr>
              <w:noProof w:val="0"/>
            </w:rPr>
          </w:pPr>
        </w:p>
      </w:tc>
      <w:tc>
        <w:tcPr>
          <w:tcW w:w="5300" w:type="dxa"/>
          <w:tcBorders>
            <w:top w:val="dotted" w:sz="4" w:space="0" w:color="auto"/>
          </w:tcBorders>
          <w:shd w:val="clear" w:color="auto" w:fill="auto"/>
        </w:tcPr>
        <w:p w14:paraId="69AFE466" w14:textId="77777777" w:rsidR="00863AA8" w:rsidRPr="00863AA8" w:rsidRDefault="00863AA8" w:rsidP="00863AA8">
          <w:pPr>
            <w:spacing w:line="120" w:lineRule="exact"/>
            <w:rPr>
              <w:sz w:val="9"/>
              <w:szCs w:val="9"/>
            </w:rPr>
          </w:pPr>
        </w:p>
      </w:tc>
    </w:tr>
    <w:tr w:rsidR="00A37ED3" w14:paraId="0E85603C" w14:textId="77777777" w:rsidTr="004C5FEA">
      <w:trPr>
        <w:trHeight w:val="238"/>
      </w:trPr>
      <w:tc>
        <w:tcPr>
          <w:tcW w:w="2220" w:type="dxa"/>
          <w:shd w:val="clear" w:color="auto" w:fill="auto"/>
        </w:tcPr>
        <w:p w14:paraId="1554502F" w14:textId="77777777" w:rsidR="00600B57" w:rsidRDefault="00D564D2" w:rsidP="00925121">
          <w:pPr>
            <w:pStyle w:val="Huisstijl-Gegeven"/>
            <w:rPr>
              <w:noProof w:val="0"/>
            </w:rPr>
          </w:pPr>
          <w:r>
            <w:rPr>
              <w:noProof w:val="0"/>
            </w:rPr>
            <w:t>Omschrijving</w:t>
          </w:r>
        </w:p>
      </w:tc>
      <w:tc>
        <w:tcPr>
          <w:tcW w:w="5300" w:type="dxa"/>
          <w:shd w:val="clear" w:color="auto" w:fill="auto"/>
        </w:tcPr>
        <w:p w14:paraId="5E94D392" w14:textId="138130CC" w:rsidR="00600B57" w:rsidRDefault="004E2BA5" w:rsidP="009D5D50">
          <w:r>
            <w:t xml:space="preserve">BWO </w:t>
          </w:r>
          <w:proofErr w:type="spellStart"/>
          <w:r>
            <w:t>Klimaatbeid</w:t>
          </w:r>
          <w:proofErr w:type="spellEnd"/>
          <w:r>
            <w:t xml:space="preserve"> mobiliteit</w:t>
          </w:r>
          <w:r w:rsidR="00B76844">
            <w:t>, nationale emissies</w:t>
          </w:r>
          <w:r>
            <w:t xml:space="preserve"> (deelnemers: MKGG, </w:t>
          </w:r>
          <w:proofErr w:type="spellStart"/>
          <w:r>
            <w:t>SIenW</w:t>
          </w:r>
          <w:proofErr w:type="spellEnd"/>
          <w:r>
            <w:t xml:space="preserve"> en SFIN)</w:t>
          </w:r>
        </w:p>
      </w:tc>
    </w:tr>
    <w:tr w:rsidR="00A37ED3" w14:paraId="43240889" w14:textId="77777777" w:rsidTr="004C5FEA">
      <w:trPr>
        <w:trHeight w:val="238"/>
      </w:trPr>
      <w:tc>
        <w:tcPr>
          <w:tcW w:w="2220" w:type="dxa"/>
          <w:shd w:val="clear" w:color="auto" w:fill="auto"/>
        </w:tcPr>
        <w:p w14:paraId="2DC98942" w14:textId="77777777" w:rsidR="00600B57" w:rsidRDefault="00D564D2" w:rsidP="00925121">
          <w:pPr>
            <w:pStyle w:val="Huisstijl-Gegeven"/>
            <w:rPr>
              <w:noProof w:val="0"/>
            </w:rPr>
          </w:pPr>
          <w:r>
            <w:rPr>
              <w:noProof w:val="0"/>
            </w:rPr>
            <w:t>Voorzitter</w:t>
          </w:r>
        </w:p>
      </w:tc>
      <w:tc>
        <w:tcPr>
          <w:tcW w:w="5300" w:type="dxa"/>
          <w:shd w:val="clear" w:color="auto" w:fill="auto"/>
        </w:tcPr>
        <w:p w14:paraId="27A369F1" w14:textId="77777777" w:rsidR="00600B57" w:rsidRDefault="00600B57" w:rsidP="009D5D50"/>
      </w:tc>
    </w:tr>
    <w:tr w:rsidR="00A37ED3" w14:paraId="087CE3D3" w14:textId="77777777" w:rsidTr="004C5FEA">
      <w:trPr>
        <w:trHeight w:val="238"/>
      </w:trPr>
      <w:tc>
        <w:tcPr>
          <w:tcW w:w="2220" w:type="dxa"/>
          <w:shd w:val="clear" w:color="auto" w:fill="auto"/>
        </w:tcPr>
        <w:p w14:paraId="58683C45" w14:textId="77777777" w:rsidR="00600B57" w:rsidRDefault="00D564D2" w:rsidP="00925121">
          <w:pPr>
            <w:pStyle w:val="Huisstijl-Gegeven"/>
            <w:rPr>
              <w:noProof w:val="0"/>
            </w:rPr>
          </w:pPr>
          <w:r>
            <w:rPr>
              <w:noProof w:val="0"/>
            </w:rPr>
            <w:t>Notulist</w:t>
          </w:r>
        </w:p>
      </w:tc>
      <w:tc>
        <w:tcPr>
          <w:tcW w:w="5300" w:type="dxa"/>
          <w:shd w:val="clear" w:color="auto" w:fill="auto"/>
        </w:tcPr>
        <w:p w14:paraId="31DD0E5D" w14:textId="77777777" w:rsidR="00600B57" w:rsidRDefault="00600B57" w:rsidP="009D5D50"/>
      </w:tc>
    </w:tr>
    <w:tr w:rsidR="00A37ED3" w14:paraId="18E42515" w14:textId="77777777" w:rsidTr="004C5FEA">
      <w:trPr>
        <w:trHeight w:val="238"/>
      </w:trPr>
      <w:tc>
        <w:tcPr>
          <w:tcW w:w="2220" w:type="dxa"/>
          <w:shd w:val="clear" w:color="auto" w:fill="auto"/>
        </w:tcPr>
        <w:p w14:paraId="3A3CC78E" w14:textId="77777777" w:rsidR="00600B57" w:rsidRDefault="00D564D2" w:rsidP="00925121">
          <w:pPr>
            <w:pStyle w:val="Huisstijl-Gegeven"/>
            <w:rPr>
              <w:noProof w:val="0"/>
            </w:rPr>
          </w:pPr>
          <w:r>
            <w:rPr>
              <w:noProof w:val="0"/>
            </w:rPr>
            <w:t>Vergaderdatum en -tijd</w:t>
          </w:r>
        </w:p>
      </w:tc>
      <w:tc>
        <w:tcPr>
          <w:tcW w:w="5300" w:type="dxa"/>
          <w:shd w:val="clear" w:color="auto" w:fill="auto"/>
        </w:tcPr>
        <w:p w14:paraId="48C06B60" w14:textId="5E39B8CE" w:rsidR="00600B57" w:rsidRDefault="004E2BA5" w:rsidP="009D5D50">
          <w:r>
            <w:t>Vrijdag 8 november van 9:15 tot 9:45 uur</w:t>
          </w:r>
        </w:p>
      </w:tc>
    </w:tr>
    <w:tr w:rsidR="00A37ED3" w14:paraId="1060E786" w14:textId="77777777" w:rsidTr="004C5FEA">
      <w:trPr>
        <w:trHeight w:val="238"/>
      </w:trPr>
      <w:tc>
        <w:tcPr>
          <w:tcW w:w="2220" w:type="dxa"/>
          <w:shd w:val="clear" w:color="auto" w:fill="auto"/>
        </w:tcPr>
        <w:p w14:paraId="036F5CFE" w14:textId="77777777" w:rsidR="00863AA8" w:rsidRDefault="00D564D2" w:rsidP="00925121">
          <w:pPr>
            <w:pStyle w:val="Huisstijl-Gegeven"/>
            <w:rPr>
              <w:noProof w:val="0"/>
            </w:rPr>
          </w:pPr>
          <w:r>
            <w:rPr>
              <w:noProof w:val="0"/>
            </w:rPr>
            <w:t>Locatie</w:t>
          </w:r>
        </w:p>
      </w:tc>
      <w:tc>
        <w:tcPr>
          <w:tcW w:w="5300" w:type="dxa"/>
          <w:shd w:val="clear" w:color="auto" w:fill="auto"/>
        </w:tcPr>
        <w:p w14:paraId="624F1EE3" w14:textId="63486799" w:rsidR="00863AA8" w:rsidRDefault="004E2BA5" w:rsidP="009D5D50">
          <w:r>
            <w:t>MS Teams</w:t>
          </w:r>
        </w:p>
      </w:tc>
    </w:tr>
    <w:tr w:rsidR="00A37ED3" w14:paraId="43D34080" w14:textId="77777777" w:rsidTr="004C5FEA">
      <w:trPr>
        <w:trHeight w:hRule="exact" w:val="238"/>
      </w:trPr>
      <w:tc>
        <w:tcPr>
          <w:tcW w:w="2220" w:type="dxa"/>
          <w:tcBorders>
            <w:bottom w:val="dotted" w:sz="4" w:space="0" w:color="auto"/>
          </w:tcBorders>
          <w:shd w:val="clear" w:color="auto" w:fill="auto"/>
        </w:tcPr>
        <w:p w14:paraId="709EB939" w14:textId="77777777" w:rsidR="00600B57" w:rsidRDefault="00600B57" w:rsidP="00925121">
          <w:pPr>
            <w:pStyle w:val="Huisstijl-Gegeven"/>
            <w:rPr>
              <w:noProof w:val="0"/>
            </w:rPr>
          </w:pPr>
        </w:p>
      </w:tc>
      <w:tc>
        <w:tcPr>
          <w:tcW w:w="5300" w:type="dxa"/>
          <w:tcBorders>
            <w:bottom w:val="dotted" w:sz="4" w:space="0" w:color="auto"/>
          </w:tcBorders>
          <w:shd w:val="clear" w:color="auto" w:fill="auto"/>
        </w:tcPr>
        <w:p w14:paraId="1434ACBB" w14:textId="77777777" w:rsidR="00600B57" w:rsidRDefault="00600B57" w:rsidP="00863AA8">
          <w:pPr>
            <w:spacing w:line="240" w:lineRule="exact"/>
          </w:pPr>
        </w:p>
      </w:tc>
    </w:tr>
  </w:tbl>
  <w:p w14:paraId="1A5E3BAE" w14:textId="77777777" w:rsidR="00600B57" w:rsidRPr="00BC4AE3" w:rsidRDefault="00600B57" w:rsidP="00044613">
    <w:pPr>
      <w:pStyle w:val="Koptekst"/>
    </w:pPr>
  </w:p>
  <w:p w14:paraId="17F83040" w14:textId="77777777" w:rsidR="00D20DB0" w:rsidRDefault="00D20DB0"/>
  <w:p w14:paraId="2A7A36EF" w14:textId="77777777" w:rsidR="00D20DB0" w:rsidRDefault="00D20DB0"/>
  <w:p w14:paraId="0D549133" w14:textId="77777777" w:rsidR="00D20DB0" w:rsidRDefault="00D20DB0"/>
  <w:p w14:paraId="152AA669" w14:textId="77777777" w:rsidR="00D20DB0" w:rsidRDefault="00D20DB0"/>
  <w:p w14:paraId="38FD1AAC" w14:textId="77777777" w:rsidR="00D20DB0" w:rsidRDefault="00D20D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3065B3"/>
    <w:multiLevelType w:val="hybridMultilevel"/>
    <w:tmpl w:val="CA0818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3980560"/>
    <w:multiLevelType w:val="hybridMultilevel"/>
    <w:tmpl w:val="C32AA7F2"/>
    <w:lvl w:ilvl="0" w:tplc="04130001">
      <w:start w:val="1"/>
      <w:numFmt w:val="bullet"/>
      <w:lvlText w:val=""/>
      <w:lvlJc w:val="left"/>
      <w:pPr>
        <w:ind w:left="360" w:hanging="360"/>
      </w:pPr>
      <w:rPr>
        <w:rFonts w:ascii="Symbol" w:hAnsi="Symbol"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3DC3EF1"/>
    <w:multiLevelType w:val="hybridMultilevel"/>
    <w:tmpl w:val="93BAB412"/>
    <w:lvl w:ilvl="0" w:tplc="1D8847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43063B4"/>
    <w:multiLevelType w:val="hybridMultilevel"/>
    <w:tmpl w:val="88524E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49334BC"/>
    <w:multiLevelType w:val="hybridMultilevel"/>
    <w:tmpl w:val="1DA8290A"/>
    <w:lvl w:ilvl="0" w:tplc="A7EEC91A">
      <w:start w:val="1"/>
      <w:numFmt w:val="bullet"/>
      <w:lvlText w:val="-"/>
      <w:lvlJc w:val="left"/>
      <w:pPr>
        <w:ind w:left="360" w:hanging="360"/>
      </w:pPr>
      <w:rPr>
        <w:rFonts w:ascii="Verdana" w:eastAsia="Times New Roman" w:hAnsi="Verdana"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120A4"/>
    <w:multiLevelType w:val="hybridMultilevel"/>
    <w:tmpl w:val="1D8E1FCE"/>
    <w:lvl w:ilvl="0" w:tplc="A112B628">
      <w:start w:val="1"/>
      <w:numFmt w:val="bullet"/>
      <w:pStyle w:val="Lijstopsomteken"/>
      <w:lvlText w:val="•"/>
      <w:lvlJc w:val="left"/>
      <w:pPr>
        <w:tabs>
          <w:tab w:val="num" w:pos="227"/>
        </w:tabs>
        <w:ind w:left="227" w:hanging="227"/>
      </w:pPr>
      <w:rPr>
        <w:rFonts w:ascii="Verdana" w:hAnsi="Verdana" w:hint="default"/>
        <w:sz w:val="18"/>
        <w:szCs w:val="18"/>
      </w:rPr>
    </w:lvl>
    <w:lvl w:ilvl="1" w:tplc="BAFE312C" w:tentative="1">
      <w:start w:val="1"/>
      <w:numFmt w:val="bullet"/>
      <w:lvlText w:val="o"/>
      <w:lvlJc w:val="left"/>
      <w:pPr>
        <w:tabs>
          <w:tab w:val="num" w:pos="1440"/>
        </w:tabs>
        <w:ind w:left="1440" w:hanging="360"/>
      </w:pPr>
      <w:rPr>
        <w:rFonts w:ascii="Courier New" w:hAnsi="Courier New" w:cs="Courier New" w:hint="default"/>
      </w:rPr>
    </w:lvl>
    <w:lvl w:ilvl="2" w:tplc="B9601C20" w:tentative="1">
      <w:start w:val="1"/>
      <w:numFmt w:val="bullet"/>
      <w:lvlText w:val=""/>
      <w:lvlJc w:val="left"/>
      <w:pPr>
        <w:tabs>
          <w:tab w:val="num" w:pos="2160"/>
        </w:tabs>
        <w:ind w:left="2160" w:hanging="360"/>
      </w:pPr>
      <w:rPr>
        <w:rFonts w:ascii="Wingdings" w:hAnsi="Wingdings" w:hint="default"/>
      </w:rPr>
    </w:lvl>
    <w:lvl w:ilvl="3" w:tplc="579C8184" w:tentative="1">
      <w:start w:val="1"/>
      <w:numFmt w:val="bullet"/>
      <w:lvlText w:val=""/>
      <w:lvlJc w:val="left"/>
      <w:pPr>
        <w:tabs>
          <w:tab w:val="num" w:pos="2880"/>
        </w:tabs>
        <w:ind w:left="2880" w:hanging="360"/>
      </w:pPr>
      <w:rPr>
        <w:rFonts w:ascii="Symbol" w:hAnsi="Symbol" w:hint="default"/>
      </w:rPr>
    </w:lvl>
    <w:lvl w:ilvl="4" w:tplc="1ECC02F6" w:tentative="1">
      <w:start w:val="1"/>
      <w:numFmt w:val="bullet"/>
      <w:lvlText w:val="o"/>
      <w:lvlJc w:val="left"/>
      <w:pPr>
        <w:tabs>
          <w:tab w:val="num" w:pos="3600"/>
        </w:tabs>
        <w:ind w:left="3600" w:hanging="360"/>
      </w:pPr>
      <w:rPr>
        <w:rFonts w:ascii="Courier New" w:hAnsi="Courier New" w:cs="Courier New" w:hint="default"/>
      </w:rPr>
    </w:lvl>
    <w:lvl w:ilvl="5" w:tplc="F1FA958C" w:tentative="1">
      <w:start w:val="1"/>
      <w:numFmt w:val="bullet"/>
      <w:lvlText w:val=""/>
      <w:lvlJc w:val="left"/>
      <w:pPr>
        <w:tabs>
          <w:tab w:val="num" w:pos="4320"/>
        </w:tabs>
        <w:ind w:left="4320" w:hanging="360"/>
      </w:pPr>
      <w:rPr>
        <w:rFonts w:ascii="Wingdings" w:hAnsi="Wingdings" w:hint="default"/>
      </w:rPr>
    </w:lvl>
    <w:lvl w:ilvl="6" w:tplc="80082DF4" w:tentative="1">
      <w:start w:val="1"/>
      <w:numFmt w:val="bullet"/>
      <w:lvlText w:val=""/>
      <w:lvlJc w:val="left"/>
      <w:pPr>
        <w:tabs>
          <w:tab w:val="num" w:pos="5040"/>
        </w:tabs>
        <w:ind w:left="5040" w:hanging="360"/>
      </w:pPr>
      <w:rPr>
        <w:rFonts w:ascii="Symbol" w:hAnsi="Symbol" w:hint="default"/>
      </w:rPr>
    </w:lvl>
    <w:lvl w:ilvl="7" w:tplc="624A26D2" w:tentative="1">
      <w:start w:val="1"/>
      <w:numFmt w:val="bullet"/>
      <w:lvlText w:val="o"/>
      <w:lvlJc w:val="left"/>
      <w:pPr>
        <w:tabs>
          <w:tab w:val="num" w:pos="5760"/>
        </w:tabs>
        <w:ind w:left="5760" w:hanging="360"/>
      </w:pPr>
      <w:rPr>
        <w:rFonts w:ascii="Courier New" w:hAnsi="Courier New" w:cs="Courier New" w:hint="default"/>
      </w:rPr>
    </w:lvl>
    <w:lvl w:ilvl="8" w:tplc="C1544F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F04216"/>
    <w:multiLevelType w:val="hybridMultilevel"/>
    <w:tmpl w:val="9D4AABB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B562411"/>
    <w:multiLevelType w:val="hybridMultilevel"/>
    <w:tmpl w:val="9B605580"/>
    <w:lvl w:ilvl="0" w:tplc="0164A7AC">
      <w:start w:val="1"/>
      <w:numFmt w:val="decimal"/>
      <w:lvlText w:val="%1."/>
      <w:lvlJc w:val="left"/>
      <w:pPr>
        <w:ind w:left="360" w:hanging="360"/>
      </w:pPr>
      <w:rPr>
        <w:rFonts w:ascii="Verdana" w:eastAsia="Times New Roman" w:hAnsi="Verdana"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0DF52FB4"/>
    <w:multiLevelType w:val="hybridMultilevel"/>
    <w:tmpl w:val="357EAD94"/>
    <w:lvl w:ilvl="0" w:tplc="5B2060B8">
      <w:start w:val="22"/>
      <w:numFmt w:val="bullet"/>
      <w:lvlText w:val="-"/>
      <w:lvlJc w:val="left"/>
      <w:pPr>
        <w:ind w:left="360" w:hanging="360"/>
      </w:pPr>
      <w:rPr>
        <w:rFonts w:ascii="Verdana" w:eastAsiaTheme="minorHAns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0F706393"/>
    <w:multiLevelType w:val="multilevel"/>
    <w:tmpl w:val="EE4C9750"/>
    <w:styleLink w:val="Nummeringagenda"/>
    <w:lvl w:ilvl="0">
      <w:start w:val="1"/>
      <w:numFmt w:val="decimal"/>
      <w:lvlText w:val="%1."/>
      <w:lvlJc w:val="left"/>
      <w:pPr>
        <w:tabs>
          <w:tab w:val="num" w:pos="720"/>
        </w:tabs>
        <w:ind w:left="720" w:hanging="360"/>
      </w:pPr>
      <w:rPr>
        <w:rFonts w:ascii="Verdana" w:hAnsi="Verdana" w:cs="Times New Roman" w:hint="default"/>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145E1B24"/>
    <w:multiLevelType w:val="hybridMultilevel"/>
    <w:tmpl w:val="986E5376"/>
    <w:lvl w:ilvl="0" w:tplc="EE66535E">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154E13A3"/>
    <w:multiLevelType w:val="hybridMultilevel"/>
    <w:tmpl w:val="3D124EF6"/>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1621378E"/>
    <w:multiLevelType w:val="hybridMultilevel"/>
    <w:tmpl w:val="13EEE32C"/>
    <w:lvl w:ilvl="0" w:tplc="499EC496">
      <w:start w:val="1"/>
      <w:numFmt w:val="decimal"/>
      <w:lvlText w:val="%1)"/>
      <w:lvlJc w:val="left"/>
      <w:pPr>
        <w:ind w:left="216" w:hanging="216"/>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66B3FE3"/>
    <w:multiLevelType w:val="hybridMultilevel"/>
    <w:tmpl w:val="AD96E4EE"/>
    <w:lvl w:ilvl="0" w:tplc="04130001">
      <w:start w:val="1"/>
      <w:numFmt w:val="bullet"/>
      <w:lvlText w:val=""/>
      <w:lvlJc w:val="left"/>
      <w:pPr>
        <w:ind w:left="360" w:hanging="360"/>
      </w:pPr>
      <w:rPr>
        <w:rFonts w:ascii="Symbol" w:hAnsi="Symbol"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555FEF"/>
    <w:multiLevelType w:val="hybridMultilevel"/>
    <w:tmpl w:val="50F0923E"/>
    <w:lvl w:ilvl="0" w:tplc="6B029716">
      <w:start w:val="1"/>
      <w:numFmt w:val="bullet"/>
      <w:pStyle w:val="Lijstopsomteken2"/>
      <w:lvlText w:val="–"/>
      <w:lvlJc w:val="left"/>
      <w:pPr>
        <w:tabs>
          <w:tab w:val="num" w:pos="227"/>
        </w:tabs>
        <w:ind w:left="227" w:firstLine="0"/>
      </w:pPr>
      <w:rPr>
        <w:rFonts w:ascii="Verdana" w:hAnsi="Verdana" w:hint="default"/>
      </w:rPr>
    </w:lvl>
    <w:lvl w:ilvl="1" w:tplc="8D581564" w:tentative="1">
      <w:start w:val="1"/>
      <w:numFmt w:val="bullet"/>
      <w:lvlText w:val="o"/>
      <w:lvlJc w:val="left"/>
      <w:pPr>
        <w:tabs>
          <w:tab w:val="num" w:pos="1440"/>
        </w:tabs>
        <w:ind w:left="1440" w:hanging="360"/>
      </w:pPr>
      <w:rPr>
        <w:rFonts w:ascii="Courier New" w:hAnsi="Courier New" w:cs="Courier New" w:hint="default"/>
      </w:rPr>
    </w:lvl>
    <w:lvl w:ilvl="2" w:tplc="F642EB8C" w:tentative="1">
      <w:start w:val="1"/>
      <w:numFmt w:val="bullet"/>
      <w:lvlText w:val=""/>
      <w:lvlJc w:val="left"/>
      <w:pPr>
        <w:tabs>
          <w:tab w:val="num" w:pos="2160"/>
        </w:tabs>
        <w:ind w:left="2160" w:hanging="360"/>
      </w:pPr>
      <w:rPr>
        <w:rFonts w:ascii="Wingdings" w:hAnsi="Wingdings" w:hint="default"/>
      </w:rPr>
    </w:lvl>
    <w:lvl w:ilvl="3" w:tplc="0532A336" w:tentative="1">
      <w:start w:val="1"/>
      <w:numFmt w:val="bullet"/>
      <w:lvlText w:val=""/>
      <w:lvlJc w:val="left"/>
      <w:pPr>
        <w:tabs>
          <w:tab w:val="num" w:pos="2880"/>
        </w:tabs>
        <w:ind w:left="2880" w:hanging="360"/>
      </w:pPr>
      <w:rPr>
        <w:rFonts w:ascii="Symbol" w:hAnsi="Symbol" w:hint="default"/>
      </w:rPr>
    </w:lvl>
    <w:lvl w:ilvl="4" w:tplc="DD3A73D0" w:tentative="1">
      <w:start w:val="1"/>
      <w:numFmt w:val="bullet"/>
      <w:lvlText w:val="o"/>
      <w:lvlJc w:val="left"/>
      <w:pPr>
        <w:tabs>
          <w:tab w:val="num" w:pos="3600"/>
        </w:tabs>
        <w:ind w:left="3600" w:hanging="360"/>
      </w:pPr>
      <w:rPr>
        <w:rFonts w:ascii="Courier New" w:hAnsi="Courier New" w:cs="Courier New" w:hint="default"/>
      </w:rPr>
    </w:lvl>
    <w:lvl w:ilvl="5" w:tplc="75C68FF6" w:tentative="1">
      <w:start w:val="1"/>
      <w:numFmt w:val="bullet"/>
      <w:lvlText w:val=""/>
      <w:lvlJc w:val="left"/>
      <w:pPr>
        <w:tabs>
          <w:tab w:val="num" w:pos="4320"/>
        </w:tabs>
        <w:ind w:left="4320" w:hanging="360"/>
      </w:pPr>
      <w:rPr>
        <w:rFonts w:ascii="Wingdings" w:hAnsi="Wingdings" w:hint="default"/>
      </w:rPr>
    </w:lvl>
    <w:lvl w:ilvl="6" w:tplc="7BB6705C" w:tentative="1">
      <w:start w:val="1"/>
      <w:numFmt w:val="bullet"/>
      <w:lvlText w:val=""/>
      <w:lvlJc w:val="left"/>
      <w:pPr>
        <w:tabs>
          <w:tab w:val="num" w:pos="5040"/>
        </w:tabs>
        <w:ind w:left="5040" w:hanging="360"/>
      </w:pPr>
      <w:rPr>
        <w:rFonts w:ascii="Symbol" w:hAnsi="Symbol" w:hint="default"/>
      </w:rPr>
    </w:lvl>
    <w:lvl w:ilvl="7" w:tplc="12EE7960" w:tentative="1">
      <w:start w:val="1"/>
      <w:numFmt w:val="bullet"/>
      <w:lvlText w:val="o"/>
      <w:lvlJc w:val="left"/>
      <w:pPr>
        <w:tabs>
          <w:tab w:val="num" w:pos="5760"/>
        </w:tabs>
        <w:ind w:left="5760" w:hanging="360"/>
      </w:pPr>
      <w:rPr>
        <w:rFonts w:ascii="Courier New" w:hAnsi="Courier New" w:cs="Courier New" w:hint="default"/>
      </w:rPr>
    </w:lvl>
    <w:lvl w:ilvl="8" w:tplc="C4D6F02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7C20D4"/>
    <w:multiLevelType w:val="hybridMultilevel"/>
    <w:tmpl w:val="5C86F826"/>
    <w:lvl w:ilvl="0" w:tplc="5B2060B8">
      <w:start w:val="22"/>
      <w:numFmt w:val="bullet"/>
      <w:lvlText w:val="-"/>
      <w:lvlJc w:val="left"/>
      <w:pPr>
        <w:ind w:left="360" w:hanging="360"/>
      </w:pPr>
      <w:rPr>
        <w:rFonts w:ascii="Verdana" w:eastAsiaTheme="minorHAns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202E4A37"/>
    <w:multiLevelType w:val="hybridMultilevel"/>
    <w:tmpl w:val="BF7EC6DE"/>
    <w:lvl w:ilvl="0" w:tplc="04130015">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6862D46"/>
    <w:multiLevelType w:val="hybridMultilevel"/>
    <w:tmpl w:val="F81AC0F0"/>
    <w:lvl w:ilvl="0" w:tplc="04130001">
      <w:start w:val="1"/>
      <w:numFmt w:val="bullet"/>
      <w:lvlText w:val=""/>
      <w:lvlJc w:val="left"/>
      <w:pPr>
        <w:ind w:left="360" w:hanging="360"/>
      </w:pPr>
      <w:rPr>
        <w:rFonts w:ascii="Symbol" w:hAnsi="Symbol"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9C35FC9"/>
    <w:multiLevelType w:val="hybridMultilevel"/>
    <w:tmpl w:val="C4CC5062"/>
    <w:lvl w:ilvl="0" w:tplc="A7EEC91A">
      <w:start w:val="1"/>
      <w:numFmt w:val="bullet"/>
      <w:lvlText w:val="-"/>
      <w:lvlJc w:val="left"/>
      <w:pPr>
        <w:ind w:left="360" w:hanging="360"/>
      </w:pPr>
      <w:rPr>
        <w:rFonts w:ascii="Verdana" w:eastAsia="Times New Roman" w:hAnsi="Verdana" w:cs="Times New Roman" w:hint="default"/>
      </w:rPr>
    </w:lvl>
    <w:lvl w:ilvl="1" w:tplc="16F2B534">
      <w:start w:val="1"/>
      <w:numFmt w:val="upperLetter"/>
      <w:lvlText w:val="%2."/>
      <w:lvlJc w:val="left"/>
      <w:pPr>
        <w:ind w:left="1080" w:hanging="360"/>
      </w:pPr>
      <w:rPr>
        <w:rFonts w:ascii="Verdana" w:eastAsia="Times New Roman" w:hAnsi="Verdana" w:cs="Times New Roman"/>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2DA70B86"/>
    <w:multiLevelType w:val="hybridMultilevel"/>
    <w:tmpl w:val="F97CAA6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F3250BA"/>
    <w:multiLevelType w:val="hybridMultilevel"/>
    <w:tmpl w:val="80FCA952"/>
    <w:lvl w:ilvl="0" w:tplc="04130001">
      <w:start w:val="1"/>
      <w:numFmt w:val="bullet"/>
      <w:lvlText w:val=""/>
      <w:lvlJc w:val="left"/>
      <w:pPr>
        <w:ind w:left="360" w:hanging="360"/>
      </w:pPr>
      <w:rPr>
        <w:rFonts w:ascii="Symbol" w:hAnsi="Symbol"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A907173"/>
    <w:multiLevelType w:val="hybridMultilevel"/>
    <w:tmpl w:val="3FCE2A64"/>
    <w:lvl w:ilvl="0" w:tplc="5B2060B8">
      <w:start w:val="22"/>
      <w:numFmt w:val="bullet"/>
      <w:lvlText w:val="-"/>
      <w:lvlJc w:val="left"/>
      <w:pPr>
        <w:ind w:left="360" w:hanging="360"/>
      </w:pPr>
      <w:rPr>
        <w:rFonts w:ascii="Verdana" w:eastAsiaTheme="minorHAns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3" w15:restartNumberingAfterBreak="0">
    <w:nsid w:val="3A9470E3"/>
    <w:multiLevelType w:val="hybridMultilevel"/>
    <w:tmpl w:val="126037A8"/>
    <w:lvl w:ilvl="0" w:tplc="04130015">
      <w:start w:val="1"/>
      <w:numFmt w:val="upperLetter"/>
      <w:lvlText w:val="%1."/>
      <w:lvlJc w:val="left"/>
      <w:pPr>
        <w:ind w:left="360" w:hanging="360"/>
      </w:pPr>
      <w:rPr>
        <w:rFonts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D2A418A"/>
    <w:multiLevelType w:val="hybridMultilevel"/>
    <w:tmpl w:val="14FC66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3D855089"/>
    <w:multiLevelType w:val="hybridMultilevel"/>
    <w:tmpl w:val="F09E971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6" w15:restartNumberingAfterBreak="0">
    <w:nsid w:val="48010729"/>
    <w:multiLevelType w:val="hybridMultilevel"/>
    <w:tmpl w:val="335A4B14"/>
    <w:lvl w:ilvl="0" w:tplc="04130001">
      <w:start w:val="1"/>
      <w:numFmt w:val="bullet"/>
      <w:lvlText w:val=""/>
      <w:lvlJc w:val="left"/>
      <w:pPr>
        <w:ind w:left="360" w:hanging="360"/>
      </w:pPr>
      <w:rPr>
        <w:rFonts w:ascii="Symbol" w:hAnsi="Symbol"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4A6D0858"/>
    <w:multiLevelType w:val="hybridMultilevel"/>
    <w:tmpl w:val="95D45620"/>
    <w:lvl w:ilvl="0" w:tplc="5B2060B8">
      <w:start w:val="22"/>
      <w:numFmt w:val="bullet"/>
      <w:lvlText w:val="-"/>
      <w:lvlJc w:val="left"/>
      <w:pPr>
        <w:ind w:left="360" w:hanging="360"/>
      </w:pPr>
      <w:rPr>
        <w:rFonts w:ascii="Verdana" w:eastAsiaTheme="minorHAns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8" w15:restartNumberingAfterBreak="0">
    <w:nsid w:val="4D6155E1"/>
    <w:multiLevelType w:val="hybridMultilevel"/>
    <w:tmpl w:val="D40428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9" w15:restartNumberingAfterBreak="0">
    <w:nsid w:val="4DDF1CBC"/>
    <w:multiLevelType w:val="hybridMultilevel"/>
    <w:tmpl w:val="5A6A27CC"/>
    <w:lvl w:ilvl="0" w:tplc="FFFFFFFF">
      <w:start w:val="1"/>
      <w:numFmt w:val="decimal"/>
      <w:lvlText w:val="%1."/>
      <w:lvlJc w:val="left"/>
      <w:pPr>
        <w:ind w:left="360" w:hanging="360"/>
      </w:pPr>
      <w:rPr>
        <w:rFonts w:ascii="Verdana" w:eastAsia="Times New Roman" w:hAnsi="Verdana" w:cs="Times New Roman"/>
      </w:rPr>
    </w:lvl>
    <w:lvl w:ilvl="1" w:tplc="5B2060B8">
      <w:start w:val="22"/>
      <w:numFmt w:val="bullet"/>
      <w:lvlText w:val="-"/>
      <w:lvlJc w:val="left"/>
      <w:pPr>
        <w:ind w:left="1440" w:hanging="360"/>
      </w:pPr>
      <w:rPr>
        <w:rFonts w:ascii="Verdana" w:eastAsiaTheme="minorHAnsi" w:hAnsi="Verdana"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EB330B"/>
    <w:multiLevelType w:val="hybridMultilevel"/>
    <w:tmpl w:val="580C279E"/>
    <w:lvl w:ilvl="0" w:tplc="04130015">
      <w:start w:val="1"/>
      <w:numFmt w:val="upperLetter"/>
      <w:lvlText w:val="%1."/>
      <w:lvlJc w:val="left"/>
      <w:pPr>
        <w:ind w:left="360" w:hanging="360"/>
      </w:pPr>
      <w:rPr>
        <w:rFonts w:hint="default"/>
      </w:rPr>
    </w:lvl>
    <w:lvl w:ilvl="1" w:tplc="FFFFFFFF">
      <w:start w:val="1"/>
      <w:numFmt w:val="upperLetter"/>
      <w:lvlText w:val="%2."/>
      <w:lvlJc w:val="left"/>
      <w:pPr>
        <w:ind w:left="1080" w:hanging="360"/>
      </w:pPr>
      <w:rPr>
        <w:rFonts w:ascii="Verdana" w:eastAsia="Times New Roman" w:hAnsi="Verdana" w:cs="Times New Roman"/>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CF114F"/>
    <w:multiLevelType w:val="hybridMultilevel"/>
    <w:tmpl w:val="5896C636"/>
    <w:lvl w:ilvl="0" w:tplc="CB9226EA">
      <w:start w:val="1"/>
      <w:numFmt w:val="decimal"/>
      <w:lvlText w:val="%1."/>
      <w:lvlJc w:val="left"/>
      <w:pPr>
        <w:tabs>
          <w:tab w:val="num" w:pos="720"/>
        </w:tabs>
        <w:ind w:left="720" w:hanging="360"/>
      </w:pPr>
    </w:lvl>
    <w:lvl w:ilvl="1" w:tplc="37BA3872" w:tentative="1">
      <w:start w:val="1"/>
      <w:numFmt w:val="lowerLetter"/>
      <w:lvlText w:val="%2."/>
      <w:lvlJc w:val="left"/>
      <w:pPr>
        <w:tabs>
          <w:tab w:val="num" w:pos="1440"/>
        </w:tabs>
        <w:ind w:left="1440" w:hanging="360"/>
      </w:pPr>
    </w:lvl>
    <w:lvl w:ilvl="2" w:tplc="002C19C0" w:tentative="1">
      <w:start w:val="1"/>
      <w:numFmt w:val="lowerRoman"/>
      <w:lvlText w:val="%3."/>
      <w:lvlJc w:val="right"/>
      <w:pPr>
        <w:tabs>
          <w:tab w:val="num" w:pos="2160"/>
        </w:tabs>
        <w:ind w:left="2160" w:hanging="180"/>
      </w:pPr>
    </w:lvl>
    <w:lvl w:ilvl="3" w:tplc="48F40888" w:tentative="1">
      <w:start w:val="1"/>
      <w:numFmt w:val="decimal"/>
      <w:lvlText w:val="%4."/>
      <w:lvlJc w:val="left"/>
      <w:pPr>
        <w:tabs>
          <w:tab w:val="num" w:pos="2880"/>
        </w:tabs>
        <w:ind w:left="2880" w:hanging="360"/>
      </w:pPr>
    </w:lvl>
    <w:lvl w:ilvl="4" w:tplc="ACAA7CCE" w:tentative="1">
      <w:start w:val="1"/>
      <w:numFmt w:val="lowerLetter"/>
      <w:lvlText w:val="%5."/>
      <w:lvlJc w:val="left"/>
      <w:pPr>
        <w:tabs>
          <w:tab w:val="num" w:pos="3600"/>
        </w:tabs>
        <w:ind w:left="3600" w:hanging="360"/>
      </w:pPr>
    </w:lvl>
    <w:lvl w:ilvl="5" w:tplc="4A4843B4" w:tentative="1">
      <w:start w:val="1"/>
      <w:numFmt w:val="lowerRoman"/>
      <w:lvlText w:val="%6."/>
      <w:lvlJc w:val="right"/>
      <w:pPr>
        <w:tabs>
          <w:tab w:val="num" w:pos="4320"/>
        </w:tabs>
        <w:ind w:left="4320" w:hanging="180"/>
      </w:pPr>
    </w:lvl>
    <w:lvl w:ilvl="6" w:tplc="E2D0F436" w:tentative="1">
      <w:start w:val="1"/>
      <w:numFmt w:val="decimal"/>
      <w:lvlText w:val="%7."/>
      <w:lvlJc w:val="left"/>
      <w:pPr>
        <w:tabs>
          <w:tab w:val="num" w:pos="5040"/>
        </w:tabs>
        <w:ind w:left="5040" w:hanging="360"/>
      </w:pPr>
    </w:lvl>
    <w:lvl w:ilvl="7" w:tplc="568ED77A" w:tentative="1">
      <w:start w:val="1"/>
      <w:numFmt w:val="lowerLetter"/>
      <w:lvlText w:val="%8."/>
      <w:lvlJc w:val="left"/>
      <w:pPr>
        <w:tabs>
          <w:tab w:val="num" w:pos="5760"/>
        </w:tabs>
        <w:ind w:left="5760" w:hanging="360"/>
      </w:pPr>
    </w:lvl>
    <w:lvl w:ilvl="8" w:tplc="11962DB6" w:tentative="1">
      <w:start w:val="1"/>
      <w:numFmt w:val="lowerRoman"/>
      <w:lvlText w:val="%9."/>
      <w:lvlJc w:val="right"/>
      <w:pPr>
        <w:tabs>
          <w:tab w:val="num" w:pos="6480"/>
        </w:tabs>
        <w:ind w:left="6480" w:hanging="180"/>
      </w:pPr>
    </w:lvl>
  </w:abstractNum>
  <w:abstractNum w:abstractNumId="43" w15:restartNumberingAfterBreak="0">
    <w:nsid w:val="5CDF2DE4"/>
    <w:multiLevelType w:val="hybridMultilevel"/>
    <w:tmpl w:val="A288BE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047410D"/>
    <w:multiLevelType w:val="hybridMultilevel"/>
    <w:tmpl w:val="A4828BF2"/>
    <w:lvl w:ilvl="0" w:tplc="71567472">
      <w:start w:val="1"/>
      <w:numFmt w:val="decimal"/>
      <w:lvlText w:val="%1."/>
      <w:lvlJc w:val="left"/>
      <w:pPr>
        <w:tabs>
          <w:tab w:val="num" w:pos="720"/>
        </w:tabs>
        <w:ind w:left="720" w:hanging="360"/>
      </w:pPr>
    </w:lvl>
    <w:lvl w:ilvl="1" w:tplc="C3229EC8" w:tentative="1">
      <w:start w:val="1"/>
      <w:numFmt w:val="lowerLetter"/>
      <w:lvlText w:val="%2."/>
      <w:lvlJc w:val="left"/>
      <w:pPr>
        <w:tabs>
          <w:tab w:val="num" w:pos="1440"/>
        </w:tabs>
        <w:ind w:left="1440" w:hanging="360"/>
      </w:pPr>
    </w:lvl>
    <w:lvl w:ilvl="2" w:tplc="F8EAADEE" w:tentative="1">
      <w:start w:val="1"/>
      <w:numFmt w:val="lowerRoman"/>
      <w:lvlText w:val="%3."/>
      <w:lvlJc w:val="right"/>
      <w:pPr>
        <w:tabs>
          <w:tab w:val="num" w:pos="2160"/>
        </w:tabs>
        <w:ind w:left="2160" w:hanging="180"/>
      </w:pPr>
    </w:lvl>
    <w:lvl w:ilvl="3" w:tplc="0C66F2CC" w:tentative="1">
      <w:start w:val="1"/>
      <w:numFmt w:val="decimal"/>
      <w:lvlText w:val="%4."/>
      <w:lvlJc w:val="left"/>
      <w:pPr>
        <w:tabs>
          <w:tab w:val="num" w:pos="2880"/>
        </w:tabs>
        <w:ind w:left="2880" w:hanging="360"/>
      </w:pPr>
    </w:lvl>
    <w:lvl w:ilvl="4" w:tplc="19FA11D6" w:tentative="1">
      <w:start w:val="1"/>
      <w:numFmt w:val="lowerLetter"/>
      <w:lvlText w:val="%5."/>
      <w:lvlJc w:val="left"/>
      <w:pPr>
        <w:tabs>
          <w:tab w:val="num" w:pos="3600"/>
        </w:tabs>
        <w:ind w:left="3600" w:hanging="360"/>
      </w:pPr>
    </w:lvl>
    <w:lvl w:ilvl="5" w:tplc="B98CBB34" w:tentative="1">
      <w:start w:val="1"/>
      <w:numFmt w:val="lowerRoman"/>
      <w:lvlText w:val="%6."/>
      <w:lvlJc w:val="right"/>
      <w:pPr>
        <w:tabs>
          <w:tab w:val="num" w:pos="4320"/>
        </w:tabs>
        <w:ind w:left="4320" w:hanging="180"/>
      </w:pPr>
    </w:lvl>
    <w:lvl w:ilvl="6" w:tplc="498C16E0" w:tentative="1">
      <w:start w:val="1"/>
      <w:numFmt w:val="decimal"/>
      <w:lvlText w:val="%7."/>
      <w:lvlJc w:val="left"/>
      <w:pPr>
        <w:tabs>
          <w:tab w:val="num" w:pos="5040"/>
        </w:tabs>
        <w:ind w:left="5040" w:hanging="360"/>
      </w:pPr>
    </w:lvl>
    <w:lvl w:ilvl="7" w:tplc="1026EE74" w:tentative="1">
      <w:start w:val="1"/>
      <w:numFmt w:val="lowerLetter"/>
      <w:lvlText w:val="%8."/>
      <w:lvlJc w:val="left"/>
      <w:pPr>
        <w:tabs>
          <w:tab w:val="num" w:pos="5760"/>
        </w:tabs>
        <w:ind w:left="5760" w:hanging="360"/>
      </w:pPr>
    </w:lvl>
    <w:lvl w:ilvl="8" w:tplc="9076977C" w:tentative="1">
      <w:start w:val="1"/>
      <w:numFmt w:val="lowerRoman"/>
      <w:lvlText w:val="%9."/>
      <w:lvlJc w:val="right"/>
      <w:pPr>
        <w:tabs>
          <w:tab w:val="num" w:pos="6480"/>
        </w:tabs>
        <w:ind w:left="6480" w:hanging="180"/>
      </w:pPr>
    </w:lvl>
  </w:abstractNum>
  <w:abstractNum w:abstractNumId="45" w15:restartNumberingAfterBreak="0">
    <w:nsid w:val="62651872"/>
    <w:multiLevelType w:val="hybridMultilevel"/>
    <w:tmpl w:val="B5A8896E"/>
    <w:lvl w:ilvl="0" w:tplc="0413000F">
      <w:start w:val="1"/>
      <w:numFmt w:val="decimal"/>
      <w:lvlText w:val="%1."/>
      <w:lvlJc w:val="left"/>
      <w:pPr>
        <w:ind w:left="720" w:hanging="360"/>
      </w:pPr>
    </w:lvl>
    <w:lvl w:ilvl="1" w:tplc="A7EEC91A">
      <w:start w:val="1"/>
      <w:numFmt w:val="bullet"/>
      <w:lvlText w:val="-"/>
      <w:lvlJc w:val="left"/>
      <w:pPr>
        <w:ind w:left="360" w:hanging="360"/>
      </w:pPr>
      <w:rPr>
        <w:rFonts w:ascii="Verdana" w:eastAsia="Times New Roman" w:hAnsi="Verdana" w:cs="Times New Roman"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3546236"/>
    <w:multiLevelType w:val="multilevel"/>
    <w:tmpl w:val="FC54D2E0"/>
    <w:styleLink w:val="Huidigelijst1"/>
    <w:lvl w:ilvl="0">
      <w:start w:val="1"/>
      <w:numFmt w:val="decimal"/>
      <w:lvlText w:val="%1)"/>
      <w:lvlJc w:val="left"/>
      <w:pPr>
        <w:ind w:left="720" w:hanging="360"/>
      </w:pPr>
      <w:rPr>
        <w:rFonts w:ascii="Verdana" w:eastAsia="Times New Roman" w:hAnsi="Verdana"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006432"/>
    <w:multiLevelType w:val="hybridMultilevel"/>
    <w:tmpl w:val="F89C0014"/>
    <w:lvl w:ilvl="0" w:tplc="5B2060B8">
      <w:start w:val="22"/>
      <w:numFmt w:val="bullet"/>
      <w:lvlText w:val="-"/>
      <w:lvlJc w:val="left"/>
      <w:pPr>
        <w:ind w:left="360" w:hanging="360"/>
      </w:pPr>
      <w:rPr>
        <w:rFonts w:ascii="Verdana" w:eastAsiaTheme="minorHAnsi" w:hAnsi="Verdana" w:cs="Calibri" w:hint="default"/>
      </w:rPr>
    </w:lvl>
    <w:lvl w:ilvl="1" w:tplc="FFFFFFFF">
      <w:start w:val="22"/>
      <w:numFmt w:val="bullet"/>
      <w:lvlText w:val="-"/>
      <w:lvlJc w:val="left"/>
      <w:pPr>
        <w:ind w:left="1440" w:hanging="360"/>
      </w:pPr>
      <w:rPr>
        <w:rFonts w:ascii="Verdana" w:eastAsiaTheme="minorHAnsi" w:hAnsi="Verdana"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0B0BC9"/>
    <w:multiLevelType w:val="hybridMultilevel"/>
    <w:tmpl w:val="1CF8DE60"/>
    <w:lvl w:ilvl="0" w:tplc="5B2060B8">
      <w:start w:val="22"/>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9" w15:restartNumberingAfterBreak="0">
    <w:nsid w:val="69F24450"/>
    <w:multiLevelType w:val="hybridMultilevel"/>
    <w:tmpl w:val="F752CC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0" w15:restartNumberingAfterBreak="0">
    <w:nsid w:val="6AD244E6"/>
    <w:multiLevelType w:val="hybridMultilevel"/>
    <w:tmpl w:val="174E640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6EB26E61"/>
    <w:multiLevelType w:val="hybridMultilevel"/>
    <w:tmpl w:val="7BDC37F2"/>
    <w:lvl w:ilvl="0" w:tplc="46361C0E">
      <w:numFmt w:val="bullet"/>
      <w:lvlText w:val="-"/>
      <w:lvlJc w:val="left"/>
      <w:pPr>
        <w:ind w:left="1560" w:hanging="360"/>
      </w:pPr>
      <w:rPr>
        <w:rFonts w:ascii="Verdana" w:eastAsia="Times New Roman" w:hAnsi="Verdana" w:cs="Times New Roman" w:hint="default"/>
      </w:rPr>
    </w:lvl>
    <w:lvl w:ilvl="1" w:tplc="04130003" w:tentative="1">
      <w:start w:val="1"/>
      <w:numFmt w:val="bullet"/>
      <w:lvlText w:val="o"/>
      <w:lvlJc w:val="left"/>
      <w:pPr>
        <w:ind w:left="2280" w:hanging="360"/>
      </w:pPr>
      <w:rPr>
        <w:rFonts w:ascii="Courier New" w:hAnsi="Courier New" w:cs="Courier New" w:hint="default"/>
      </w:rPr>
    </w:lvl>
    <w:lvl w:ilvl="2" w:tplc="04130005" w:tentative="1">
      <w:start w:val="1"/>
      <w:numFmt w:val="bullet"/>
      <w:lvlText w:val=""/>
      <w:lvlJc w:val="left"/>
      <w:pPr>
        <w:ind w:left="3000" w:hanging="360"/>
      </w:pPr>
      <w:rPr>
        <w:rFonts w:ascii="Wingdings" w:hAnsi="Wingdings" w:hint="default"/>
      </w:rPr>
    </w:lvl>
    <w:lvl w:ilvl="3" w:tplc="04130001" w:tentative="1">
      <w:start w:val="1"/>
      <w:numFmt w:val="bullet"/>
      <w:lvlText w:val=""/>
      <w:lvlJc w:val="left"/>
      <w:pPr>
        <w:ind w:left="3720" w:hanging="360"/>
      </w:pPr>
      <w:rPr>
        <w:rFonts w:ascii="Symbol" w:hAnsi="Symbol" w:hint="default"/>
      </w:rPr>
    </w:lvl>
    <w:lvl w:ilvl="4" w:tplc="04130003" w:tentative="1">
      <w:start w:val="1"/>
      <w:numFmt w:val="bullet"/>
      <w:lvlText w:val="o"/>
      <w:lvlJc w:val="left"/>
      <w:pPr>
        <w:ind w:left="4440" w:hanging="360"/>
      </w:pPr>
      <w:rPr>
        <w:rFonts w:ascii="Courier New" w:hAnsi="Courier New" w:cs="Courier New" w:hint="default"/>
      </w:rPr>
    </w:lvl>
    <w:lvl w:ilvl="5" w:tplc="04130005" w:tentative="1">
      <w:start w:val="1"/>
      <w:numFmt w:val="bullet"/>
      <w:lvlText w:val=""/>
      <w:lvlJc w:val="left"/>
      <w:pPr>
        <w:ind w:left="5160" w:hanging="360"/>
      </w:pPr>
      <w:rPr>
        <w:rFonts w:ascii="Wingdings" w:hAnsi="Wingdings" w:hint="default"/>
      </w:rPr>
    </w:lvl>
    <w:lvl w:ilvl="6" w:tplc="04130001" w:tentative="1">
      <w:start w:val="1"/>
      <w:numFmt w:val="bullet"/>
      <w:lvlText w:val=""/>
      <w:lvlJc w:val="left"/>
      <w:pPr>
        <w:ind w:left="5880" w:hanging="360"/>
      </w:pPr>
      <w:rPr>
        <w:rFonts w:ascii="Symbol" w:hAnsi="Symbol" w:hint="default"/>
      </w:rPr>
    </w:lvl>
    <w:lvl w:ilvl="7" w:tplc="04130003" w:tentative="1">
      <w:start w:val="1"/>
      <w:numFmt w:val="bullet"/>
      <w:lvlText w:val="o"/>
      <w:lvlJc w:val="left"/>
      <w:pPr>
        <w:ind w:left="6600" w:hanging="360"/>
      </w:pPr>
      <w:rPr>
        <w:rFonts w:ascii="Courier New" w:hAnsi="Courier New" w:cs="Courier New" w:hint="default"/>
      </w:rPr>
    </w:lvl>
    <w:lvl w:ilvl="8" w:tplc="04130005" w:tentative="1">
      <w:start w:val="1"/>
      <w:numFmt w:val="bullet"/>
      <w:lvlText w:val=""/>
      <w:lvlJc w:val="left"/>
      <w:pPr>
        <w:ind w:left="7320" w:hanging="360"/>
      </w:pPr>
      <w:rPr>
        <w:rFonts w:ascii="Wingdings" w:hAnsi="Wingdings" w:hint="default"/>
      </w:rPr>
    </w:lvl>
  </w:abstractNum>
  <w:abstractNum w:abstractNumId="52" w15:restartNumberingAfterBreak="0">
    <w:nsid w:val="71FE0013"/>
    <w:multiLevelType w:val="hybridMultilevel"/>
    <w:tmpl w:val="C24C5B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CDC4EC0"/>
    <w:multiLevelType w:val="hybridMultilevel"/>
    <w:tmpl w:val="BB66E202"/>
    <w:lvl w:ilvl="0" w:tplc="0164A7AC">
      <w:start w:val="1"/>
      <w:numFmt w:val="decimal"/>
      <w:lvlText w:val="%1."/>
      <w:lvlJc w:val="left"/>
      <w:pPr>
        <w:ind w:left="360" w:hanging="360"/>
      </w:pPr>
      <w:rPr>
        <w:rFonts w:ascii="Verdana" w:eastAsia="Times New Roman" w:hAnsi="Verdana" w:cs="Times New Roman"/>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D4A4B2F"/>
    <w:multiLevelType w:val="multilevel"/>
    <w:tmpl w:val="EE4C9750"/>
    <w:numStyleLink w:val="Nummeringagenda"/>
  </w:abstractNum>
  <w:num w:numId="1" w16cid:durableId="1616595060">
    <w:abstractNumId w:val="15"/>
  </w:num>
  <w:num w:numId="2" w16cid:durableId="975335999">
    <w:abstractNumId w:val="7"/>
  </w:num>
  <w:num w:numId="3" w16cid:durableId="185874724">
    <w:abstractNumId w:val="6"/>
  </w:num>
  <w:num w:numId="4" w16cid:durableId="1578631996">
    <w:abstractNumId w:val="5"/>
  </w:num>
  <w:num w:numId="5" w16cid:durableId="239413448">
    <w:abstractNumId w:val="4"/>
  </w:num>
  <w:num w:numId="6" w16cid:durableId="502860000">
    <w:abstractNumId w:val="8"/>
  </w:num>
  <w:num w:numId="7" w16cid:durableId="1230382475">
    <w:abstractNumId w:val="3"/>
  </w:num>
  <w:num w:numId="8" w16cid:durableId="2015109790">
    <w:abstractNumId w:val="2"/>
  </w:num>
  <w:num w:numId="9" w16cid:durableId="2135974807">
    <w:abstractNumId w:val="1"/>
  </w:num>
  <w:num w:numId="10" w16cid:durableId="1566137938">
    <w:abstractNumId w:val="0"/>
  </w:num>
  <w:num w:numId="11" w16cid:durableId="267203432">
    <w:abstractNumId w:val="14"/>
  </w:num>
  <w:num w:numId="12" w16cid:durableId="731275909">
    <w:abstractNumId w:val="24"/>
  </w:num>
  <w:num w:numId="13" w16cid:durableId="18360362">
    <w:abstractNumId w:val="41"/>
  </w:num>
  <w:num w:numId="14" w16cid:durableId="644701199">
    <w:abstractNumId w:val="25"/>
  </w:num>
  <w:num w:numId="15" w16cid:durableId="1297224639">
    <w:abstractNumId w:val="42"/>
  </w:num>
  <w:num w:numId="16" w16cid:durableId="1943606938">
    <w:abstractNumId w:val="44"/>
  </w:num>
  <w:num w:numId="17" w16cid:durableId="1331176636">
    <w:abstractNumId w:val="19"/>
  </w:num>
  <w:num w:numId="18" w16cid:durableId="1239903055">
    <w:abstractNumId w:val="54"/>
  </w:num>
  <w:num w:numId="19" w16cid:durableId="97255608">
    <w:abstractNumId w:val="12"/>
  </w:num>
  <w:num w:numId="20" w16cid:durableId="487746938">
    <w:abstractNumId w:val="53"/>
  </w:num>
  <w:num w:numId="21" w16cid:durableId="609748238">
    <w:abstractNumId w:val="35"/>
  </w:num>
  <w:num w:numId="22" w16cid:durableId="8085918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5368002">
    <w:abstractNumId w:val="35"/>
  </w:num>
  <w:num w:numId="24" w16cid:durableId="1211459316">
    <w:abstractNumId w:val="18"/>
  </w:num>
  <w:num w:numId="25" w16cid:durableId="1465000986">
    <w:abstractNumId w:val="37"/>
  </w:num>
  <w:num w:numId="26" w16cid:durableId="451750553">
    <w:abstractNumId w:val="32"/>
  </w:num>
  <w:num w:numId="27" w16cid:durableId="391851892">
    <w:abstractNumId w:val="26"/>
  </w:num>
  <w:num w:numId="28" w16cid:durableId="473255589">
    <w:abstractNumId w:val="29"/>
  </w:num>
  <w:num w:numId="29" w16cid:durableId="1554610005">
    <w:abstractNumId w:val="50"/>
  </w:num>
  <w:num w:numId="30" w16cid:durableId="1455634435">
    <w:abstractNumId w:val="13"/>
  </w:num>
  <w:num w:numId="31" w16cid:durableId="2064712337">
    <w:abstractNumId w:val="21"/>
  </w:num>
  <w:num w:numId="32" w16cid:durableId="1360349238">
    <w:abstractNumId w:val="48"/>
  </w:num>
  <w:num w:numId="33" w16cid:durableId="854925694">
    <w:abstractNumId w:val="17"/>
  </w:num>
  <w:num w:numId="34" w16cid:durableId="118575487">
    <w:abstractNumId w:val="39"/>
  </w:num>
  <w:num w:numId="35" w16cid:durableId="288322587">
    <w:abstractNumId w:val="47"/>
  </w:num>
  <w:num w:numId="36" w16cid:durableId="1865092642">
    <w:abstractNumId w:val="52"/>
  </w:num>
  <w:num w:numId="37" w16cid:durableId="1264462879">
    <w:abstractNumId w:val="9"/>
  </w:num>
  <w:num w:numId="38" w16cid:durableId="1608270527">
    <w:abstractNumId w:val="45"/>
  </w:num>
  <w:num w:numId="39" w16cid:durableId="273632961">
    <w:abstractNumId w:val="20"/>
  </w:num>
  <w:num w:numId="40" w16cid:durableId="1972132515">
    <w:abstractNumId w:val="10"/>
  </w:num>
  <w:num w:numId="41" w16cid:durableId="465899739">
    <w:abstractNumId w:val="23"/>
  </w:num>
  <w:num w:numId="42" w16cid:durableId="1328167339">
    <w:abstractNumId w:val="36"/>
  </w:num>
  <w:num w:numId="43" w16cid:durableId="572012403">
    <w:abstractNumId w:val="28"/>
  </w:num>
  <w:num w:numId="44" w16cid:durableId="1063407275">
    <w:abstractNumId w:val="31"/>
  </w:num>
  <w:num w:numId="45" w16cid:durableId="1265265453">
    <w:abstractNumId w:val="30"/>
  </w:num>
  <w:num w:numId="46" w16cid:durableId="708188172">
    <w:abstractNumId w:val="34"/>
  </w:num>
  <w:num w:numId="47" w16cid:durableId="1553075849">
    <w:abstractNumId w:val="27"/>
  </w:num>
  <w:num w:numId="48" w16cid:durableId="1386294466">
    <w:abstractNumId w:val="43"/>
  </w:num>
  <w:num w:numId="49" w16cid:durableId="1790200042">
    <w:abstractNumId w:val="11"/>
  </w:num>
  <w:num w:numId="50" w16cid:durableId="56440378">
    <w:abstractNumId w:val="33"/>
  </w:num>
  <w:num w:numId="51" w16cid:durableId="1870682245">
    <w:abstractNumId w:val="40"/>
  </w:num>
  <w:num w:numId="52" w16cid:durableId="1580211178">
    <w:abstractNumId w:val="22"/>
  </w:num>
  <w:num w:numId="53" w16cid:durableId="1283458440">
    <w:abstractNumId w:val="51"/>
  </w:num>
  <w:num w:numId="54" w16cid:durableId="1018582629">
    <w:abstractNumId w:val="43"/>
  </w:num>
  <w:num w:numId="55" w16cid:durableId="2022467449">
    <w:abstractNumId w:val="46"/>
  </w:num>
  <w:num w:numId="56" w16cid:durableId="618418924">
    <w:abstractNumId w:val="49"/>
  </w:num>
  <w:num w:numId="57" w16cid:durableId="1946696001">
    <w:abstractNumId w:val="43"/>
  </w:num>
  <w:num w:numId="58" w16cid:durableId="22140875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D6"/>
    <w:rsid w:val="000028B0"/>
    <w:rsid w:val="000053DD"/>
    <w:rsid w:val="000104C9"/>
    <w:rsid w:val="000130B1"/>
    <w:rsid w:val="000134B4"/>
    <w:rsid w:val="00013862"/>
    <w:rsid w:val="00013F60"/>
    <w:rsid w:val="00016012"/>
    <w:rsid w:val="00017C20"/>
    <w:rsid w:val="00020189"/>
    <w:rsid w:val="00020EE4"/>
    <w:rsid w:val="00022BF9"/>
    <w:rsid w:val="00023E9A"/>
    <w:rsid w:val="0003160D"/>
    <w:rsid w:val="0003238E"/>
    <w:rsid w:val="00033D4F"/>
    <w:rsid w:val="00034A84"/>
    <w:rsid w:val="0003586B"/>
    <w:rsid w:val="00035E67"/>
    <w:rsid w:val="000366F3"/>
    <w:rsid w:val="00041750"/>
    <w:rsid w:val="00044613"/>
    <w:rsid w:val="00046BC0"/>
    <w:rsid w:val="00050245"/>
    <w:rsid w:val="000504EB"/>
    <w:rsid w:val="00055F68"/>
    <w:rsid w:val="00066D67"/>
    <w:rsid w:val="00067F46"/>
    <w:rsid w:val="00071F28"/>
    <w:rsid w:val="0007250C"/>
    <w:rsid w:val="00073264"/>
    <w:rsid w:val="000737BB"/>
    <w:rsid w:val="00074079"/>
    <w:rsid w:val="000779F0"/>
    <w:rsid w:val="00087C57"/>
    <w:rsid w:val="00092799"/>
    <w:rsid w:val="00092BA7"/>
    <w:rsid w:val="00092C5F"/>
    <w:rsid w:val="00092D1B"/>
    <w:rsid w:val="00096680"/>
    <w:rsid w:val="000A174A"/>
    <w:rsid w:val="000A3E0A"/>
    <w:rsid w:val="000A4AD7"/>
    <w:rsid w:val="000A65AC"/>
    <w:rsid w:val="000B2698"/>
    <w:rsid w:val="000B7281"/>
    <w:rsid w:val="000B7FAB"/>
    <w:rsid w:val="000C141D"/>
    <w:rsid w:val="000C3EA9"/>
    <w:rsid w:val="000C51C5"/>
    <w:rsid w:val="000D0225"/>
    <w:rsid w:val="000D119D"/>
    <w:rsid w:val="000D3A16"/>
    <w:rsid w:val="000E70DD"/>
    <w:rsid w:val="000F161D"/>
    <w:rsid w:val="000F51CD"/>
    <w:rsid w:val="000F57B4"/>
    <w:rsid w:val="00116BE5"/>
    <w:rsid w:val="001202C0"/>
    <w:rsid w:val="00120D40"/>
    <w:rsid w:val="00123704"/>
    <w:rsid w:val="00124791"/>
    <w:rsid w:val="001270C7"/>
    <w:rsid w:val="00132540"/>
    <w:rsid w:val="00132C6D"/>
    <w:rsid w:val="001379E5"/>
    <w:rsid w:val="00142A3D"/>
    <w:rsid w:val="0014786A"/>
    <w:rsid w:val="001516A4"/>
    <w:rsid w:val="00151E5F"/>
    <w:rsid w:val="001569AB"/>
    <w:rsid w:val="001612F5"/>
    <w:rsid w:val="00164051"/>
    <w:rsid w:val="0016624A"/>
    <w:rsid w:val="00166F2D"/>
    <w:rsid w:val="001678FF"/>
    <w:rsid w:val="00172490"/>
    <w:rsid w:val="001726F3"/>
    <w:rsid w:val="00174CC2"/>
    <w:rsid w:val="00176723"/>
    <w:rsid w:val="00176CC6"/>
    <w:rsid w:val="00181BE4"/>
    <w:rsid w:val="00184454"/>
    <w:rsid w:val="00185576"/>
    <w:rsid w:val="00185951"/>
    <w:rsid w:val="00195AA6"/>
    <w:rsid w:val="00196A68"/>
    <w:rsid w:val="00196B8B"/>
    <w:rsid w:val="001A2638"/>
    <w:rsid w:val="001A2BEA"/>
    <w:rsid w:val="001A4F99"/>
    <w:rsid w:val="001A6D93"/>
    <w:rsid w:val="001B3E9E"/>
    <w:rsid w:val="001B532B"/>
    <w:rsid w:val="001C32EC"/>
    <w:rsid w:val="001C4D5A"/>
    <w:rsid w:val="001C6250"/>
    <w:rsid w:val="001D02B8"/>
    <w:rsid w:val="001D2D83"/>
    <w:rsid w:val="001D69B0"/>
    <w:rsid w:val="001E0A39"/>
    <w:rsid w:val="001E34C6"/>
    <w:rsid w:val="001E4C6B"/>
    <w:rsid w:val="001E5581"/>
    <w:rsid w:val="001F0024"/>
    <w:rsid w:val="001F2B79"/>
    <w:rsid w:val="001F3C70"/>
    <w:rsid w:val="00200D88"/>
    <w:rsid w:val="00201F68"/>
    <w:rsid w:val="0021116F"/>
    <w:rsid w:val="002128DF"/>
    <w:rsid w:val="00212F2A"/>
    <w:rsid w:val="002134BF"/>
    <w:rsid w:val="00214F2B"/>
    <w:rsid w:val="002165C2"/>
    <w:rsid w:val="00216BC2"/>
    <w:rsid w:val="00217880"/>
    <w:rsid w:val="00220767"/>
    <w:rsid w:val="00223920"/>
    <w:rsid w:val="002275F5"/>
    <w:rsid w:val="002309A8"/>
    <w:rsid w:val="00231D93"/>
    <w:rsid w:val="00235673"/>
    <w:rsid w:val="00236CFE"/>
    <w:rsid w:val="00237C0C"/>
    <w:rsid w:val="00241498"/>
    <w:rsid w:val="00242748"/>
    <w:rsid w:val="002428E3"/>
    <w:rsid w:val="0024588C"/>
    <w:rsid w:val="002462CC"/>
    <w:rsid w:val="002466F1"/>
    <w:rsid w:val="002510EE"/>
    <w:rsid w:val="002606EC"/>
    <w:rsid w:val="00260BAF"/>
    <w:rsid w:val="0026208B"/>
    <w:rsid w:val="0026395E"/>
    <w:rsid w:val="002650F7"/>
    <w:rsid w:val="00273590"/>
    <w:rsid w:val="00273F3B"/>
    <w:rsid w:val="00274DB7"/>
    <w:rsid w:val="00275984"/>
    <w:rsid w:val="00280F74"/>
    <w:rsid w:val="00284A1C"/>
    <w:rsid w:val="00284E48"/>
    <w:rsid w:val="0028628B"/>
    <w:rsid w:val="00286998"/>
    <w:rsid w:val="00287583"/>
    <w:rsid w:val="00291AB7"/>
    <w:rsid w:val="0029422B"/>
    <w:rsid w:val="002A0384"/>
    <w:rsid w:val="002A0F3F"/>
    <w:rsid w:val="002A4E76"/>
    <w:rsid w:val="002B153C"/>
    <w:rsid w:val="002C1738"/>
    <w:rsid w:val="002C2830"/>
    <w:rsid w:val="002C533C"/>
    <w:rsid w:val="002C6965"/>
    <w:rsid w:val="002D001A"/>
    <w:rsid w:val="002D0C8B"/>
    <w:rsid w:val="002D2BE9"/>
    <w:rsid w:val="002D317B"/>
    <w:rsid w:val="002D3587"/>
    <w:rsid w:val="002D502D"/>
    <w:rsid w:val="002D71E2"/>
    <w:rsid w:val="002E0F69"/>
    <w:rsid w:val="002E1344"/>
    <w:rsid w:val="002E1A63"/>
    <w:rsid w:val="002E1C21"/>
    <w:rsid w:val="002F39A6"/>
    <w:rsid w:val="002F5147"/>
    <w:rsid w:val="002F69E3"/>
    <w:rsid w:val="002F7084"/>
    <w:rsid w:val="00300A1B"/>
    <w:rsid w:val="0030149C"/>
    <w:rsid w:val="00312597"/>
    <w:rsid w:val="00314870"/>
    <w:rsid w:val="003211AD"/>
    <w:rsid w:val="003314B6"/>
    <w:rsid w:val="00334154"/>
    <w:rsid w:val="00334F55"/>
    <w:rsid w:val="00341FA0"/>
    <w:rsid w:val="00352BCF"/>
    <w:rsid w:val="00353932"/>
    <w:rsid w:val="0035464B"/>
    <w:rsid w:val="00356B39"/>
    <w:rsid w:val="00361C9C"/>
    <w:rsid w:val="0036252A"/>
    <w:rsid w:val="00364D9D"/>
    <w:rsid w:val="003659CD"/>
    <w:rsid w:val="00367454"/>
    <w:rsid w:val="003709A1"/>
    <w:rsid w:val="0037421D"/>
    <w:rsid w:val="00383DA1"/>
    <w:rsid w:val="0039361F"/>
    <w:rsid w:val="00393963"/>
    <w:rsid w:val="0039515C"/>
    <w:rsid w:val="00395575"/>
    <w:rsid w:val="00395672"/>
    <w:rsid w:val="00396A92"/>
    <w:rsid w:val="00397386"/>
    <w:rsid w:val="003A06C8"/>
    <w:rsid w:val="003A0D7C"/>
    <w:rsid w:val="003A5288"/>
    <w:rsid w:val="003B02CD"/>
    <w:rsid w:val="003B1A9C"/>
    <w:rsid w:val="003B7675"/>
    <w:rsid w:val="003B7EE7"/>
    <w:rsid w:val="003C2CCB"/>
    <w:rsid w:val="003C2F04"/>
    <w:rsid w:val="003C6804"/>
    <w:rsid w:val="003D26DD"/>
    <w:rsid w:val="003D39EC"/>
    <w:rsid w:val="003E22E5"/>
    <w:rsid w:val="003E3DD5"/>
    <w:rsid w:val="003E7031"/>
    <w:rsid w:val="003F07C6"/>
    <w:rsid w:val="003F18D1"/>
    <w:rsid w:val="003F1F6B"/>
    <w:rsid w:val="003F2F30"/>
    <w:rsid w:val="003F343D"/>
    <w:rsid w:val="003F3757"/>
    <w:rsid w:val="003F3ADB"/>
    <w:rsid w:val="003F44B7"/>
    <w:rsid w:val="003F6262"/>
    <w:rsid w:val="003F6572"/>
    <w:rsid w:val="003F755D"/>
    <w:rsid w:val="0040329B"/>
    <w:rsid w:val="00413D48"/>
    <w:rsid w:val="00416BF0"/>
    <w:rsid w:val="00420596"/>
    <w:rsid w:val="00441AC2"/>
    <w:rsid w:val="0044249B"/>
    <w:rsid w:val="0045023C"/>
    <w:rsid w:val="00451A5B"/>
    <w:rsid w:val="00452BCD"/>
    <w:rsid w:val="00452CEA"/>
    <w:rsid w:val="00465B52"/>
    <w:rsid w:val="0046708E"/>
    <w:rsid w:val="004711E8"/>
    <w:rsid w:val="00474463"/>
    <w:rsid w:val="00474B75"/>
    <w:rsid w:val="00483F0B"/>
    <w:rsid w:val="004846FE"/>
    <w:rsid w:val="00484957"/>
    <w:rsid w:val="00485395"/>
    <w:rsid w:val="004869B2"/>
    <w:rsid w:val="004941EE"/>
    <w:rsid w:val="00496319"/>
    <w:rsid w:val="00497B8B"/>
    <w:rsid w:val="004A46F1"/>
    <w:rsid w:val="004A52B1"/>
    <w:rsid w:val="004A7793"/>
    <w:rsid w:val="004B5465"/>
    <w:rsid w:val="004C2ACE"/>
    <w:rsid w:val="004C534F"/>
    <w:rsid w:val="004C5FEA"/>
    <w:rsid w:val="004C686B"/>
    <w:rsid w:val="004D1ECA"/>
    <w:rsid w:val="004D43DB"/>
    <w:rsid w:val="004D505E"/>
    <w:rsid w:val="004D72CA"/>
    <w:rsid w:val="004E2242"/>
    <w:rsid w:val="004E2BA5"/>
    <w:rsid w:val="004E3E57"/>
    <w:rsid w:val="004E60F0"/>
    <w:rsid w:val="004E78FE"/>
    <w:rsid w:val="004F0704"/>
    <w:rsid w:val="004F0877"/>
    <w:rsid w:val="004F176E"/>
    <w:rsid w:val="004F3E7F"/>
    <w:rsid w:val="004F42FF"/>
    <w:rsid w:val="004F44C2"/>
    <w:rsid w:val="004F4737"/>
    <w:rsid w:val="00500049"/>
    <w:rsid w:val="005005C4"/>
    <w:rsid w:val="00501C2D"/>
    <w:rsid w:val="00501E15"/>
    <w:rsid w:val="00502C6F"/>
    <w:rsid w:val="00505874"/>
    <w:rsid w:val="00507E34"/>
    <w:rsid w:val="00516022"/>
    <w:rsid w:val="005165F5"/>
    <w:rsid w:val="00521CEE"/>
    <w:rsid w:val="005237E0"/>
    <w:rsid w:val="00523F46"/>
    <w:rsid w:val="005265D9"/>
    <w:rsid w:val="0053000C"/>
    <w:rsid w:val="00530467"/>
    <w:rsid w:val="005306D3"/>
    <w:rsid w:val="00533FB9"/>
    <w:rsid w:val="00541FE7"/>
    <w:rsid w:val="005429DC"/>
    <w:rsid w:val="0054414B"/>
    <w:rsid w:val="00547398"/>
    <w:rsid w:val="0055019B"/>
    <w:rsid w:val="00551C3A"/>
    <w:rsid w:val="00554CC3"/>
    <w:rsid w:val="00554E13"/>
    <w:rsid w:val="005558E0"/>
    <w:rsid w:val="00556B45"/>
    <w:rsid w:val="00573041"/>
    <w:rsid w:val="00575B80"/>
    <w:rsid w:val="005819CE"/>
    <w:rsid w:val="0058298D"/>
    <w:rsid w:val="005846DF"/>
    <w:rsid w:val="00585B5D"/>
    <w:rsid w:val="0059026E"/>
    <w:rsid w:val="0059136E"/>
    <w:rsid w:val="00592F9F"/>
    <w:rsid w:val="00593C2B"/>
    <w:rsid w:val="00596166"/>
    <w:rsid w:val="005A0B4C"/>
    <w:rsid w:val="005A0D2F"/>
    <w:rsid w:val="005A5285"/>
    <w:rsid w:val="005A68C6"/>
    <w:rsid w:val="005B1DB9"/>
    <w:rsid w:val="005C3F39"/>
    <w:rsid w:val="005C3FE0"/>
    <w:rsid w:val="005C4A05"/>
    <w:rsid w:val="005C629E"/>
    <w:rsid w:val="005C666F"/>
    <w:rsid w:val="005C740C"/>
    <w:rsid w:val="005C7C50"/>
    <w:rsid w:val="005D259C"/>
    <w:rsid w:val="005D2E9E"/>
    <w:rsid w:val="005D2FD6"/>
    <w:rsid w:val="005D625B"/>
    <w:rsid w:val="005D6911"/>
    <w:rsid w:val="005D7EF6"/>
    <w:rsid w:val="005E27A3"/>
    <w:rsid w:val="005F09EE"/>
    <w:rsid w:val="005F1DBC"/>
    <w:rsid w:val="005F6D11"/>
    <w:rsid w:val="00600B57"/>
    <w:rsid w:val="00600CF0"/>
    <w:rsid w:val="006022BA"/>
    <w:rsid w:val="006048F4"/>
    <w:rsid w:val="00604CD1"/>
    <w:rsid w:val="0060660A"/>
    <w:rsid w:val="00616EB5"/>
    <w:rsid w:val="00617A44"/>
    <w:rsid w:val="006202B6"/>
    <w:rsid w:val="00622291"/>
    <w:rsid w:val="006234F8"/>
    <w:rsid w:val="00625CD0"/>
    <w:rsid w:val="00627432"/>
    <w:rsid w:val="00631090"/>
    <w:rsid w:val="00631D86"/>
    <w:rsid w:val="00633ED7"/>
    <w:rsid w:val="00634A0A"/>
    <w:rsid w:val="006425CB"/>
    <w:rsid w:val="006448E4"/>
    <w:rsid w:val="00645A21"/>
    <w:rsid w:val="00646C40"/>
    <w:rsid w:val="0064767E"/>
    <w:rsid w:val="0065066C"/>
    <w:rsid w:val="00651F88"/>
    <w:rsid w:val="00653606"/>
    <w:rsid w:val="00653B8A"/>
    <w:rsid w:val="00661591"/>
    <w:rsid w:val="0066195F"/>
    <w:rsid w:val="00661B32"/>
    <w:rsid w:val="0066632F"/>
    <w:rsid w:val="006742AA"/>
    <w:rsid w:val="00674A89"/>
    <w:rsid w:val="00685545"/>
    <w:rsid w:val="006864B3"/>
    <w:rsid w:val="0069036F"/>
    <w:rsid w:val="006931A2"/>
    <w:rsid w:val="006932EF"/>
    <w:rsid w:val="006A10F8"/>
    <w:rsid w:val="006A2100"/>
    <w:rsid w:val="006A7295"/>
    <w:rsid w:val="006B0209"/>
    <w:rsid w:val="006B0BF3"/>
    <w:rsid w:val="006B1D6E"/>
    <w:rsid w:val="006B775E"/>
    <w:rsid w:val="006C2535"/>
    <w:rsid w:val="006C441E"/>
    <w:rsid w:val="006C4B90"/>
    <w:rsid w:val="006C713E"/>
    <w:rsid w:val="006D1016"/>
    <w:rsid w:val="006D17F2"/>
    <w:rsid w:val="006D1810"/>
    <w:rsid w:val="006D1A61"/>
    <w:rsid w:val="006D25D3"/>
    <w:rsid w:val="006D57BD"/>
    <w:rsid w:val="006E13A6"/>
    <w:rsid w:val="006E3546"/>
    <w:rsid w:val="006E3FA9"/>
    <w:rsid w:val="006E41D4"/>
    <w:rsid w:val="006E6EAB"/>
    <w:rsid w:val="006E7A44"/>
    <w:rsid w:val="006E7C41"/>
    <w:rsid w:val="006E7D82"/>
    <w:rsid w:val="006F0F93"/>
    <w:rsid w:val="006F31F2"/>
    <w:rsid w:val="006F3453"/>
    <w:rsid w:val="00702828"/>
    <w:rsid w:val="00703FD6"/>
    <w:rsid w:val="00704307"/>
    <w:rsid w:val="007111DD"/>
    <w:rsid w:val="00711DF6"/>
    <w:rsid w:val="00712E2B"/>
    <w:rsid w:val="00714DC5"/>
    <w:rsid w:val="00715237"/>
    <w:rsid w:val="0072232C"/>
    <w:rsid w:val="00722CA6"/>
    <w:rsid w:val="007254A5"/>
    <w:rsid w:val="00725748"/>
    <w:rsid w:val="007262E9"/>
    <w:rsid w:val="00732028"/>
    <w:rsid w:val="007336BB"/>
    <w:rsid w:val="00735D88"/>
    <w:rsid w:val="00736740"/>
    <w:rsid w:val="0073720D"/>
    <w:rsid w:val="00737507"/>
    <w:rsid w:val="007402E0"/>
    <w:rsid w:val="00740712"/>
    <w:rsid w:val="00742AB9"/>
    <w:rsid w:val="00743023"/>
    <w:rsid w:val="007454D4"/>
    <w:rsid w:val="00745AC1"/>
    <w:rsid w:val="00746233"/>
    <w:rsid w:val="00750A22"/>
    <w:rsid w:val="00754C65"/>
    <w:rsid w:val="00754FBF"/>
    <w:rsid w:val="0075648C"/>
    <w:rsid w:val="00761538"/>
    <w:rsid w:val="00766594"/>
    <w:rsid w:val="0077006F"/>
    <w:rsid w:val="007709EF"/>
    <w:rsid w:val="007774CA"/>
    <w:rsid w:val="007816C5"/>
    <w:rsid w:val="00783559"/>
    <w:rsid w:val="00790550"/>
    <w:rsid w:val="007952D9"/>
    <w:rsid w:val="00797AA5"/>
    <w:rsid w:val="00797B31"/>
    <w:rsid w:val="007A4105"/>
    <w:rsid w:val="007A4380"/>
    <w:rsid w:val="007A7DA3"/>
    <w:rsid w:val="007B3CE1"/>
    <w:rsid w:val="007B4503"/>
    <w:rsid w:val="007C406E"/>
    <w:rsid w:val="007C5183"/>
    <w:rsid w:val="007D0050"/>
    <w:rsid w:val="007D0A6B"/>
    <w:rsid w:val="007D1311"/>
    <w:rsid w:val="007D21B7"/>
    <w:rsid w:val="007E2B20"/>
    <w:rsid w:val="007E6F08"/>
    <w:rsid w:val="007F2868"/>
    <w:rsid w:val="007F5331"/>
    <w:rsid w:val="007F7E17"/>
    <w:rsid w:val="00800CCA"/>
    <w:rsid w:val="00802763"/>
    <w:rsid w:val="00806120"/>
    <w:rsid w:val="008075BC"/>
    <w:rsid w:val="00812028"/>
    <w:rsid w:val="00813082"/>
    <w:rsid w:val="00814D03"/>
    <w:rsid w:val="0081547C"/>
    <w:rsid w:val="00816D33"/>
    <w:rsid w:val="008234E0"/>
    <w:rsid w:val="00823AE2"/>
    <w:rsid w:val="008267EE"/>
    <w:rsid w:val="0083178B"/>
    <w:rsid w:val="00833246"/>
    <w:rsid w:val="00833695"/>
    <w:rsid w:val="008336B7"/>
    <w:rsid w:val="00833872"/>
    <w:rsid w:val="00833A8E"/>
    <w:rsid w:val="00834CAD"/>
    <w:rsid w:val="008426EA"/>
    <w:rsid w:val="00842CD8"/>
    <w:rsid w:val="008431FA"/>
    <w:rsid w:val="00847CF7"/>
    <w:rsid w:val="00851A20"/>
    <w:rsid w:val="00853234"/>
    <w:rsid w:val="00853A9E"/>
    <w:rsid w:val="008547BA"/>
    <w:rsid w:val="008553C7"/>
    <w:rsid w:val="00857FEB"/>
    <w:rsid w:val="008601AF"/>
    <w:rsid w:val="00861833"/>
    <w:rsid w:val="0086330A"/>
    <w:rsid w:val="00863AA8"/>
    <w:rsid w:val="00865CA0"/>
    <w:rsid w:val="008703B3"/>
    <w:rsid w:val="00872271"/>
    <w:rsid w:val="0087733A"/>
    <w:rsid w:val="00881F19"/>
    <w:rsid w:val="00882623"/>
    <w:rsid w:val="00882F43"/>
    <w:rsid w:val="00886A14"/>
    <w:rsid w:val="008907B1"/>
    <w:rsid w:val="00890FB6"/>
    <w:rsid w:val="00891CA4"/>
    <w:rsid w:val="00895C06"/>
    <w:rsid w:val="008A28F5"/>
    <w:rsid w:val="008A39A1"/>
    <w:rsid w:val="008B3929"/>
    <w:rsid w:val="008B4CB3"/>
    <w:rsid w:val="008B55D5"/>
    <w:rsid w:val="008B58CD"/>
    <w:rsid w:val="008B62EF"/>
    <w:rsid w:val="008B7B24"/>
    <w:rsid w:val="008C09B0"/>
    <w:rsid w:val="008C356D"/>
    <w:rsid w:val="008C46DF"/>
    <w:rsid w:val="008D15A5"/>
    <w:rsid w:val="008D47B2"/>
    <w:rsid w:val="008D6C99"/>
    <w:rsid w:val="008E3B63"/>
    <w:rsid w:val="008E49AD"/>
    <w:rsid w:val="008E5392"/>
    <w:rsid w:val="008E6142"/>
    <w:rsid w:val="008E70D3"/>
    <w:rsid w:val="008F025B"/>
    <w:rsid w:val="008F2731"/>
    <w:rsid w:val="008F3246"/>
    <w:rsid w:val="008F3C1B"/>
    <w:rsid w:val="008F41D7"/>
    <w:rsid w:val="008F508C"/>
    <w:rsid w:val="00901D08"/>
    <w:rsid w:val="0090271B"/>
    <w:rsid w:val="00910642"/>
    <w:rsid w:val="00910DDF"/>
    <w:rsid w:val="00916B2E"/>
    <w:rsid w:val="00922F91"/>
    <w:rsid w:val="00925121"/>
    <w:rsid w:val="009271C0"/>
    <w:rsid w:val="009311C8"/>
    <w:rsid w:val="00933376"/>
    <w:rsid w:val="00933A2F"/>
    <w:rsid w:val="00935EB8"/>
    <w:rsid w:val="00942D48"/>
    <w:rsid w:val="00943D63"/>
    <w:rsid w:val="009517CD"/>
    <w:rsid w:val="00951E29"/>
    <w:rsid w:val="009564FE"/>
    <w:rsid w:val="0096102E"/>
    <w:rsid w:val="009718F9"/>
    <w:rsid w:val="00972FB9"/>
    <w:rsid w:val="00973727"/>
    <w:rsid w:val="00975112"/>
    <w:rsid w:val="009809C0"/>
    <w:rsid w:val="00980D89"/>
    <w:rsid w:val="00981768"/>
    <w:rsid w:val="00981A04"/>
    <w:rsid w:val="009839D2"/>
    <w:rsid w:val="00983E8F"/>
    <w:rsid w:val="00994D48"/>
    <w:rsid w:val="00994FDA"/>
    <w:rsid w:val="00997613"/>
    <w:rsid w:val="009A2586"/>
    <w:rsid w:val="009A2FD7"/>
    <w:rsid w:val="009A3B71"/>
    <w:rsid w:val="009A3D3B"/>
    <w:rsid w:val="009A45F4"/>
    <w:rsid w:val="009A61BC"/>
    <w:rsid w:val="009B0138"/>
    <w:rsid w:val="009B0FE9"/>
    <w:rsid w:val="009C3F20"/>
    <w:rsid w:val="009C7CA1"/>
    <w:rsid w:val="009D043D"/>
    <w:rsid w:val="009D2E83"/>
    <w:rsid w:val="009D58AC"/>
    <w:rsid w:val="009D5D50"/>
    <w:rsid w:val="009D60B4"/>
    <w:rsid w:val="009F3259"/>
    <w:rsid w:val="00A0295A"/>
    <w:rsid w:val="00A128AD"/>
    <w:rsid w:val="00A149E2"/>
    <w:rsid w:val="00A15D93"/>
    <w:rsid w:val="00A165F6"/>
    <w:rsid w:val="00A21E76"/>
    <w:rsid w:val="00A220E2"/>
    <w:rsid w:val="00A22FA9"/>
    <w:rsid w:val="00A23053"/>
    <w:rsid w:val="00A23BC8"/>
    <w:rsid w:val="00A2457A"/>
    <w:rsid w:val="00A24F15"/>
    <w:rsid w:val="00A251DE"/>
    <w:rsid w:val="00A27CE4"/>
    <w:rsid w:val="00A30E68"/>
    <w:rsid w:val="00A3138F"/>
    <w:rsid w:val="00A31933"/>
    <w:rsid w:val="00A31A96"/>
    <w:rsid w:val="00A34AA0"/>
    <w:rsid w:val="00A34B31"/>
    <w:rsid w:val="00A37ED3"/>
    <w:rsid w:val="00A41FE2"/>
    <w:rsid w:val="00A46F57"/>
    <w:rsid w:val="00A47948"/>
    <w:rsid w:val="00A50824"/>
    <w:rsid w:val="00A547F6"/>
    <w:rsid w:val="00A55B2B"/>
    <w:rsid w:val="00A565DE"/>
    <w:rsid w:val="00A56946"/>
    <w:rsid w:val="00A6044D"/>
    <w:rsid w:val="00A62001"/>
    <w:rsid w:val="00A63B8C"/>
    <w:rsid w:val="00A6607B"/>
    <w:rsid w:val="00A7266E"/>
    <w:rsid w:val="00A76080"/>
    <w:rsid w:val="00A77F40"/>
    <w:rsid w:val="00A77F6F"/>
    <w:rsid w:val="00A80DD3"/>
    <w:rsid w:val="00A831FD"/>
    <w:rsid w:val="00A9016E"/>
    <w:rsid w:val="00A919EE"/>
    <w:rsid w:val="00A91FA3"/>
    <w:rsid w:val="00A94A03"/>
    <w:rsid w:val="00A965EC"/>
    <w:rsid w:val="00AA7FC9"/>
    <w:rsid w:val="00AB237D"/>
    <w:rsid w:val="00AB34C4"/>
    <w:rsid w:val="00AB5933"/>
    <w:rsid w:val="00AC673D"/>
    <w:rsid w:val="00AD7EA1"/>
    <w:rsid w:val="00AE013D"/>
    <w:rsid w:val="00AE0D4B"/>
    <w:rsid w:val="00AE11B7"/>
    <w:rsid w:val="00AE2171"/>
    <w:rsid w:val="00AF070B"/>
    <w:rsid w:val="00AF13DA"/>
    <w:rsid w:val="00AF52F6"/>
    <w:rsid w:val="00AF7237"/>
    <w:rsid w:val="00AF78B4"/>
    <w:rsid w:val="00B0043A"/>
    <w:rsid w:val="00B00D75"/>
    <w:rsid w:val="00B03C09"/>
    <w:rsid w:val="00B05FCD"/>
    <w:rsid w:val="00B070CB"/>
    <w:rsid w:val="00B1021F"/>
    <w:rsid w:val="00B20C8D"/>
    <w:rsid w:val="00B23B90"/>
    <w:rsid w:val="00B259C8"/>
    <w:rsid w:val="00B26CCF"/>
    <w:rsid w:val="00B307A0"/>
    <w:rsid w:val="00B349FA"/>
    <w:rsid w:val="00B34C10"/>
    <w:rsid w:val="00B421C6"/>
    <w:rsid w:val="00B4239F"/>
    <w:rsid w:val="00B425F0"/>
    <w:rsid w:val="00B42DFA"/>
    <w:rsid w:val="00B43F26"/>
    <w:rsid w:val="00B44934"/>
    <w:rsid w:val="00B4515D"/>
    <w:rsid w:val="00B531DD"/>
    <w:rsid w:val="00B55014"/>
    <w:rsid w:val="00B579A6"/>
    <w:rsid w:val="00B62232"/>
    <w:rsid w:val="00B71BE2"/>
    <w:rsid w:val="00B71DC2"/>
    <w:rsid w:val="00B721EA"/>
    <w:rsid w:val="00B76844"/>
    <w:rsid w:val="00B85EA4"/>
    <w:rsid w:val="00B93893"/>
    <w:rsid w:val="00B95BDB"/>
    <w:rsid w:val="00BA1F3A"/>
    <w:rsid w:val="00BA4188"/>
    <w:rsid w:val="00BA5903"/>
    <w:rsid w:val="00BC164E"/>
    <w:rsid w:val="00BC3B53"/>
    <w:rsid w:val="00BC3B96"/>
    <w:rsid w:val="00BC4AE3"/>
    <w:rsid w:val="00BC79DE"/>
    <w:rsid w:val="00BD193A"/>
    <w:rsid w:val="00BD3B8F"/>
    <w:rsid w:val="00BE0DAE"/>
    <w:rsid w:val="00BE0F0E"/>
    <w:rsid w:val="00BE3F88"/>
    <w:rsid w:val="00BE4756"/>
    <w:rsid w:val="00BE5ED9"/>
    <w:rsid w:val="00BE6F91"/>
    <w:rsid w:val="00BE77D3"/>
    <w:rsid w:val="00BE7B41"/>
    <w:rsid w:val="00BF626C"/>
    <w:rsid w:val="00C05F6C"/>
    <w:rsid w:val="00C06B73"/>
    <w:rsid w:val="00C11253"/>
    <w:rsid w:val="00C1212C"/>
    <w:rsid w:val="00C148E1"/>
    <w:rsid w:val="00C15FEF"/>
    <w:rsid w:val="00C206F1"/>
    <w:rsid w:val="00C20B57"/>
    <w:rsid w:val="00C217E1"/>
    <w:rsid w:val="00C2359C"/>
    <w:rsid w:val="00C2517E"/>
    <w:rsid w:val="00C40C60"/>
    <w:rsid w:val="00C47047"/>
    <w:rsid w:val="00C50B53"/>
    <w:rsid w:val="00C51BCF"/>
    <w:rsid w:val="00C5258E"/>
    <w:rsid w:val="00C60224"/>
    <w:rsid w:val="00C6448C"/>
    <w:rsid w:val="00C72038"/>
    <w:rsid w:val="00C82C39"/>
    <w:rsid w:val="00C85052"/>
    <w:rsid w:val="00C856DA"/>
    <w:rsid w:val="00C86D6F"/>
    <w:rsid w:val="00C92FF4"/>
    <w:rsid w:val="00C97C80"/>
    <w:rsid w:val="00CA47D3"/>
    <w:rsid w:val="00CA60B1"/>
    <w:rsid w:val="00CA6820"/>
    <w:rsid w:val="00CA6A3F"/>
    <w:rsid w:val="00CA7C99"/>
    <w:rsid w:val="00CB1459"/>
    <w:rsid w:val="00CB30F1"/>
    <w:rsid w:val="00CB7ABA"/>
    <w:rsid w:val="00CC0B95"/>
    <w:rsid w:val="00CC4496"/>
    <w:rsid w:val="00CD362D"/>
    <w:rsid w:val="00CD5409"/>
    <w:rsid w:val="00CD6935"/>
    <w:rsid w:val="00CD798E"/>
    <w:rsid w:val="00CE1C84"/>
    <w:rsid w:val="00CE260C"/>
    <w:rsid w:val="00CE4374"/>
    <w:rsid w:val="00CE467D"/>
    <w:rsid w:val="00CF053F"/>
    <w:rsid w:val="00CF0F37"/>
    <w:rsid w:val="00CF2777"/>
    <w:rsid w:val="00D0609E"/>
    <w:rsid w:val="00D078E1"/>
    <w:rsid w:val="00D100E9"/>
    <w:rsid w:val="00D20DB0"/>
    <w:rsid w:val="00D21E4B"/>
    <w:rsid w:val="00D23522"/>
    <w:rsid w:val="00D264D6"/>
    <w:rsid w:val="00D26E87"/>
    <w:rsid w:val="00D27A8B"/>
    <w:rsid w:val="00D30E32"/>
    <w:rsid w:val="00D33BF0"/>
    <w:rsid w:val="00D379EB"/>
    <w:rsid w:val="00D42318"/>
    <w:rsid w:val="00D46090"/>
    <w:rsid w:val="00D5137E"/>
    <w:rsid w:val="00D516BE"/>
    <w:rsid w:val="00D5423B"/>
    <w:rsid w:val="00D54F4E"/>
    <w:rsid w:val="00D564D2"/>
    <w:rsid w:val="00D60AA0"/>
    <w:rsid w:val="00D60BA4"/>
    <w:rsid w:val="00D615FD"/>
    <w:rsid w:val="00D62419"/>
    <w:rsid w:val="00D65A9F"/>
    <w:rsid w:val="00D679B6"/>
    <w:rsid w:val="00D734E9"/>
    <w:rsid w:val="00D77870"/>
    <w:rsid w:val="00D80CCE"/>
    <w:rsid w:val="00D81A7E"/>
    <w:rsid w:val="00D82834"/>
    <w:rsid w:val="00D87D03"/>
    <w:rsid w:val="00D95C88"/>
    <w:rsid w:val="00D96747"/>
    <w:rsid w:val="00D97B2E"/>
    <w:rsid w:val="00DA3B5D"/>
    <w:rsid w:val="00DA5FE2"/>
    <w:rsid w:val="00DB0277"/>
    <w:rsid w:val="00DB06C5"/>
    <w:rsid w:val="00DB2108"/>
    <w:rsid w:val="00DB36FE"/>
    <w:rsid w:val="00DB5138"/>
    <w:rsid w:val="00DB533A"/>
    <w:rsid w:val="00DD66F2"/>
    <w:rsid w:val="00DD68EC"/>
    <w:rsid w:val="00DE0B34"/>
    <w:rsid w:val="00DE0D05"/>
    <w:rsid w:val="00DE3FE0"/>
    <w:rsid w:val="00DE578A"/>
    <w:rsid w:val="00DF2583"/>
    <w:rsid w:val="00DF33EA"/>
    <w:rsid w:val="00DF4333"/>
    <w:rsid w:val="00DF5450"/>
    <w:rsid w:val="00DF54D9"/>
    <w:rsid w:val="00E01A59"/>
    <w:rsid w:val="00E03A58"/>
    <w:rsid w:val="00E0640A"/>
    <w:rsid w:val="00E07996"/>
    <w:rsid w:val="00E10DC6"/>
    <w:rsid w:val="00E11F8E"/>
    <w:rsid w:val="00E21DE3"/>
    <w:rsid w:val="00E22F2D"/>
    <w:rsid w:val="00E34A2F"/>
    <w:rsid w:val="00E3731D"/>
    <w:rsid w:val="00E4058C"/>
    <w:rsid w:val="00E41997"/>
    <w:rsid w:val="00E50E7A"/>
    <w:rsid w:val="00E51469"/>
    <w:rsid w:val="00E5799B"/>
    <w:rsid w:val="00E602FD"/>
    <w:rsid w:val="00E61B35"/>
    <w:rsid w:val="00E634E3"/>
    <w:rsid w:val="00E63C06"/>
    <w:rsid w:val="00E650EA"/>
    <w:rsid w:val="00E701FB"/>
    <w:rsid w:val="00E7435E"/>
    <w:rsid w:val="00E748CC"/>
    <w:rsid w:val="00E7650D"/>
    <w:rsid w:val="00E77A11"/>
    <w:rsid w:val="00E77F89"/>
    <w:rsid w:val="00E77FBA"/>
    <w:rsid w:val="00E80E71"/>
    <w:rsid w:val="00E82AE8"/>
    <w:rsid w:val="00E850D3"/>
    <w:rsid w:val="00E876B9"/>
    <w:rsid w:val="00EA02DA"/>
    <w:rsid w:val="00EA70E1"/>
    <w:rsid w:val="00EB2AE9"/>
    <w:rsid w:val="00EB458F"/>
    <w:rsid w:val="00EC0DFF"/>
    <w:rsid w:val="00EC219F"/>
    <w:rsid w:val="00EC237D"/>
    <w:rsid w:val="00EC2E56"/>
    <w:rsid w:val="00EC4AA5"/>
    <w:rsid w:val="00EC4D0E"/>
    <w:rsid w:val="00ED022E"/>
    <w:rsid w:val="00ED072A"/>
    <w:rsid w:val="00ED4C52"/>
    <w:rsid w:val="00EE4A1F"/>
    <w:rsid w:val="00EE4C2D"/>
    <w:rsid w:val="00EF1B5A"/>
    <w:rsid w:val="00EF24FB"/>
    <w:rsid w:val="00EF2659"/>
    <w:rsid w:val="00EF2CCA"/>
    <w:rsid w:val="00F02549"/>
    <w:rsid w:val="00F0379C"/>
    <w:rsid w:val="00F03963"/>
    <w:rsid w:val="00F11068"/>
    <w:rsid w:val="00F11E57"/>
    <w:rsid w:val="00F1256D"/>
    <w:rsid w:val="00F13A4E"/>
    <w:rsid w:val="00F14BFF"/>
    <w:rsid w:val="00F171AF"/>
    <w:rsid w:val="00F172BB"/>
    <w:rsid w:val="00F17B10"/>
    <w:rsid w:val="00F17DC9"/>
    <w:rsid w:val="00F21BEF"/>
    <w:rsid w:val="00F26135"/>
    <w:rsid w:val="00F35DC8"/>
    <w:rsid w:val="00F35E47"/>
    <w:rsid w:val="00F40202"/>
    <w:rsid w:val="00F432DA"/>
    <w:rsid w:val="00F4370A"/>
    <w:rsid w:val="00F44D1B"/>
    <w:rsid w:val="00F45A25"/>
    <w:rsid w:val="00F50F86"/>
    <w:rsid w:val="00F516FE"/>
    <w:rsid w:val="00F52907"/>
    <w:rsid w:val="00F52AB0"/>
    <w:rsid w:val="00F53C80"/>
    <w:rsid w:val="00F53F0D"/>
    <w:rsid w:val="00F53F91"/>
    <w:rsid w:val="00F61610"/>
    <w:rsid w:val="00F61A72"/>
    <w:rsid w:val="00F62B67"/>
    <w:rsid w:val="00F6301D"/>
    <w:rsid w:val="00F653A6"/>
    <w:rsid w:val="00F65681"/>
    <w:rsid w:val="00F66F13"/>
    <w:rsid w:val="00F74073"/>
    <w:rsid w:val="00F75603"/>
    <w:rsid w:val="00F82FC0"/>
    <w:rsid w:val="00F845B4"/>
    <w:rsid w:val="00F86AA4"/>
    <w:rsid w:val="00F8713B"/>
    <w:rsid w:val="00F8740E"/>
    <w:rsid w:val="00F93F9E"/>
    <w:rsid w:val="00F9751C"/>
    <w:rsid w:val="00FA2CD7"/>
    <w:rsid w:val="00FA77BF"/>
    <w:rsid w:val="00FA7833"/>
    <w:rsid w:val="00FB06ED"/>
    <w:rsid w:val="00FB44E8"/>
    <w:rsid w:val="00FC3165"/>
    <w:rsid w:val="00FC36AB"/>
    <w:rsid w:val="00FC7F66"/>
    <w:rsid w:val="00FD2A36"/>
    <w:rsid w:val="00FD3A6C"/>
    <w:rsid w:val="00FE19EC"/>
    <w:rsid w:val="00FE1CB6"/>
    <w:rsid w:val="00FE402F"/>
    <w:rsid w:val="00FE486B"/>
    <w:rsid w:val="00FE4F08"/>
    <w:rsid w:val="00FF2ECD"/>
    <w:rsid w:val="4307A141"/>
    <w:rsid w:val="53DDE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A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Normal0"/>
    <w:next w:val="Normal0"/>
    <w:link w:val="Kop4Char1"/>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numbering" w:customStyle="1" w:styleId="Nummeringagenda">
    <w:name w:val="Nummering agenda"/>
    <w:basedOn w:val="Geenlijst"/>
    <w:rsid w:val="008426EA"/>
    <w:pPr>
      <w:numPr>
        <w:numId w:val="17"/>
      </w:numPr>
    </w:pPr>
  </w:style>
  <w:style w:type="character" w:styleId="Tekstvantijdelijkeaanduiding">
    <w:name w:val="Placeholder Text"/>
    <w:basedOn w:val="Standaardalinea-lettertype"/>
    <w:uiPriority w:val="99"/>
    <w:semiHidden/>
    <w:rsid w:val="007A7DA3"/>
    <w:rPr>
      <w:color w:val="808080"/>
    </w:rPr>
  </w:style>
  <w:style w:type="paragraph" w:styleId="Ballontekst">
    <w:name w:val="Balloon Text"/>
    <w:basedOn w:val="Standaard"/>
    <w:link w:val="BallontekstChar"/>
    <w:rsid w:val="007F7E17"/>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7F7E17"/>
    <w:rPr>
      <w:rFonts w:ascii="Segoe UI" w:hAnsi="Segoe UI" w:cs="Segoe UI"/>
      <w:sz w:val="18"/>
      <w:szCs w:val="18"/>
      <w:lang w:val="nl-NL" w:eastAsia="nl-NL"/>
    </w:rPr>
  </w:style>
  <w:style w:type="paragraph" w:customStyle="1" w:styleId="Normal0">
    <w:name w:val="Normal_0"/>
    <w:qFormat/>
    <w:rsid w:val="00DE555F"/>
    <w:pPr>
      <w:spacing w:line="240" w:lineRule="atLeast"/>
    </w:pPr>
    <w:rPr>
      <w:rFonts w:ascii="Verdana" w:hAnsi="Verdana"/>
      <w:sz w:val="18"/>
      <w:szCs w:val="24"/>
      <w:lang w:val="nl-NL" w:eastAsia="nl-NL"/>
    </w:rPr>
  </w:style>
  <w:style w:type="paragraph" w:customStyle="1" w:styleId="Heading10">
    <w:name w:val="Heading 1_0"/>
    <w:basedOn w:val="Normal0"/>
    <w:next w:val="Normal0"/>
    <w:link w:val="Heading1Char"/>
    <w:qFormat/>
    <w:rsid w:val="00DE555F"/>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DE555F"/>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DE555F"/>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DE555F"/>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customStyle="1" w:styleId="Header0">
    <w:name w:val="Header_0"/>
    <w:basedOn w:val="Normal0"/>
    <w:link w:val="HeaderChar"/>
    <w:rsid w:val="00DE555F"/>
    <w:pPr>
      <w:tabs>
        <w:tab w:val="center" w:pos="4536"/>
        <w:tab w:val="right" w:pos="9072"/>
      </w:tabs>
    </w:pPr>
  </w:style>
  <w:style w:type="character" w:customStyle="1" w:styleId="HeaderChar">
    <w:name w:val="Header Char"/>
    <w:basedOn w:val="DefaultParagraphFont0"/>
    <w:link w:val="Header0"/>
    <w:rsid w:val="00841CD9"/>
    <w:rPr>
      <w:rFonts w:ascii="Verdana" w:eastAsia="Times New Roman" w:hAnsi="Verdana" w:cs="Times New Roman"/>
      <w:sz w:val="18"/>
      <w:szCs w:val="24"/>
      <w:lang w:val="nl-NL" w:eastAsia="nl-NL"/>
    </w:rPr>
  </w:style>
  <w:style w:type="character" w:customStyle="1" w:styleId="Heading1Char">
    <w:name w:val="Heading 1 Char"/>
    <w:basedOn w:val="DefaultParagraphFont0"/>
    <w:link w:val="Heading10"/>
    <w:rsid w:val="00841CD9"/>
    <w:rPr>
      <w:rFonts w:ascii="Verdana" w:eastAsia="Times New Roman" w:hAnsi="Verdana" w:cs="Arial"/>
      <w:b/>
      <w:bCs/>
      <w:kern w:val="32"/>
      <w:sz w:val="32"/>
      <w:szCs w:val="32"/>
      <w:lang w:val="nl-NL" w:eastAsia="nl-NL"/>
    </w:rPr>
  </w:style>
  <w:style w:type="character" w:customStyle="1" w:styleId="Heading2Char">
    <w:name w:val="Heading 2 Char"/>
    <w:basedOn w:val="DefaultParagraphFont0"/>
    <w:link w:val="Heading20"/>
    <w:rsid w:val="00841CD9"/>
    <w:rPr>
      <w:rFonts w:ascii="Verdana" w:eastAsia="Times New Roman" w:hAnsi="Verdana" w:cs="Arial"/>
      <w:b/>
      <w:bCs/>
      <w:i/>
      <w:iCs/>
      <w:sz w:val="28"/>
      <w:szCs w:val="28"/>
      <w:lang w:val="nl-NL" w:eastAsia="nl-NL"/>
    </w:rPr>
  </w:style>
  <w:style w:type="character" w:customStyle="1" w:styleId="Heading3Char">
    <w:name w:val="Heading 3 Char"/>
    <w:basedOn w:val="DefaultParagraphFont0"/>
    <w:link w:val="Heading30"/>
    <w:rsid w:val="00841CD9"/>
    <w:rPr>
      <w:rFonts w:ascii="Verdana" w:eastAsia="Times New Roman" w:hAnsi="Verdana" w:cs="Arial"/>
      <w:b/>
      <w:bCs/>
      <w:sz w:val="26"/>
      <w:szCs w:val="26"/>
      <w:lang w:val="nl-NL" w:eastAsia="nl-NL"/>
    </w:rPr>
  </w:style>
  <w:style w:type="character" w:customStyle="1" w:styleId="Kop4Char1">
    <w:name w:val="Kop 4 Char1"/>
    <w:basedOn w:val="DefaultParagraphFont0"/>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Normal0"/>
    <w:uiPriority w:val="99"/>
    <w:unhideWhenUsed/>
    <w:rsid w:val="00841CD9"/>
    <w:pPr>
      <w:ind w:left="720"/>
    </w:pPr>
  </w:style>
  <w:style w:type="paragraph" w:styleId="Ondertitel">
    <w:name w:val="Subtitle"/>
    <w:basedOn w:val="Normal0"/>
    <w:next w:val="Normal0"/>
    <w:link w:val="OndertitelChar1"/>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1">
    <w:name w:val="Ondertitel Char1"/>
    <w:basedOn w:val="DefaultParagraphFont0"/>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Normal0"/>
    <w:next w:val="Normal0"/>
    <w:link w:val="TitelChar1"/>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1">
    <w:name w:val="Titel Char1"/>
    <w:basedOn w:val="DefaultParagraphFont0"/>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DefaultParagraphFont0"/>
    <w:uiPriority w:val="20"/>
    <w:qFormat/>
    <w:rsid w:val="00D1197D"/>
    <w:rPr>
      <w:i/>
      <w:iCs/>
    </w:rPr>
  </w:style>
  <w:style w:type="table" w:customStyle="1" w:styleId="TableGrid0">
    <w:name w:val="Table Grid_0"/>
    <w:basedOn w:val="TableNormal0"/>
    <w:rsid w:val="00DE555F"/>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0">
    <w:name w:val="FollowedHyperlink_0"/>
    <w:rsid w:val="00DE555F"/>
    <w:rPr>
      <w:color w:val="800080"/>
      <w:u w:val="single"/>
    </w:rPr>
  </w:style>
  <w:style w:type="paragraph" w:customStyle="1" w:styleId="Footer0">
    <w:name w:val="Footer_0"/>
    <w:basedOn w:val="Normal0"/>
    <w:link w:val="FooterChar"/>
    <w:rsid w:val="00DE555F"/>
    <w:pPr>
      <w:tabs>
        <w:tab w:val="center" w:pos="4536"/>
        <w:tab w:val="right" w:pos="9072"/>
      </w:tabs>
    </w:pPr>
  </w:style>
  <w:style w:type="character" w:customStyle="1" w:styleId="FooterChar">
    <w:name w:val="Footer Char"/>
    <w:basedOn w:val="DefaultParagraphFont0"/>
    <w:link w:val="Footer0"/>
    <w:rsid w:val="00DE555F"/>
    <w:rPr>
      <w:rFonts w:ascii="Verdana" w:eastAsia="Times New Roman" w:hAnsi="Verdana" w:cs="Times New Roman"/>
      <w:sz w:val="18"/>
      <w:szCs w:val="24"/>
      <w:lang w:val="nl-NL" w:eastAsia="nl-NL"/>
    </w:rPr>
  </w:style>
  <w:style w:type="paragraph" w:customStyle="1" w:styleId="ListBullet0">
    <w:name w:val="List Bullet_0"/>
    <w:basedOn w:val="Normal0"/>
    <w:uiPriority w:val="99"/>
    <w:rsid w:val="00DE555F"/>
    <w:pPr>
      <w:tabs>
        <w:tab w:val="num" w:pos="227"/>
      </w:tabs>
      <w:ind w:left="227" w:hanging="227"/>
    </w:pPr>
    <w:rPr>
      <w:noProof/>
    </w:rPr>
  </w:style>
  <w:style w:type="paragraph" w:customStyle="1" w:styleId="ListBullet20">
    <w:name w:val="List Bullet 2_0"/>
    <w:basedOn w:val="Normal0"/>
    <w:rsid w:val="00DE555F"/>
    <w:pPr>
      <w:tabs>
        <w:tab w:val="num" w:pos="227"/>
        <w:tab w:val="left" w:pos="454"/>
      </w:tabs>
      <w:ind w:left="227"/>
    </w:pPr>
    <w:rPr>
      <w:noProof/>
    </w:rPr>
  </w:style>
  <w:style w:type="paragraph" w:customStyle="1" w:styleId="Heading40">
    <w:name w:val="Heading 4_0"/>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Standaard"/>
    <w:uiPriority w:val="99"/>
    <w:unhideWhenUsed/>
    <w:rsid w:val="00841CD9"/>
    <w:pPr>
      <w:ind w:left="720"/>
    </w:pPr>
  </w:style>
  <w:style w:type="paragraph" w:customStyle="1" w:styleId="Subtitle0">
    <w:name w:val="Subtitle_0"/>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CE467D"/>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C856DA"/>
    <w:rPr>
      <w:rFonts w:ascii="Verdana" w:hAnsi="Verdana"/>
      <w:sz w:val="18"/>
      <w:szCs w:val="24"/>
      <w:lang w:val="nl-NL" w:eastAsia="nl-NL"/>
    </w:rPr>
  </w:style>
  <w:style w:type="paragraph" w:styleId="Revisie">
    <w:name w:val="Revision"/>
    <w:hidden/>
    <w:uiPriority w:val="99"/>
    <w:semiHidden/>
    <w:rsid w:val="00CA60B1"/>
    <w:rPr>
      <w:rFonts w:ascii="Verdana" w:hAnsi="Verdana"/>
      <w:sz w:val="18"/>
      <w:szCs w:val="24"/>
      <w:lang w:val="nl-NL" w:eastAsia="nl-NL"/>
    </w:rPr>
  </w:style>
  <w:style w:type="character" w:styleId="Verwijzingopmerking">
    <w:name w:val="annotation reference"/>
    <w:basedOn w:val="Standaardalinea-lettertype"/>
    <w:semiHidden/>
    <w:unhideWhenUsed/>
    <w:rsid w:val="00CA60B1"/>
    <w:rPr>
      <w:sz w:val="16"/>
      <w:szCs w:val="16"/>
    </w:rPr>
  </w:style>
  <w:style w:type="paragraph" w:styleId="Tekstopmerking">
    <w:name w:val="annotation text"/>
    <w:basedOn w:val="Standaard"/>
    <w:link w:val="TekstopmerkingChar"/>
    <w:unhideWhenUsed/>
    <w:rsid w:val="00CA60B1"/>
    <w:pPr>
      <w:spacing w:line="240" w:lineRule="auto"/>
    </w:pPr>
    <w:rPr>
      <w:sz w:val="20"/>
      <w:szCs w:val="20"/>
    </w:rPr>
  </w:style>
  <w:style w:type="character" w:customStyle="1" w:styleId="TekstopmerkingChar">
    <w:name w:val="Tekst opmerking Char"/>
    <w:basedOn w:val="Standaardalinea-lettertype"/>
    <w:link w:val="Tekstopmerking"/>
    <w:rsid w:val="00CA60B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A60B1"/>
    <w:rPr>
      <w:b/>
      <w:bCs/>
    </w:rPr>
  </w:style>
  <w:style w:type="character" w:customStyle="1" w:styleId="OnderwerpvanopmerkingChar">
    <w:name w:val="Onderwerp van opmerking Char"/>
    <w:basedOn w:val="TekstopmerkingChar"/>
    <w:link w:val="Onderwerpvanopmerking"/>
    <w:semiHidden/>
    <w:rsid w:val="00CA60B1"/>
    <w:rPr>
      <w:rFonts w:ascii="Verdana" w:hAnsi="Verdana"/>
      <w:b/>
      <w:bCs/>
      <w:lang w:val="nl-NL" w:eastAsia="nl-NL"/>
    </w:rPr>
  </w:style>
  <w:style w:type="table" w:styleId="Rastertabel4-Accent5">
    <w:name w:val="Grid Table 4 Accent 5"/>
    <w:basedOn w:val="Standaardtabel"/>
    <w:uiPriority w:val="49"/>
    <w:rsid w:val="006D1A61"/>
    <w:rPr>
      <w:rFonts w:asciiTheme="minorHAnsi" w:eastAsiaTheme="minorHAnsi" w:hAnsiTheme="minorHAnsi" w:cstheme="minorBidi"/>
      <w:sz w:val="22"/>
      <w:szCs w:val="22"/>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Geenafstand">
    <w:name w:val="No Spacing"/>
    <w:uiPriority w:val="1"/>
    <w:qFormat/>
    <w:rsid w:val="003E7031"/>
    <w:rPr>
      <w:rFonts w:ascii="Verdana" w:eastAsiaTheme="minorHAnsi" w:hAnsi="Verdana" w:cstheme="minorBidi"/>
      <w:kern w:val="2"/>
      <w:sz w:val="18"/>
      <w:szCs w:val="22"/>
      <w:lang w:val="nl-NL"/>
      <w14:ligatures w14:val="standardContextual"/>
    </w:rPr>
  </w:style>
  <w:style w:type="paragraph" w:customStyle="1" w:styleId="pf0">
    <w:name w:val="pf0"/>
    <w:basedOn w:val="Standaard"/>
    <w:rsid w:val="00A6607B"/>
    <w:pPr>
      <w:spacing w:before="100" w:beforeAutospacing="1" w:after="100" w:afterAutospacing="1" w:line="240" w:lineRule="auto"/>
      <w:ind w:left="300"/>
    </w:pPr>
    <w:rPr>
      <w:rFonts w:ascii="Times New Roman" w:hAnsi="Times New Roman"/>
      <w:sz w:val="24"/>
    </w:rPr>
  </w:style>
  <w:style w:type="character" w:customStyle="1" w:styleId="cf01">
    <w:name w:val="cf01"/>
    <w:basedOn w:val="Standaardalinea-lettertype"/>
    <w:rsid w:val="00A6607B"/>
    <w:rPr>
      <w:rFonts w:ascii="Segoe UI" w:hAnsi="Segoe UI" w:cs="Segoe UI" w:hint="default"/>
      <w:sz w:val="18"/>
      <w:szCs w:val="18"/>
    </w:rPr>
  </w:style>
  <w:style w:type="numbering" w:customStyle="1" w:styleId="Huidigelijst1">
    <w:name w:val="Huidige lijst1"/>
    <w:uiPriority w:val="99"/>
    <w:rsid w:val="00A23053"/>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658">
      <w:bodyDiv w:val="1"/>
      <w:marLeft w:val="0"/>
      <w:marRight w:val="0"/>
      <w:marTop w:val="0"/>
      <w:marBottom w:val="0"/>
      <w:divBdr>
        <w:top w:val="none" w:sz="0" w:space="0" w:color="auto"/>
        <w:left w:val="none" w:sz="0" w:space="0" w:color="auto"/>
        <w:bottom w:val="none" w:sz="0" w:space="0" w:color="auto"/>
        <w:right w:val="none" w:sz="0" w:space="0" w:color="auto"/>
      </w:divBdr>
    </w:div>
    <w:div w:id="92895996">
      <w:bodyDiv w:val="1"/>
      <w:marLeft w:val="0"/>
      <w:marRight w:val="0"/>
      <w:marTop w:val="0"/>
      <w:marBottom w:val="0"/>
      <w:divBdr>
        <w:top w:val="none" w:sz="0" w:space="0" w:color="auto"/>
        <w:left w:val="none" w:sz="0" w:space="0" w:color="auto"/>
        <w:bottom w:val="none" w:sz="0" w:space="0" w:color="auto"/>
        <w:right w:val="none" w:sz="0" w:space="0" w:color="auto"/>
      </w:divBdr>
    </w:div>
    <w:div w:id="169833826">
      <w:bodyDiv w:val="1"/>
      <w:marLeft w:val="0"/>
      <w:marRight w:val="0"/>
      <w:marTop w:val="0"/>
      <w:marBottom w:val="0"/>
      <w:divBdr>
        <w:top w:val="none" w:sz="0" w:space="0" w:color="auto"/>
        <w:left w:val="none" w:sz="0" w:space="0" w:color="auto"/>
        <w:bottom w:val="none" w:sz="0" w:space="0" w:color="auto"/>
        <w:right w:val="none" w:sz="0" w:space="0" w:color="auto"/>
      </w:divBdr>
    </w:div>
    <w:div w:id="280652799">
      <w:bodyDiv w:val="1"/>
      <w:marLeft w:val="0"/>
      <w:marRight w:val="0"/>
      <w:marTop w:val="0"/>
      <w:marBottom w:val="0"/>
      <w:divBdr>
        <w:top w:val="none" w:sz="0" w:space="0" w:color="auto"/>
        <w:left w:val="none" w:sz="0" w:space="0" w:color="auto"/>
        <w:bottom w:val="none" w:sz="0" w:space="0" w:color="auto"/>
        <w:right w:val="none" w:sz="0" w:space="0" w:color="auto"/>
      </w:divBdr>
    </w:div>
    <w:div w:id="382483494">
      <w:bodyDiv w:val="1"/>
      <w:marLeft w:val="0"/>
      <w:marRight w:val="0"/>
      <w:marTop w:val="0"/>
      <w:marBottom w:val="0"/>
      <w:divBdr>
        <w:top w:val="none" w:sz="0" w:space="0" w:color="auto"/>
        <w:left w:val="none" w:sz="0" w:space="0" w:color="auto"/>
        <w:bottom w:val="none" w:sz="0" w:space="0" w:color="auto"/>
        <w:right w:val="none" w:sz="0" w:space="0" w:color="auto"/>
      </w:divBdr>
    </w:div>
    <w:div w:id="423572628">
      <w:bodyDiv w:val="1"/>
      <w:marLeft w:val="0"/>
      <w:marRight w:val="0"/>
      <w:marTop w:val="0"/>
      <w:marBottom w:val="0"/>
      <w:divBdr>
        <w:top w:val="none" w:sz="0" w:space="0" w:color="auto"/>
        <w:left w:val="none" w:sz="0" w:space="0" w:color="auto"/>
        <w:bottom w:val="none" w:sz="0" w:space="0" w:color="auto"/>
        <w:right w:val="none" w:sz="0" w:space="0" w:color="auto"/>
      </w:divBdr>
    </w:div>
    <w:div w:id="503591916">
      <w:bodyDiv w:val="1"/>
      <w:marLeft w:val="0"/>
      <w:marRight w:val="0"/>
      <w:marTop w:val="0"/>
      <w:marBottom w:val="0"/>
      <w:divBdr>
        <w:top w:val="none" w:sz="0" w:space="0" w:color="auto"/>
        <w:left w:val="none" w:sz="0" w:space="0" w:color="auto"/>
        <w:bottom w:val="none" w:sz="0" w:space="0" w:color="auto"/>
        <w:right w:val="none" w:sz="0" w:space="0" w:color="auto"/>
      </w:divBdr>
    </w:div>
    <w:div w:id="592740001">
      <w:bodyDiv w:val="1"/>
      <w:marLeft w:val="0"/>
      <w:marRight w:val="0"/>
      <w:marTop w:val="0"/>
      <w:marBottom w:val="0"/>
      <w:divBdr>
        <w:top w:val="none" w:sz="0" w:space="0" w:color="auto"/>
        <w:left w:val="none" w:sz="0" w:space="0" w:color="auto"/>
        <w:bottom w:val="none" w:sz="0" w:space="0" w:color="auto"/>
        <w:right w:val="none" w:sz="0" w:space="0" w:color="auto"/>
      </w:divBdr>
    </w:div>
    <w:div w:id="711733516">
      <w:bodyDiv w:val="1"/>
      <w:marLeft w:val="0"/>
      <w:marRight w:val="0"/>
      <w:marTop w:val="0"/>
      <w:marBottom w:val="0"/>
      <w:divBdr>
        <w:top w:val="none" w:sz="0" w:space="0" w:color="auto"/>
        <w:left w:val="none" w:sz="0" w:space="0" w:color="auto"/>
        <w:bottom w:val="none" w:sz="0" w:space="0" w:color="auto"/>
        <w:right w:val="none" w:sz="0" w:space="0" w:color="auto"/>
      </w:divBdr>
    </w:div>
    <w:div w:id="722869306">
      <w:bodyDiv w:val="1"/>
      <w:marLeft w:val="0"/>
      <w:marRight w:val="0"/>
      <w:marTop w:val="0"/>
      <w:marBottom w:val="0"/>
      <w:divBdr>
        <w:top w:val="none" w:sz="0" w:space="0" w:color="auto"/>
        <w:left w:val="none" w:sz="0" w:space="0" w:color="auto"/>
        <w:bottom w:val="none" w:sz="0" w:space="0" w:color="auto"/>
        <w:right w:val="none" w:sz="0" w:space="0" w:color="auto"/>
      </w:divBdr>
    </w:div>
    <w:div w:id="879168280">
      <w:bodyDiv w:val="1"/>
      <w:marLeft w:val="0"/>
      <w:marRight w:val="0"/>
      <w:marTop w:val="0"/>
      <w:marBottom w:val="0"/>
      <w:divBdr>
        <w:top w:val="none" w:sz="0" w:space="0" w:color="auto"/>
        <w:left w:val="none" w:sz="0" w:space="0" w:color="auto"/>
        <w:bottom w:val="none" w:sz="0" w:space="0" w:color="auto"/>
        <w:right w:val="none" w:sz="0" w:space="0" w:color="auto"/>
      </w:divBdr>
    </w:div>
    <w:div w:id="1116487566">
      <w:bodyDiv w:val="1"/>
      <w:marLeft w:val="0"/>
      <w:marRight w:val="0"/>
      <w:marTop w:val="0"/>
      <w:marBottom w:val="0"/>
      <w:divBdr>
        <w:top w:val="none" w:sz="0" w:space="0" w:color="auto"/>
        <w:left w:val="none" w:sz="0" w:space="0" w:color="auto"/>
        <w:bottom w:val="none" w:sz="0" w:space="0" w:color="auto"/>
        <w:right w:val="none" w:sz="0" w:space="0" w:color="auto"/>
      </w:divBdr>
    </w:div>
    <w:div w:id="1280645419">
      <w:bodyDiv w:val="1"/>
      <w:marLeft w:val="0"/>
      <w:marRight w:val="0"/>
      <w:marTop w:val="0"/>
      <w:marBottom w:val="0"/>
      <w:divBdr>
        <w:top w:val="none" w:sz="0" w:space="0" w:color="auto"/>
        <w:left w:val="none" w:sz="0" w:space="0" w:color="auto"/>
        <w:bottom w:val="none" w:sz="0" w:space="0" w:color="auto"/>
        <w:right w:val="none" w:sz="0" w:space="0" w:color="auto"/>
      </w:divBdr>
    </w:div>
    <w:div w:id="1315834205">
      <w:bodyDiv w:val="1"/>
      <w:marLeft w:val="0"/>
      <w:marRight w:val="0"/>
      <w:marTop w:val="0"/>
      <w:marBottom w:val="0"/>
      <w:divBdr>
        <w:top w:val="none" w:sz="0" w:space="0" w:color="auto"/>
        <w:left w:val="none" w:sz="0" w:space="0" w:color="auto"/>
        <w:bottom w:val="none" w:sz="0" w:space="0" w:color="auto"/>
        <w:right w:val="none" w:sz="0" w:space="0" w:color="auto"/>
      </w:divBdr>
    </w:div>
    <w:div w:id="1347630739">
      <w:bodyDiv w:val="1"/>
      <w:marLeft w:val="0"/>
      <w:marRight w:val="0"/>
      <w:marTop w:val="0"/>
      <w:marBottom w:val="0"/>
      <w:divBdr>
        <w:top w:val="none" w:sz="0" w:space="0" w:color="auto"/>
        <w:left w:val="none" w:sz="0" w:space="0" w:color="auto"/>
        <w:bottom w:val="none" w:sz="0" w:space="0" w:color="auto"/>
        <w:right w:val="none" w:sz="0" w:space="0" w:color="auto"/>
      </w:divBdr>
    </w:div>
    <w:div w:id="1413157761">
      <w:bodyDiv w:val="1"/>
      <w:marLeft w:val="0"/>
      <w:marRight w:val="0"/>
      <w:marTop w:val="0"/>
      <w:marBottom w:val="0"/>
      <w:divBdr>
        <w:top w:val="none" w:sz="0" w:space="0" w:color="auto"/>
        <w:left w:val="none" w:sz="0" w:space="0" w:color="auto"/>
        <w:bottom w:val="none" w:sz="0" w:space="0" w:color="auto"/>
        <w:right w:val="none" w:sz="0" w:space="0" w:color="auto"/>
      </w:divBdr>
    </w:div>
    <w:div w:id="1554150097">
      <w:bodyDiv w:val="1"/>
      <w:marLeft w:val="0"/>
      <w:marRight w:val="0"/>
      <w:marTop w:val="0"/>
      <w:marBottom w:val="0"/>
      <w:divBdr>
        <w:top w:val="none" w:sz="0" w:space="0" w:color="auto"/>
        <w:left w:val="none" w:sz="0" w:space="0" w:color="auto"/>
        <w:bottom w:val="none" w:sz="0" w:space="0" w:color="auto"/>
        <w:right w:val="none" w:sz="0" w:space="0" w:color="auto"/>
      </w:divBdr>
    </w:div>
    <w:div w:id="1644584332">
      <w:bodyDiv w:val="1"/>
      <w:marLeft w:val="0"/>
      <w:marRight w:val="0"/>
      <w:marTop w:val="0"/>
      <w:marBottom w:val="0"/>
      <w:divBdr>
        <w:top w:val="none" w:sz="0" w:space="0" w:color="auto"/>
        <w:left w:val="none" w:sz="0" w:space="0" w:color="auto"/>
        <w:bottom w:val="none" w:sz="0" w:space="0" w:color="auto"/>
        <w:right w:val="none" w:sz="0" w:space="0" w:color="auto"/>
      </w:divBdr>
    </w:div>
    <w:div w:id="1659575408">
      <w:bodyDiv w:val="1"/>
      <w:marLeft w:val="0"/>
      <w:marRight w:val="0"/>
      <w:marTop w:val="0"/>
      <w:marBottom w:val="0"/>
      <w:divBdr>
        <w:top w:val="none" w:sz="0" w:space="0" w:color="auto"/>
        <w:left w:val="none" w:sz="0" w:space="0" w:color="auto"/>
        <w:bottom w:val="none" w:sz="0" w:space="0" w:color="auto"/>
        <w:right w:val="none" w:sz="0" w:space="0" w:color="auto"/>
      </w:divBdr>
    </w:div>
    <w:div w:id="1862938179">
      <w:bodyDiv w:val="1"/>
      <w:marLeft w:val="0"/>
      <w:marRight w:val="0"/>
      <w:marTop w:val="0"/>
      <w:marBottom w:val="0"/>
      <w:divBdr>
        <w:top w:val="none" w:sz="0" w:space="0" w:color="auto"/>
        <w:left w:val="none" w:sz="0" w:space="0" w:color="auto"/>
        <w:bottom w:val="none" w:sz="0" w:space="0" w:color="auto"/>
        <w:right w:val="none" w:sz="0" w:space="0" w:color="auto"/>
      </w:divBdr>
    </w:div>
    <w:div w:id="1930843981">
      <w:bodyDiv w:val="1"/>
      <w:marLeft w:val="0"/>
      <w:marRight w:val="0"/>
      <w:marTop w:val="0"/>
      <w:marBottom w:val="0"/>
      <w:divBdr>
        <w:top w:val="none" w:sz="0" w:space="0" w:color="auto"/>
        <w:left w:val="none" w:sz="0" w:space="0" w:color="auto"/>
        <w:bottom w:val="none" w:sz="0" w:space="0" w:color="auto"/>
        <w:right w:val="none" w:sz="0" w:space="0" w:color="auto"/>
      </w:divBdr>
    </w:div>
    <w:div w:id="2130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Privilege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1779</ap:Words>
  <ap:Characters>9790</ap:Characters>
  <ap:DocSecurity>0</ap:DocSecurity>
  <ap:Lines>81</ap:Lines>
  <ap:Paragraphs>23</ap:Paragraphs>
  <ap:ScaleCrop>false</ap:ScaleCrop>
  <ap:LinksUpToDate>false</ap:LinksUpToDate>
  <ap:CharactersWithSpaces>11546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2025-06-02T14:06:00.0000000Z</dcterms:created>
  <dcterms:modified xsi:type="dcterms:W3CDTF">2025-06-02T14:06:00.0000000Z</dcterms:modified>
  <dc:description>------------------------</dc:description>
  <version/>
  <category/>
</coreProperties>
</file>