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085E" w:rsidR="007E1ED4" w:rsidP="78032366" w:rsidRDefault="001D085E" w14:paraId="11EAF824" w14:textId="219B9FB1">
      <w:pPr>
        <w:pStyle w:val="Geenafstand"/>
        <w:rPr>
          <w:b/>
          <w:bCs/>
        </w:rPr>
      </w:pPr>
      <w:r w:rsidRPr="001D085E">
        <w:rPr>
          <w:b/>
          <w:bCs/>
        </w:rPr>
        <w:t>Stuk 15</w:t>
      </w:r>
    </w:p>
    <w:p w:rsidRPr="00B03C09" w:rsidR="00592F9F" w:rsidP="00367454" w:rsidRDefault="00D13AF1" w14:paraId="7E3E4515" w14:textId="77777777">
      <w:pPr>
        <w:rPr>
          <w:b/>
        </w:rPr>
      </w:pPr>
      <w:r w:rsidRPr="00B03C09">
        <w:rPr>
          <w:b/>
        </w:rPr>
        <w:t>Vergaderpunten</w:t>
      </w:r>
    </w:p>
    <w:p w:rsidRPr="005C10D4" w:rsidR="00E350B1" w:rsidP="000B69A9" w:rsidRDefault="00E350B1" w14:paraId="711904CA" w14:textId="02135716">
      <w:pPr>
        <w:pStyle w:val="Lijstalinea"/>
        <w:numPr>
          <w:ilvl w:val="0"/>
          <w:numId w:val="9"/>
        </w:numPr>
      </w:pPr>
      <w:r w:rsidRPr="005C10D4">
        <w:t>Opening</w:t>
      </w:r>
      <w:r w:rsidRPr="005C10D4" w:rsidR="005F5B49">
        <w:t xml:space="preserve"> vergadering</w:t>
      </w:r>
    </w:p>
    <w:p w:rsidRPr="005C10D4" w:rsidR="00E350B1" w:rsidP="000B69A9" w:rsidRDefault="00E350B1" w14:paraId="67D99AB6" w14:textId="77777777">
      <w:pPr>
        <w:pStyle w:val="Lijstalinea"/>
        <w:numPr>
          <w:ilvl w:val="0"/>
          <w:numId w:val="5"/>
        </w:numPr>
        <w:rPr>
          <w:szCs w:val="18"/>
        </w:rPr>
      </w:pPr>
      <w:r w:rsidRPr="005C10D4">
        <w:t xml:space="preserve">Invulling voor 2030 sectordoel Industrie </w:t>
      </w:r>
    </w:p>
    <w:p w:rsidRPr="005C10D4" w:rsidR="00E350B1" w:rsidP="00E350B1" w:rsidRDefault="00E350B1" w14:paraId="22113686" w14:textId="77777777">
      <w:pPr>
        <w:pStyle w:val="Lijstalinea"/>
        <w:ind w:left="371"/>
        <w:rPr>
          <w:szCs w:val="18"/>
        </w:rPr>
      </w:pPr>
      <w:r w:rsidRPr="005C10D4">
        <w:rPr>
          <w:szCs w:val="18"/>
        </w:rPr>
        <w:t>1a. Voorstel directie Verduurzaming Industrie excl. Klimaatfonds</w:t>
      </w:r>
    </w:p>
    <w:p w:rsidRPr="005C10D4" w:rsidR="00E350B1" w:rsidP="00E350B1" w:rsidRDefault="00E350B1" w14:paraId="09657692" w14:textId="69FA3B3C">
      <w:pPr>
        <w:pStyle w:val="Lijstalinea"/>
        <w:ind w:left="371"/>
        <w:rPr>
          <w:szCs w:val="18"/>
        </w:rPr>
      </w:pPr>
      <w:r w:rsidRPr="005C10D4">
        <w:rPr>
          <w:szCs w:val="18"/>
        </w:rPr>
        <w:t>1b.</w:t>
      </w:r>
      <w:r w:rsidR="005C10D4">
        <w:rPr>
          <w:szCs w:val="18"/>
        </w:rPr>
        <w:t xml:space="preserve"> </w:t>
      </w:r>
      <w:r w:rsidRPr="005C10D4">
        <w:rPr>
          <w:szCs w:val="18"/>
        </w:rPr>
        <w:t xml:space="preserve">Randvoorwaarden realisatie sectordoel Industrie </w:t>
      </w:r>
    </w:p>
    <w:p w:rsidRPr="005C10D4" w:rsidR="00E350B1" w:rsidP="00E350B1" w:rsidRDefault="00E350B1" w14:paraId="148261E2" w14:textId="77777777">
      <w:pPr>
        <w:pStyle w:val="Lijstalinea"/>
        <w:ind w:left="371"/>
        <w:rPr>
          <w:szCs w:val="18"/>
        </w:rPr>
      </w:pPr>
      <w:r w:rsidRPr="005C10D4">
        <w:rPr>
          <w:szCs w:val="18"/>
        </w:rPr>
        <w:t>1c. Klimaatfonds maatregelen</w:t>
      </w:r>
    </w:p>
    <w:p w:rsidRPr="005C10D4" w:rsidR="00E350B1" w:rsidP="000B69A9" w:rsidRDefault="00E350B1" w14:paraId="68F1E055" w14:textId="77777777">
      <w:pPr>
        <w:pStyle w:val="Lijstalinea"/>
        <w:numPr>
          <w:ilvl w:val="0"/>
          <w:numId w:val="5"/>
        </w:numPr>
        <w:rPr>
          <w:szCs w:val="18"/>
        </w:rPr>
      </w:pPr>
      <w:r w:rsidRPr="005C10D4">
        <w:rPr>
          <w:szCs w:val="18"/>
        </w:rPr>
        <w:t xml:space="preserve">Aanvulling voorstel Verduurzaming Industrie </w:t>
      </w:r>
    </w:p>
    <w:p w:rsidRPr="005C10D4" w:rsidR="00E350B1" w:rsidP="00E350B1" w:rsidRDefault="00E350B1" w14:paraId="223816CA" w14:textId="77777777">
      <w:pPr>
        <w:pStyle w:val="Lijstalinea"/>
        <w:ind w:left="371"/>
        <w:rPr>
          <w:szCs w:val="18"/>
        </w:rPr>
      </w:pPr>
      <w:r w:rsidRPr="005C10D4">
        <w:rPr>
          <w:szCs w:val="18"/>
        </w:rPr>
        <w:t>2a. Aanvullende stimulerende maatregelen</w:t>
      </w:r>
    </w:p>
    <w:p w:rsidRPr="005C10D4" w:rsidR="00E350B1" w:rsidP="000B69A9" w:rsidRDefault="00E350B1" w14:paraId="5CCF0B2A" w14:textId="77777777">
      <w:pPr>
        <w:pStyle w:val="Lijstalinea"/>
        <w:numPr>
          <w:ilvl w:val="0"/>
          <w:numId w:val="5"/>
        </w:numPr>
        <w:rPr>
          <w:szCs w:val="18"/>
        </w:rPr>
      </w:pPr>
      <w:r w:rsidRPr="005C10D4">
        <w:rPr>
          <w:szCs w:val="18"/>
        </w:rPr>
        <w:t>Vervolgproces</w:t>
      </w:r>
    </w:p>
    <w:p w:rsidRPr="00CB3BC6" w:rsidR="00E350B1" w:rsidP="00E350B1" w:rsidRDefault="00E350B1" w14:paraId="0DEC248D" w14:textId="77777777">
      <w:pPr>
        <w:pStyle w:val="Lijstalinea"/>
        <w:pBdr>
          <w:bottom w:val="single" w:color="auto" w:sz="6" w:space="1"/>
        </w:pBdr>
        <w:ind w:left="371"/>
        <w:rPr>
          <w:b/>
          <w:bCs/>
          <w:color w:val="FF0000"/>
          <w:szCs w:val="18"/>
        </w:rPr>
      </w:pPr>
    </w:p>
    <w:p w:rsidR="005F5B49" w:rsidP="005F5B49" w:rsidRDefault="005F5B49" w14:paraId="3B4FAB0F" w14:textId="77777777">
      <w:pPr>
        <w:pStyle w:val="Lijstalinea"/>
        <w:ind w:left="360"/>
        <w:rPr>
          <w:b/>
          <w:bCs/>
          <w:szCs w:val="18"/>
        </w:rPr>
      </w:pPr>
    </w:p>
    <w:p w:rsidRPr="000B69A9" w:rsidR="00E350B1" w:rsidP="000B69A9" w:rsidRDefault="00E350B1" w14:paraId="3742E3FB" w14:textId="33BAA3E7">
      <w:pPr>
        <w:pStyle w:val="Lijstalinea"/>
        <w:numPr>
          <w:ilvl w:val="0"/>
          <w:numId w:val="9"/>
        </w:numPr>
        <w:rPr>
          <w:b/>
          <w:bCs/>
          <w:szCs w:val="18"/>
        </w:rPr>
      </w:pPr>
      <w:r w:rsidRPr="000B69A9">
        <w:rPr>
          <w:b/>
          <w:bCs/>
          <w:szCs w:val="18"/>
        </w:rPr>
        <w:t>Opening</w:t>
      </w:r>
      <w:r w:rsidRPr="000B69A9" w:rsidR="005F5B49">
        <w:rPr>
          <w:b/>
          <w:bCs/>
          <w:szCs w:val="18"/>
        </w:rPr>
        <w:t xml:space="preserve"> vergadering</w:t>
      </w:r>
      <w:r w:rsidRPr="000B69A9" w:rsidR="000B69A9">
        <w:rPr>
          <w:b/>
          <w:bCs/>
          <w:szCs w:val="18"/>
        </w:rPr>
        <w:t xml:space="preserve"> </w:t>
      </w:r>
    </w:p>
    <w:p w:rsidRPr="003E25E7" w:rsidR="00E350B1" w:rsidP="00E350B1" w:rsidRDefault="00E350B1" w14:paraId="1862594F" w14:textId="77777777">
      <w:pPr>
        <w:rPr>
          <w:b/>
          <w:bCs/>
          <w:szCs w:val="18"/>
          <w:u w:val="single"/>
        </w:rPr>
      </w:pPr>
    </w:p>
    <w:p w:rsidRPr="006300AE" w:rsidR="00D6443D" w:rsidP="000B69A9" w:rsidRDefault="00E350B1" w14:paraId="4BA355BE" w14:textId="4DCCA483">
      <w:pPr>
        <w:pStyle w:val="Lijstalinea"/>
        <w:numPr>
          <w:ilvl w:val="0"/>
          <w:numId w:val="8"/>
        </w:numPr>
        <w:spacing w:line="276" w:lineRule="auto"/>
        <w:rPr>
          <w:b/>
          <w:bCs/>
          <w:szCs w:val="18"/>
          <w:u w:val="single"/>
        </w:rPr>
      </w:pPr>
      <w:r w:rsidRPr="006300AE">
        <w:rPr>
          <w:b/>
          <w:bCs/>
          <w:u w:val="single"/>
        </w:rPr>
        <w:t xml:space="preserve">Invulling voor 2030 </w:t>
      </w:r>
      <w:r w:rsidRPr="006300AE" w:rsidR="000B69A9">
        <w:rPr>
          <w:b/>
          <w:bCs/>
          <w:u w:val="single"/>
        </w:rPr>
        <w:t>S</w:t>
      </w:r>
      <w:r w:rsidRPr="006300AE">
        <w:rPr>
          <w:b/>
          <w:bCs/>
          <w:u w:val="single"/>
        </w:rPr>
        <w:t xml:space="preserve">ectordoel Industrie </w:t>
      </w:r>
      <w:r w:rsidRPr="006300AE" w:rsidR="000B69A9">
        <w:rPr>
          <w:b/>
          <w:bCs/>
          <w:u w:val="single"/>
        </w:rPr>
        <w:t xml:space="preserve">- </w:t>
      </w:r>
      <w:r w:rsidRPr="006300AE">
        <w:rPr>
          <w:b/>
          <w:bCs/>
          <w:u w:val="single"/>
        </w:rPr>
        <w:t xml:space="preserve">29,1 </w:t>
      </w:r>
      <w:proofErr w:type="spellStart"/>
      <w:r w:rsidRPr="006300AE">
        <w:rPr>
          <w:b/>
          <w:bCs/>
          <w:u w:val="single"/>
        </w:rPr>
        <w:t>mton</w:t>
      </w:r>
      <w:proofErr w:type="spellEnd"/>
      <w:r w:rsidRPr="006300AE">
        <w:rPr>
          <w:rStyle w:val="Voetnootmarkering"/>
          <w:b/>
          <w:bCs/>
          <w:u w:val="single"/>
        </w:rPr>
        <w:footnoteReference w:id="1"/>
      </w:r>
      <w:r w:rsidRPr="006300AE" w:rsidR="000B69A9">
        <w:rPr>
          <w:b/>
          <w:bCs/>
          <w:u w:val="single"/>
        </w:rPr>
        <w:t xml:space="preserve"> </w:t>
      </w:r>
    </w:p>
    <w:p w:rsidRPr="006300AE" w:rsidR="5877C489" w:rsidP="79055FE2" w:rsidRDefault="5877C489" w14:paraId="3BBE3B14" w14:textId="65FE74CB">
      <w:pPr>
        <w:pStyle w:val="Lijstalinea"/>
        <w:numPr>
          <w:ilvl w:val="0"/>
          <w:numId w:val="9"/>
        </w:numPr>
        <w:pBdr>
          <w:top w:val="single" w:color="000000" w:sz="8" w:space="1"/>
          <w:left w:val="single" w:color="000000" w:sz="8" w:space="4"/>
          <w:bottom w:val="single" w:color="000000" w:sz="8" w:space="1"/>
          <w:right w:val="single" w:color="000000" w:sz="8" w:space="4"/>
        </w:pBdr>
        <w:rPr>
          <w:rFonts w:eastAsia="Verdana" w:cs="Verdana"/>
          <w:i/>
          <w:iCs/>
          <w:szCs w:val="18"/>
        </w:rPr>
      </w:pPr>
      <w:r w:rsidRPr="006300AE">
        <w:rPr>
          <w:rFonts w:eastAsia="Verdana" w:cs="Verdana"/>
          <w:i/>
          <w:iCs/>
          <w:szCs w:val="18"/>
        </w:rPr>
        <w:t xml:space="preserve">Bespreking voorstel sector industrie voorgesteld door </w:t>
      </w:r>
      <w:proofErr w:type="spellStart"/>
      <w:r w:rsidRPr="006300AE">
        <w:rPr>
          <w:rFonts w:eastAsia="Verdana" w:cs="Verdana"/>
          <w:i/>
          <w:iCs/>
          <w:szCs w:val="18"/>
        </w:rPr>
        <w:t>dVI</w:t>
      </w:r>
      <w:proofErr w:type="spellEnd"/>
      <w:r w:rsidRPr="006300AE">
        <w:rPr>
          <w:rFonts w:eastAsia="Verdana" w:cs="Verdana"/>
          <w:i/>
          <w:iCs/>
          <w:szCs w:val="18"/>
        </w:rPr>
        <w:t xml:space="preserve"> aan de hand van bespreekpunten 1b randvoorwaarden 1c. en klimaatfonds. </w:t>
      </w:r>
    </w:p>
    <w:p w:rsidRPr="006300AE" w:rsidR="00E350B1" w:rsidP="000B69A9" w:rsidRDefault="00E350B1" w14:paraId="74B05F9C" w14:textId="77777777">
      <w:pPr>
        <w:pStyle w:val="Lijstalinea"/>
        <w:numPr>
          <w:ilvl w:val="0"/>
          <w:numId w:val="16"/>
        </w:numPr>
        <w:rPr>
          <w:szCs w:val="18"/>
        </w:rPr>
      </w:pPr>
      <w:r w:rsidRPr="006300AE">
        <w:rPr>
          <w:szCs w:val="18"/>
        </w:rPr>
        <w:t xml:space="preserve">In tabel 1 zijn de maatregelen opgenomen die zijn ingediend door de directie Verduurzaming Industrie excl. klimaatfondsmaatregelen. </w:t>
      </w:r>
    </w:p>
    <w:p w:rsidRPr="006300AE" w:rsidR="00E350B1" w:rsidP="000B69A9" w:rsidRDefault="00E350B1" w14:paraId="2D50E7FF" w14:textId="77777777">
      <w:pPr>
        <w:pStyle w:val="Lijstalinea"/>
        <w:numPr>
          <w:ilvl w:val="0"/>
          <w:numId w:val="16"/>
        </w:numPr>
        <w:rPr>
          <w:szCs w:val="18"/>
        </w:rPr>
      </w:pPr>
      <w:r w:rsidRPr="006300AE">
        <w:rPr>
          <w:szCs w:val="18"/>
        </w:rPr>
        <w:t>Deze maatregelen dienen enerzijds bij te dragen aan het realiseren van de  (rand)voorwaarden om verduurzaming van de industrie in Nederland mogelijk te maken, en zijn anderzijds aanvullend beleid voor de afvalverbrandingsinstallaties (</w:t>
      </w:r>
      <w:proofErr w:type="spellStart"/>
      <w:r w:rsidRPr="006300AE">
        <w:rPr>
          <w:szCs w:val="18"/>
        </w:rPr>
        <w:t>AVI’s</w:t>
      </w:r>
      <w:proofErr w:type="spellEnd"/>
      <w:r w:rsidRPr="006300AE">
        <w:rPr>
          <w:szCs w:val="18"/>
        </w:rPr>
        <w:t xml:space="preserve">) en implementatie gebruik groene waterstof (jaarverplichting, vraagsubsidies en raffinageroute). </w:t>
      </w:r>
      <w:r w:rsidRPr="006300AE">
        <w:rPr>
          <w:rStyle w:val="Voetnootmarkering"/>
          <w:szCs w:val="18"/>
        </w:rPr>
        <w:footnoteReference w:id="2"/>
      </w:r>
    </w:p>
    <w:p w:rsidRPr="00C322A1" w:rsidR="00E350B1" w:rsidP="000B69A9" w:rsidRDefault="00E350B1" w14:paraId="13E0F316" w14:textId="36F8ED55">
      <w:pPr>
        <w:pStyle w:val="Lijstalinea"/>
        <w:numPr>
          <w:ilvl w:val="0"/>
          <w:numId w:val="16"/>
        </w:numPr>
        <w:rPr>
          <w:szCs w:val="18"/>
        </w:rPr>
      </w:pPr>
      <w:r w:rsidRPr="006300AE">
        <w:rPr>
          <w:szCs w:val="18"/>
        </w:rPr>
        <w:t>De voorgestelde beleidsmaatregelen vanuit de directie Verduurzaming Industrie zullen niet tot de benodigde emissiereductie leiden voor  het</w:t>
      </w:r>
      <w:r w:rsidRPr="00E44028">
        <w:rPr>
          <w:szCs w:val="18"/>
        </w:rPr>
        <w:t xml:space="preserve"> </w:t>
      </w:r>
      <w:r w:rsidRPr="006300AE">
        <w:rPr>
          <w:szCs w:val="18"/>
        </w:rPr>
        <w:lastRenderedPageBreak/>
        <w:t>sectorale doel voor 2030, maar zijn noodzakelijk voor om op de langere termijn perspectief op verdere verduurzaming van de industrie te bieden</w:t>
      </w:r>
      <w:r w:rsidRPr="006300AE" w:rsidR="000B69A9">
        <w:rPr>
          <w:szCs w:val="18"/>
        </w:rPr>
        <w:t>.</w:t>
      </w:r>
      <w:r w:rsidRPr="006300AE">
        <w:rPr>
          <w:szCs w:val="18"/>
        </w:rPr>
        <w:t xml:space="preserve"> </w:t>
      </w:r>
    </w:p>
    <w:p w:rsidR="005C10D4" w:rsidP="00E350B1" w:rsidRDefault="005C10D4" w14:paraId="53812534" w14:textId="77777777">
      <w:pPr>
        <w:pStyle w:val="Lijstalinea"/>
        <w:ind w:left="0"/>
        <w:rPr>
          <w:b/>
          <w:bCs/>
        </w:rPr>
      </w:pPr>
    </w:p>
    <w:p w:rsidR="005C10D4" w:rsidP="00E350B1" w:rsidRDefault="00E350B1" w14:paraId="58E13264" w14:textId="77777777">
      <w:pPr>
        <w:pStyle w:val="Lijstalinea"/>
        <w:ind w:left="0"/>
        <w:rPr>
          <w:b/>
          <w:bCs/>
          <w:u w:val="single"/>
        </w:rPr>
      </w:pPr>
      <w:r w:rsidRPr="005C10D4">
        <w:rPr>
          <w:b/>
          <w:bCs/>
          <w:u w:val="single"/>
        </w:rPr>
        <w:t>1a. Ter info: Fiche stimulering van Groene Waterstof</w:t>
      </w:r>
    </w:p>
    <w:p w:rsidRPr="005C10D4" w:rsidR="00E350B1" w:rsidP="000B69A9" w:rsidRDefault="005C10D4" w14:paraId="37DA577A" w14:textId="07305BC2">
      <w:pPr>
        <w:pStyle w:val="Lijstalinea"/>
        <w:numPr>
          <w:ilvl w:val="0"/>
          <w:numId w:val="15"/>
        </w:numPr>
      </w:pPr>
      <w:r w:rsidRPr="005C10D4">
        <w:t>Dit betreft: j</w:t>
      </w:r>
      <w:r w:rsidRPr="005C10D4" w:rsidR="00E350B1">
        <w:rPr>
          <w:szCs w:val="18"/>
        </w:rPr>
        <w:t>aarverplichting, vraagsubsidies en raffinagerout</w:t>
      </w:r>
      <w:r w:rsidRPr="005C10D4">
        <w:rPr>
          <w:szCs w:val="18"/>
        </w:rPr>
        <w:t>e</w:t>
      </w:r>
      <w:r w:rsidR="000B69A9">
        <w:rPr>
          <w:szCs w:val="18"/>
        </w:rPr>
        <w:t xml:space="preserve"> groene waterstof</w:t>
      </w:r>
      <w:r w:rsidR="000B69A9">
        <w:t xml:space="preserve">. </w:t>
      </w:r>
    </w:p>
    <w:p w:rsidRPr="005C10D4" w:rsidR="00E350B1" w:rsidP="000B69A9" w:rsidRDefault="000B69A9" w14:paraId="4E5ABDE8" w14:textId="4FB372F1">
      <w:pPr>
        <w:pStyle w:val="Lijstalinea"/>
        <w:numPr>
          <w:ilvl w:val="0"/>
          <w:numId w:val="15"/>
        </w:numPr>
        <w:rPr>
          <w:szCs w:val="18"/>
        </w:rPr>
      </w:pPr>
      <w:r>
        <w:rPr>
          <w:szCs w:val="18"/>
        </w:rPr>
        <w:t xml:space="preserve">De </w:t>
      </w:r>
      <w:proofErr w:type="spellStart"/>
      <w:r>
        <w:rPr>
          <w:szCs w:val="18"/>
        </w:rPr>
        <w:t>j</w:t>
      </w:r>
      <w:r w:rsidRPr="005C10D4" w:rsidR="00E350B1">
        <w:rPr>
          <w:szCs w:val="18"/>
        </w:rPr>
        <w:t>arverplichting</w:t>
      </w:r>
      <w:proofErr w:type="spellEnd"/>
      <w:r w:rsidRPr="005C10D4" w:rsidR="00E350B1">
        <w:rPr>
          <w:szCs w:val="18"/>
        </w:rPr>
        <w:t xml:space="preserve"> groene waterstof is momenteel in consultatie en de uitkomsten zullen op 17 februari worden besproken met MKGG, ook in relatie tot de vraagsubsidies.</w:t>
      </w:r>
    </w:p>
    <w:p w:rsidRPr="005C10D4" w:rsidR="00E350B1" w:rsidP="000B69A9" w:rsidRDefault="00E350B1" w14:paraId="0A345E47" w14:textId="3F4072CB">
      <w:pPr>
        <w:pStyle w:val="Lijstalinea"/>
        <w:numPr>
          <w:ilvl w:val="0"/>
          <w:numId w:val="15"/>
        </w:numPr>
        <w:rPr>
          <w:szCs w:val="18"/>
        </w:rPr>
      </w:pPr>
      <w:r w:rsidRPr="005C10D4">
        <w:rPr>
          <w:szCs w:val="18"/>
        </w:rPr>
        <w:t xml:space="preserve">Verwachting is dat bij volgend BWO in </w:t>
      </w:r>
      <w:r w:rsidR="000B69A9">
        <w:rPr>
          <w:szCs w:val="18"/>
        </w:rPr>
        <w:t>m</w:t>
      </w:r>
      <w:r w:rsidRPr="005C10D4">
        <w:rPr>
          <w:szCs w:val="18"/>
        </w:rPr>
        <w:t>aart een keuze kan worden gemaakt over de invulling hiervan.</w:t>
      </w:r>
    </w:p>
    <w:p w:rsidR="000B69A9" w:rsidP="000B69A9" w:rsidRDefault="00E350B1" w14:paraId="36421CCF" w14:textId="77777777">
      <w:pPr>
        <w:pStyle w:val="Lijstalinea"/>
        <w:numPr>
          <w:ilvl w:val="0"/>
          <w:numId w:val="15"/>
        </w:numPr>
        <w:rPr>
          <w:szCs w:val="18"/>
        </w:rPr>
      </w:pPr>
      <w:r w:rsidRPr="005C10D4">
        <w:rPr>
          <w:szCs w:val="18"/>
        </w:rPr>
        <w:t xml:space="preserve">Voor de raffinageroute loopt er nog een onderzoek bij TNO n.a.v. de motie Bontenbal en vindt er een </w:t>
      </w:r>
      <w:proofErr w:type="spellStart"/>
      <w:r w:rsidRPr="005C10D4">
        <w:rPr>
          <w:szCs w:val="18"/>
        </w:rPr>
        <w:t>deepdive</w:t>
      </w:r>
      <w:proofErr w:type="spellEnd"/>
      <w:r w:rsidRPr="005C10D4">
        <w:rPr>
          <w:szCs w:val="18"/>
        </w:rPr>
        <w:t xml:space="preserve"> plaats tussen I&amp;W en KGG op 14 februari.</w:t>
      </w:r>
    </w:p>
    <w:p w:rsidRPr="005C10D4" w:rsidR="00E350B1" w:rsidP="000B69A9" w:rsidRDefault="00E350B1" w14:paraId="161179FA" w14:textId="37F111BC">
      <w:pPr>
        <w:pStyle w:val="Lijstalinea"/>
        <w:numPr>
          <w:ilvl w:val="0"/>
          <w:numId w:val="15"/>
        </w:numPr>
        <w:rPr>
          <w:szCs w:val="18"/>
        </w:rPr>
      </w:pPr>
      <w:r w:rsidRPr="005C10D4">
        <w:rPr>
          <w:szCs w:val="18"/>
        </w:rPr>
        <w:t xml:space="preserve">Vervolgens dient er een besluit te worden genomen over de toepassing en mogelijke correctiefactor. Dit besluit zal dan moeten worden besproken in het tweede BWO Mobiliteit gezien de gedeelde beleidsverantwoordelijkheid. </w:t>
      </w:r>
    </w:p>
    <w:p w:rsidRPr="005C3CF1" w:rsidR="00E350B1" w:rsidP="00E350B1" w:rsidRDefault="00E350B1" w14:paraId="3781176E" w14:textId="77777777">
      <w:pPr>
        <w:rPr>
          <w:szCs w:val="18"/>
        </w:rPr>
      </w:pPr>
    </w:p>
    <w:p w:rsidRPr="005C10D4" w:rsidR="00E350B1" w:rsidP="00E350B1" w:rsidRDefault="00E350B1" w14:paraId="6E6CA5DC" w14:textId="686F15B7">
      <w:pPr>
        <w:pStyle w:val="Lijstalinea"/>
        <w:ind w:left="0"/>
        <w:rPr>
          <w:b/>
          <w:bCs/>
          <w:szCs w:val="18"/>
          <w:u w:val="single"/>
        </w:rPr>
      </w:pPr>
      <w:r w:rsidRPr="005C10D4">
        <w:rPr>
          <w:b/>
          <w:bCs/>
          <w:szCs w:val="18"/>
          <w:u w:val="single"/>
        </w:rPr>
        <w:t xml:space="preserve">1b. Randvoorwaarden Realisatie </w:t>
      </w:r>
      <w:r w:rsidR="000B69A9">
        <w:rPr>
          <w:b/>
          <w:bCs/>
          <w:szCs w:val="18"/>
          <w:u w:val="single"/>
        </w:rPr>
        <w:t>Se</w:t>
      </w:r>
      <w:r w:rsidRPr="005C10D4">
        <w:rPr>
          <w:b/>
          <w:bCs/>
          <w:szCs w:val="18"/>
          <w:u w:val="single"/>
        </w:rPr>
        <w:t xml:space="preserve">ctordoel Industrie  </w:t>
      </w:r>
    </w:p>
    <w:p w:rsidRPr="00E646DB" w:rsidR="00E350B1" w:rsidP="000B69A9" w:rsidRDefault="00E350B1" w14:paraId="5923CD06" w14:textId="77777777">
      <w:pPr>
        <w:pStyle w:val="Lijstalinea"/>
        <w:numPr>
          <w:ilvl w:val="0"/>
          <w:numId w:val="17"/>
        </w:numPr>
        <w:pBdr>
          <w:top w:val="single" w:color="auto" w:sz="4" w:space="1"/>
          <w:left w:val="single" w:color="auto" w:sz="4" w:space="4"/>
          <w:bottom w:val="single" w:color="auto" w:sz="4" w:space="1"/>
          <w:right w:val="single" w:color="auto" w:sz="4" w:space="4"/>
        </w:pBdr>
        <w:rPr>
          <w:i/>
          <w:iCs/>
        </w:rPr>
      </w:pPr>
      <w:r>
        <w:rPr>
          <w:i/>
          <w:iCs/>
        </w:rPr>
        <w:t xml:space="preserve">Bespreekpunt: Overeenstemming bereiken over de benodigde randvoorwaarden die nodig zijn om het doel voor de Industrie te realiseren. </w:t>
      </w:r>
    </w:p>
    <w:p w:rsidR="00E350B1" w:rsidP="000B69A9" w:rsidRDefault="00E350B1" w14:paraId="4D7D52CB" w14:textId="77777777">
      <w:pPr>
        <w:pStyle w:val="Lijstalinea"/>
        <w:numPr>
          <w:ilvl w:val="0"/>
          <w:numId w:val="17"/>
        </w:numPr>
        <w:rPr>
          <w:szCs w:val="18"/>
        </w:rPr>
      </w:pPr>
      <w:r>
        <w:rPr>
          <w:szCs w:val="18"/>
        </w:rPr>
        <w:t>Om het sectordoel industrie te kunnen realiseren is het cruciaal om de randvoorwaarden op orde te brengen, zodat de industrie kan verduurzamen.</w:t>
      </w:r>
    </w:p>
    <w:p w:rsidRPr="005C10D4" w:rsidR="005C10D4" w:rsidP="000B69A9" w:rsidRDefault="00E350B1" w14:paraId="425752D3" w14:textId="151418B2">
      <w:pPr>
        <w:pStyle w:val="Lijstalinea"/>
        <w:numPr>
          <w:ilvl w:val="0"/>
          <w:numId w:val="17"/>
        </w:numPr>
        <w:rPr>
          <w:szCs w:val="18"/>
        </w:rPr>
      </w:pPr>
      <w:r>
        <w:rPr>
          <w:szCs w:val="18"/>
        </w:rPr>
        <w:t>De belangrijkste maatregelen hiervoor betreffen:</w:t>
      </w:r>
    </w:p>
    <w:p w:rsidR="00E350B1" w:rsidP="000B69A9" w:rsidRDefault="00E350B1" w14:paraId="72984D2F" w14:textId="635FFE7A">
      <w:pPr>
        <w:pStyle w:val="Lijstalinea"/>
        <w:numPr>
          <w:ilvl w:val="0"/>
          <w:numId w:val="19"/>
        </w:numPr>
        <w:rPr>
          <w:szCs w:val="18"/>
        </w:rPr>
      </w:pPr>
      <w:r>
        <w:rPr>
          <w:szCs w:val="18"/>
        </w:rPr>
        <w:t xml:space="preserve">Tijdige </w:t>
      </w:r>
      <w:r w:rsidR="004001A4">
        <w:rPr>
          <w:szCs w:val="18"/>
        </w:rPr>
        <w:t>r</w:t>
      </w:r>
      <w:r>
        <w:rPr>
          <w:szCs w:val="18"/>
        </w:rPr>
        <w:t xml:space="preserve">ealisatie van CCS-infrastructuur met name </w:t>
      </w:r>
      <w:proofErr w:type="spellStart"/>
      <w:r>
        <w:rPr>
          <w:szCs w:val="18"/>
        </w:rPr>
        <w:t>Aramis</w:t>
      </w:r>
      <w:proofErr w:type="spellEnd"/>
      <w:r>
        <w:rPr>
          <w:szCs w:val="18"/>
        </w:rPr>
        <w:t>:</w:t>
      </w:r>
    </w:p>
    <w:p w:rsidR="00E350B1" w:rsidP="000B69A9" w:rsidRDefault="00E350B1" w14:paraId="57D60673" w14:textId="574590A3">
      <w:pPr>
        <w:pStyle w:val="Lijstalinea"/>
        <w:numPr>
          <w:ilvl w:val="2"/>
          <w:numId w:val="6"/>
        </w:numPr>
        <w:rPr>
          <w:szCs w:val="18"/>
        </w:rPr>
      </w:pPr>
      <w:r>
        <w:rPr>
          <w:szCs w:val="18"/>
        </w:rPr>
        <w:t>Vollooprisico (zie ook onder Klimaatfonds 1c.)</w:t>
      </w:r>
    </w:p>
    <w:p w:rsidR="00E350B1" w:rsidP="000B69A9" w:rsidRDefault="00E350B1" w14:paraId="48C245B7" w14:textId="3C4BB25C">
      <w:pPr>
        <w:pStyle w:val="Lijstalinea"/>
        <w:numPr>
          <w:ilvl w:val="2"/>
          <w:numId w:val="6"/>
        </w:numPr>
        <w:rPr>
          <w:szCs w:val="18"/>
        </w:rPr>
      </w:pPr>
      <w:r>
        <w:rPr>
          <w:szCs w:val="18"/>
        </w:rPr>
        <w:t>EBN-deelneming (zie ook onder Klimaatfonds 1c.)</w:t>
      </w:r>
    </w:p>
    <w:p w:rsidRPr="0090023F" w:rsidR="00E350B1" w:rsidP="000B69A9" w:rsidRDefault="00E350B1" w14:paraId="5FF95273" w14:textId="77777777">
      <w:pPr>
        <w:pStyle w:val="Lijstalinea"/>
        <w:numPr>
          <w:ilvl w:val="2"/>
          <w:numId w:val="6"/>
        </w:numPr>
        <w:rPr>
          <w:szCs w:val="18"/>
        </w:rPr>
      </w:pPr>
      <w:r>
        <w:rPr>
          <w:szCs w:val="18"/>
        </w:rPr>
        <w:t>Dekking voor EBN-deelname ontbreekt nog gedeeltelijk. Hiertoe dient een oplossing gevonden te worden binnen het Klimaatfonds of via AW1/beleidsbrief.</w:t>
      </w:r>
    </w:p>
    <w:p w:rsidR="00E350B1" w:rsidP="000B69A9" w:rsidRDefault="00E350B1" w14:paraId="7ADCDEDD" w14:textId="77777777">
      <w:pPr>
        <w:pStyle w:val="Lijstalinea"/>
        <w:numPr>
          <w:ilvl w:val="2"/>
          <w:numId w:val="6"/>
        </w:numPr>
        <w:rPr>
          <w:szCs w:val="18"/>
        </w:rPr>
      </w:pPr>
      <w:r>
        <w:rPr>
          <w:szCs w:val="18"/>
        </w:rPr>
        <w:t>Dekking onrendabele top via SDE++</w:t>
      </w:r>
    </w:p>
    <w:p w:rsidRPr="005C10D4" w:rsidR="00E350B1" w:rsidP="000B69A9" w:rsidRDefault="00E350B1" w14:paraId="065EC35E" w14:textId="77777777">
      <w:pPr>
        <w:pStyle w:val="Lijstalinea"/>
        <w:numPr>
          <w:ilvl w:val="0"/>
          <w:numId w:val="18"/>
        </w:numPr>
        <w:rPr>
          <w:szCs w:val="18"/>
        </w:rPr>
      </w:pPr>
      <w:r w:rsidRPr="005C10D4">
        <w:rPr>
          <w:szCs w:val="18"/>
        </w:rPr>
        <w:t>Betaalbare energie</w:t>
      </w:r>
    </w:p>
    <w:p w:rsidR="00E350B1" w:rsidP="000B69A9" w:rsidRDefault="00E350B1" w14:paraId="7C79A305" w14:textId="77777777">
      <w:pPr>
        <w:pStyle w:val="Lijstalinea"/>
        <w:numPr>
          <w:ilvl w:val="2"/>
          <w:numId w:val="6"/>
        </w:numPr>
        <w:rPr>
          <w:szCs w:val="18"/>
        </w:rPr>
      </w:pPr>
      <w:r>
        <w:rPr>
          <w:szCs w:val="18"/>
        </w:rPr>
        <w:t>Aan de hand van het IBO bekostiging elektriciteitsinfrastructuur dient een structurele oplossing te worden gevonden voor de hoge net en aansluitkosten.</w:t>
      </w:r>
    </w:p>
    <w:p w:rsidR="00E350B1" w:rsidP="000B69A9" w:rsidRDefault="00E350B1" w14:paraId="616FE7A8" w14:textId="7D7A3B3C">
      <w:pPr>
        <w:pStyle w:val="Lijstalinea"/>
        <w:numPr>
          <w:ilvl w:val="2"/>
          <w:numId w:val="6"/>
        </w:numPr>
        <w:rPr>
          <w:szCs w:val="18"/>
        </w:rPr>
      </w:pPr>
      <w:r>
        <w:t>Tot die tijd is</w:t>
      </w:r>
      <w:r w:rsidR="00404AFF">
        <w:t xml:space="preserve"> een van de beleidsopties de herinvoering</w:t>
      </w:r>
      <w:r>
        <w:t xml:space="preserve"> van de IKC</w:t>
      </w:r>
      <w:r w:rsidR="00404AFF">
        <w:t xml:space="preserve">.  </w:t>
      </w:r>
    </w:p>
    <w:p w:rsidR="00E350B1" w:rsidP="000B69A9" w:rsidRDefault="00E350B1" w14:paraId="1D170727" w14:textId="77777777">
      <w:pPr>
        <w:pStyle w:val="Lijstalinea"/>
        <w:numPr>
          <w:ilvl w:val="1"/>
          <w:numId w:val="6"/>
        </w:numPr>
        <w:rPr>
          <w:szCs w:val="18"/>
        </w:rPr>
      </w:pPr>
      <w:r>
        <w:rPr>
          <w:szCs w:val="18"/>
        </w:rPr>
        <w:t>Realisatie van (energie)infrastructuur (in lijn met voorstellen IBO)</w:t>
      </w:r>
    </w:p>
    <w:p w:rsidR="00E350B1" w:rsidP="000B69A9" w:rsidRDefault="00E350B1" w14:paraId="177A24F5" w14:textId="77777777">
      <w:pPr>
        <w:pStyle w:val="Lijstalinea"/>
        <w:numPr>
          <w:ilvl w:val="2"/>
          <w:numId w:val="6"/>
        </w:numPr>
        <w:rPr>
          <w:szCs w:val="18"/>
        </w:rPr>
      </w:pPr>
      <w:r>
        <w:rPr>
          <w:szCs w:val="18"/>
        </w:rPr>
        <w:t>Elektriciteit</w:t>
      </w:r>
    </w:p>
    <w:p w:rsidR="00E350B1" w:rsidP="000B69A9" w:rsidRDefault="00E350B1" w14:paraId="43E890E9" w14:textId="77777777">
      <w:pPr>
        <w:pStyle w:val="Lijstalinea"/>
        <w:numPr>
          <w:ilvl w:val="2"/>
          <w:numId w:val="6"/>
        </w:numPr>
        <w:rPr>
          <w:szCs w:val="18"/>
        </w:rPr>
      </w:pPr>
      <w:r>
        <w:rPr>
          <w:szCs w:val="18"/>
        </w:rPr>
        <w:t>Oplossen netcongestie</w:t>
      </w:r>
    </w:p>
    <w:p w:rsidR="00E350B1" w:rsidP="000B69A9" w:rsidRDefault="00E350B1" w14:paraId="4C0C268A" w14:textId="77777777">
      <w:pPr>
        <w:pStyle w:val="Lijstalinea"/>
        <w:numPr>
          <w:ilvl w:val="2"/>
          <w:numId w:val="6"/>
        </w:numPr>
        <w:rPr>
          <w:szCs w:val="18"/>
        </w:rPr>
      </w:pPr>
      <w:r>
        <w:rPr>
          <w:szCs w:val="18"/>
        </w:rPr>
        <w:t>Waterstof</w:t>
      </w:r>
    </w:p>
    <w:p w:rsidRPr="00D71F26" w:rsidR="00E350B1" w:rsidP="000B69A9" w:rsidRDefault="00E350B1" w14:paraId="092F6B8E" w14:textId="77777777">
      <w:pPr>
        <w:pStyle w:val="Lijstalinea"/>
        <w:numPr>
          <w:ilvl w:val="1"/>
          <w:numId w:val="6"/>
        </w:numPr>
        <w:rPr>
          <w:szCs w:val="18"/>
        </w:rPr>
      </w:pPr>
      <w:r>
        <w:rPr>
          <w:szCs w:val="18"/>
        </w:rPr>
        <w:t>Tijdige vergunningverlening</w:t>
      </w:r>
    </w:p>
    <w:p w:rsidRPr="00C8718D" w:rsidR="00E350B1" w:rsidP="00E350B1" w:rsidRDefault="00E350B1" w14:paraId="7B3DDDE1" w14:textId="77777777">
      <w:pPr>
        <w:pStyle w:val="Lijstalinea"/>
        <w:rPr>
          <w:b/>
          <w:bCs/>
          <w:szCs w:val="18"/>
        </w:rPr>
      </w:pPr>
    </w:p>
    <w:p w:rsidRPr="005C10D4" w:rsidR="00E350B1" w:rsidP="00E350B1" w:rsidRDefault="00E350B1" w14:paraId="0F7602E4" w14:textId="77777777">
      <w:pPr>
        <w:pStyle w:val="Lijstalinea"/>
        <w:ind w:left="0"/>
        <w:rPr>
          <w:b/>
          <w:bCs/>
          <w:szCs w:val="18"/>
          <w:u w:val="single"/>
        </w:rPr>
      </w:pPr>
      <w:r w:rsidRPr="005C10D4">
        <w:rPr>
          <w:b/>
          <w:bCs/>
          <w:szCs w:val="18"/>
          <w:u w:val="single"/>
        </w:rPr>
        <w:t>1c. Klimaatfonds maatregelen</w:t>
      </w:r>
    </w:p>
    <w:p w:rsidRPr="006300AE" w:rsidR="00E350B1" w:rsidP="000B69A9" w:rsidRDefault="00E350B1" w14:paraId="3425D820" w14:textId="44853037">
      <w:pPr>
        <w:pStyle w:val="Lijstalinea"/>
        <w:numPr>
          <w:ilvl w:val="0"/>
          <w:numId w:val="20"/>
        </w:numPr>
        <w:pBdr>
          <w:top w:val="single" w:color="auto" w:sz="4" w:space="1"/>
          <w:left w:val="single" w:color="auto" w:sz="4" w:space="4"/>
          <w:bottom w:val="single" w:color="auto" w:sz="4" w:space="1"/>
          <w:right w:val="single" w:color="auto" w:sz="4" w:space="4"/>
        </w:pBdr>
      </w:pPr>
      <w:r w:rsidRPr="006300AE">
        <w:rPr>
          <w:i/>
          <w:iCs/>
        </w:rPr>
        <w:t xml:space="preserve">Bespreekpunt: Bespreking van de aandachtspunten bij de huidig voorgestelde inpassing perceel VI in Klimaatfonds. </w:t>
      </w:r>
    </w:p>
    <w:p w:rsidRPr="006300AE" w:rsidR="00E350B1" w:rsidP="000B69A9" w:rsidRDefault="00E350B1" w14:paraId="2AE11779" w14:textId="77777777">
      <w:pPr>
        <w:pStyle w:val="Lijstalinea"/>
        <w:numPr>
          <w:ilvl w:val="0"/>
          <w:numId w:val="20"/>
        </w:numPr>
        <w:rPr>
          <w:szCs w:val="18"/>
        </w:rPr>
      </w:pPr>
      <w:r w:rsidRPr="006300AE">
        <w:rPr>
          <w:szCs w:val="18"/>
        </w:rPr>
        <w:t xml:space="preserve">De ingediende klimaatfondsmaatregelen incl. conceptbeoordeling zijn opgenomen in tabel 2. </w:t>
      </w:r>
      <w:r w:rsidRPr="006300AE">
        <w:tab/>
      </w:r>
    </w:p>
    <w:p w:rsidRPr="006300AE" w:rsidR="00E350B1" w:rsidP="000B69A9" w:rsidRDefault="00E350B1" w14:paraId="184E3A40" w14:textId="77777777">
      <w:pPr>
        <w:pStyle w:val="Lijstalinea"/>
        <w:numPr>
          <w:ilvl w:val="0"/>
          <w:numId w:val="20"/>
        </w:numPr>
        <w:tabs>
          <w:tab w:val="left" w:pos="4680"/>
        </w:tabs>
      </w:pPr>
      <w:r w:rsidRPr="006300AE">
        <w:t>Voor het Klimaatfonds hebben directies VI en SE als prioriteiten CCS/</w:t>
      </w:r>
      <w:proofErr w:type="spellStart"/>
      <w:r w:rsidRPr="006300AE">
        <w:t>Aramis</w:t>
      </w:r>
      <w:proofErr w:type="spellEnd"/>
      <w:r w:rsidRPr="006300AE">
        <w:t xml:space="preserve"> en elektrificatie (nettarieven) aangeleverd. Dit zijn namelijk cruciale </w:t>
      </w:r>
      <w:r w:rsidRPr="006300AE">
        <w:lastRenderedPageBreak/>
        <w:t>voorwaarden voor de verduurzaming van de industrie, het behalen van de klimaatdoelen en het verbeteren van het vestigingsklimaat in Nederland.</w:t>
      </w:r>
    </w:p>
    <w:p w:rsidRPr="006300AE" w:rsidR="7872E312" w:rsidP="79055FE2" w:rsidRDefault="7872E312" w14:paraId="7692D19C" w14:textId="4297DCD5">
      <w:pPr>
        <w:pStyle w:val="Lijstalinea"/>
        <w:numPr>
          <w:ilvl w:val="0"/>
          <w:numId w:val="20"/>
        </w:numPr>
        <w:tabs>
          <w:tab w:val="left" w:pos="4680"/>
        </w:tabs>
      </w:pPr>
      <w:r w:rsidRPr="006300AE">
        <w:t xml:space="preserve">Fondsbeheer heeft geadviseerd om </w:t>
      </w:r>
      <w:proofErr w:type="spellStart"/>
      <w:r w:rsidRPr="006300AE">
        <w:t>Aramis</w:t>
      </w:r>
      <w:proofErr w:type="spellEnd"/>
      <w:r w:rsidRPr="006300AE">
        <w:t xml:space="preserve"> vollooprisico volledig en de IKC voor de helft (600 mln.) in te passen in het perceel VI. Hiertoe dient er omgebogen te worden binnen de bestaande budgetten (Maatwerk, NIKI en DEI+) in het Klimaatfonds.</w:t>
      </w:r>
    </w:p>
    <w:p w:rsidRPr="005C10D4" w:rsidR="00E350B1" w:rsidP="000B69A9" w:rsidRDefault="00E350B1" w14:paraId="60D3B6B4" w14:textId="77777777">
      <w:pPr>
        <w:pStyle w:val="Lijstalinea"/>
        <w:numPr>
          <w:ilvl w:val="0"/>
          <w:numId w:val="20"/>
        </w:numPr>
        <w:tabs>
          <w:tab w:val="left" w:pos="4680"/>
        </w:tabs>
      </w:pPr>
      <w:r w:rsidRPr="005C10D4">
        <w:t xml:space="preserve">De conceptbeoordeling ligt nu bij PBL en TNO voor de onafhankelijke reflecties. Daarna wordt de definitieve beoordeling opgesteld ten behoeve van de Voorjaarsbesluitvorming. </w:t>
      </w:r>
    </w:p>
    <w:p w:rsidRPr="00E350B1" w:rsidR="00E350B1" w:rsidP="00E350B1" w:rsidRDefault="00E350B1" w14:paraId="306524CB" w14:textId="77777777">
      <w:pPr>
        <w:pStyle w:val="Lijstalinea"/>
        <w:tabs>
          <w:tab w:val="left" w:pos="4680"/>
        </w:tabs>
        <w:ind w:left="360"/>
      </w:pPr>
    </w:p>
    <w:p w:rsidRPr="005C10D4" w:rsidR="00D6443D" w:rsidP="000B69A9" w:rsidRDefault="00E350B1" w14:paraId="67FE80D6" w14:textId="7DE60DB6">
      <w:pPr>
        <w:pStyle w:val="Lijstalinea"/>
        <w:numPr>
          <w:ilvl w:val="0"/>
          <w:numId w:val="8"/>
        </w:numPr>
        <w:spacing w:line="276" w:lineRule="auto"/>
        <w:rPr>
          <w:b/>
          <w:bCs/>
          <w:szCs w:val="18"/>
          <w:u w:val="single"/>
        </w:rPr>
      </w:pPr>
      <w:r w:rsidRPr="005C10D4">
        <w:rPr>
          <w:b/>
          <w:bCs/>
          <w:szCs w:val="18"/>
          <w:u w:val="single"/>
        </w:rPr>
        <w:t xml:space="preserve">Aanvulling op het sectorale voorstel van </w:t>
      </w:r>
      <w:proofErr w:type="spellStart"/>
      <w:r w:rsidRPr="005C10D4" w:rsidR="00404AFF">
        <w:rPr>
          <w:b/>
          <w:bCs/>
          <w:szCs w:val="18"/>
          <w:u w:val="single"/>
        </w:rPr>
        <w:t>dVI</w:t>
      </w:r>
      <w:proofErr w:type="spellEnd"/>
    </w:p>
    <w:p w:rsidRPr="005C10D4" w:rsidR="00E350B1" w:rsidP="000B69A9" w:rsidRDefault="00E350B1" w14:paraId="6B44F61D" w14:textId="77777777">
      <w:pPr>
        <w:pStyle w:val="Lijstalinea"/>
        <w:numPr>
          <w:ilvl w:val="0"/>
          <w:numId w:val="21"/>
        </w:numPr>
        <w:pBdr>
          <w:top w:val="single" w:color="auto" w:sz="4" w:space="1"/>
          <w:left w:val="single" w:color="auto" w:sz="4" w:space="4"/>
          <w:bottom w:val="single" w:color="auto" w:sz="4" w:space="1"/>
          <w:right w:val="single" w:color="auto" w:sz="4" w:space="4"/>
        </w:pBdr>
        <w:spacing w:after="160" w:line="259" w:lineRule="auto"/>
        <w:rPr>
          <w:i/>
          <w:iCs/>
        </w:rPr>
      </w:pPr>
      <w:r w:rsidRPr="005C10D4">
        <w:rPr>
          <w:i/>
          <w:iCs/>
        </w:rPr>
        <w:t>Bespreekpunt: Welke alternatieven maatregelen zijn gewenst als onderdeel van maatregelenpakket dit voorjaar met oog op het halen van het sectordoel klimaat en nationale energiebesparingsdoel in 2030 of kort daarna?</w:t>
      </w:r>
    </w:p>
    <w:p w:rsidRPr="006300AE" w:rsidR="00E350B1" w:rsidP="000B69A9" w:rsidRDefault="00E350B1" w14:paraId="4FA29F5C" w14:textId="77777777">
      <w:pPr>
        <w:pStyle w:val="Lijstalinea"/>
        <w:numPr>
          <w:ilvl w:val="0"/>
          <w:numId w:val="21"/>
        </w:numPr>
        <w:rPr>
          <w:szCs w:val="18"/>
        </w:rPr>
      </w:pPr>
      <w:r w:rsidRPr="006300AE">
        <w:rPr>
          <w:szCs w:val="18"/>
        </w:rPr>
        <w:t>Huidige voorstel directie Verduurzaming Industrie zal niet voldoende zijn voor het behalen van de klimaatdoelstelling 2030.</w:t>
      </w:r>
    </w:p>
    <w:p w:rsidR="00E350B1" w:rsidP="000B69A9" w:rsidRDefault="00E350B1" w14:paraId="2CC86AC2" w14:textId="77777777">
      <w:pPr>
        <w:pStyle w:val="Lijstalinea"/>
        <w:numPr>
          <w:ilvl w:val="0"/>
          <w:numId w:val="21"/>
        </w:numPr>
        <w:rPr>
          <w:szCs w:val="18"/>
        </w:rPr>
      </w:pPr>
      <w:r>
        <w:rPr>
          <w:szCs w:val="18"/>
        </w:rPr>
        <w:t xml:space="preserve">Aanvullende maatregelen voor het behalen sectordoel industrie </w:t>
      </w:r>
      <w:proofErr w:type="spellStart"/>
      <w:r>
        <w:rPr>
          <w:szCs w:val="18"/>
        </w:rPr>
        <w:t>industrie</w:t>
      </w:r>
      <w:proofErr w:type="spellEnd"/>
      <w:r>
        <w:rPr>
          <w:szCs w:val="18"/>
        </w:rPr>
        <w:t xml:space="preserve"> en het nationale energiebesparingsdoel kunnen zijn: </w:t>
      </w:r>
    </w:p>
    <w:p w:rsidR="00404AFF" w:rsidP="000B69A9" w:rsidRDefault="00E350B1" w14:paraId="28C787EF" w14:textId="02EC5A41">
      <w:pPr>
        <w:pStyle w:val="Lijstalinea"/>
        <w:numPr>
          <w:ilvl w:val="1"/>
          <w:numId w:val="21"/>
        </w:numPr>
        <w:rPr>
          <w:szCs w:val="18"/>
        </w:rPr>
      </w:pPr>
      <w:r>
        <w:rPr>
          <w:szCs w:val="18"/>
        </w:rPr>
        <w:t>2a.</w:t>
      </w:r>
      <w:r w:rsidR="00404AFF">
        <w:rPr>
          <w:szCs w:val="18"/>
        </w:rPr>
        <w:t xml:space="preserve"> </w:t>
      </w:r>
      <w:r>
        <w:rPr>
          <w:szCs w:val="18"/>
        </w:rPr>
        <w:t>Vorm van aanscherping Co2-heffing</w:t>
      </w:r>
      <w:r w:rsidRPr="00BE2350">
        <w:rPr>
          <w:szCs w:val="18"/>
        </w:rPr>
        <w:t xml:space="preserve">, </w:t>
      </w:r>
    </w:p>
    <w:p w:rsidR="00404AFF" w:rsidP="000B69A9" w:rsidRDefault="00E350B1" w14:paraId="38C98ECD" w14:textId="610471F5">
      <w:pPr>
        <w:pStyle w:val="Lijstalinea"/>
        <w:numPr>
          <w:ilvl w:val="1"/>
          <w:numId w:val="21"/>
        </w:numPr>
        <w:rPr>
          <w:szCs w:val="18"/>
        </w:rPr>
      </w:pPr>
      <w:r>
        <w:rPr>
          <w:szCs w:val="18"/>
        </w:rPr>
        <w:t>2b.</w:t>
      </w:r>
      <w:r w:rsidR="00404AFF">
        <w:rPr>
          <w:szCs w:val="18"/>
        </w:rPr>
        <w:t xml:space="preserve"> N</w:t>
      </w:r>
      <w:r w:rsidRPr="00BE2350">
        <w:rPr>
          <w:szCs w:val="18"/>
        </w:rPr>
        <w:t xml:space="preserve">ormering </w:t>
      </w:r>
      <w:r w:rsidR="00404AFF">
        <w:rPr>
          <w:szCs w:val="18"/>
        </w:rPr>
        <w:t>van f</w:t>
      </w:r>
      <w:r w:rsidRPr="00BE2350">
        <w:rPr>
          <w:szCs w:val="18"/>
        </w:rPr>
        <w:t>ossiele warmte opwek</w:t>
      </w:r>
      <w:r>
        <w:rPr>
          <w:szCs w:val="18"/>
        </w:rPr>
        <w:t xml:space="preserve">, </w:t>
      </w:r>
    </w:p>
    <w:p w:rsidR="00E350B1" w:rsidP="000B69A9" w:rsidRDefault="00E350B1" w14:paraId="3C2A5DED" w14:textId="10A2C8D1">
      <w:pPr>
        <w:pStyle w:val="Lijstalinea"/>
        <w:numPr>
          <w:ilvl w:val="1"/>
          <w:numId w:val="21"/>
        </w:numPr>
        <w:rPr>
          <w:szCs w:val="18"/>
        </w:rPr>
      </w:pPr>
      <w:r>
        <w:rPr>
          <w:szCs w:val="18"/>
        </w:rPr>
        <w:t>2c.</w:t>
      </w:r>
      <w:r w:rsidR="00404AFF">
        <w:rPr>
          <w:szCs w:val="18"/>
        </w:rPr>
        <w:t xml:space="preserve"> U</w:t>
      </w:r>
      <w:r>
        <w:rPr>
          <w:szCs w:val="18"/>
        </w:rPr>
        <w:t>itkomsten van</w:t>
      </w:r>
      <w:r w:rsidRPr="00BE2350">
        <w:rPr>
          <w:szCs w:val="18"/>
        </w:rPr>
        <w:t xml:space="preserve"> onderzoek aanscherping energiebelasting aardgas</w:t>
      </w:r>
      <w:r>
        <w:rPr>
          <w:szCs w:val="18"/>
        </w:rPr>
        <w:t xml:space="preserve"> ETS2 industrie</w:t>
      </w:r>
      <w:r w:rsidRPr="00BE2350">
        <w:rPr>
          <w:szCs w:val="18"/>
        </w:rPr>
        <w:t xml:space="preserve"> (ter info). </w:t>
      </w:r>
    </w:p>
    <w:p w:rsidR="00404AFF" w:rsidP="000B69A9" w:rsidRDefault="00404AFF" w14:paraId="41C5C4E4" w14:textId="2F94849E">
      <w:pPr>
        <w:pStyle w:val="Lijstalinea"/>
        <w:numPr>
          <w:ilvl w:val="0"/>
          <w:numId w:val="21"/>
        </w:numPr>
        <w:rPr>
          <w:szCs w:val="18"/>
        </w:rPr>
      </w:pPr>
      <w:r>
        <w:rPr>
          <w:szCs w:val="18"/>
        </w:rPr>
        <w:t xml:space="preserve">Ook op het gebied van energiebesparende maatregelen zit nog potentie voor de verduurzaming van- en emissiereductie bij de industrie. </w:t>
      </w:r>
    </w:p>
    <w:p w:rsidR="005C10D4" w:rsidP="00404AFF" w:rsidRDefault="005C10D4" w14:paraId="78CAB146" w14:textId="77777777">
      <w:pPr>
        <w:rPr>
          <w:b/>
          <w:bCs/>
          <w:szCs w:val="18"/>
        </w:rPr>
      </w:pPr>
    </w:p>
    <w:p w:rsidRPr="005C10D4" w:rsidR="00E350B1" w:rsidP="00404AFF" w:rsidRDefault="00E350B1" w14:paraId="40622F54" w14:textId="5CAB5740">
      <w:pPr>
        <w:rPr>
          <w:b/>
          <w:bCs/>
          <w:szCs w:val="18"/>
          <w:u w:val="single"/>
        </w:rPr>
      </w:pPr>
      <w:r w:rsidRPr="005C10D4">
        <w:rPr>
          <w:b/>
          <w:bCs/>
          <w:szCs w:val="18"/>
        </w:rPr>
        <w:t>2a.</w:t>
      </w:r>
      <w:r w:rsidRPr="005C10D4" w:rsidR="005C10D4">
        <w:rPr>
          <w:b/>
          <w:bCs/>
          <w:szCs w:val="18"/>
        </w:rPr>
        <w:t xml:space="preserve"> </w:t>
      </w:r>
      <w:r w:rsidRPr="005C10D4">
        <w:rPr>
          <w:b/>
          <w:bCs/>
          <w:szCs w:val="18"/>
        </w:rPr>
        <w:t xml:space="preserve"> </w:t>
      </w:r>
      <w:r w:rsidRPr="005C10D4">
        <w:rPr>
          <w:b/>
          <w:bCs/>
          <w:szCs w:val="18"/>
          <w:u w:val="single"/>
        </w:rPr>
        <w:t>CO2-heffing Industrie</w:t>
      </w:r>
    </w:p>
    <w:p w:rsidRPr="005C10D4" w:rsidR="00404AFF" w:rsidP="000B69A9" w:rsidRDefault="00E350B1" w14:paraId="321B5CCD" w14:textId="798B760E">
      <w:pPr>
        <w:pStyle w:val="Lijstalinea"/>
        <w:numPr>
          <w:ilvl w:val="0"/>
          <w:numId w:val="22"/>
        </w:numPr>
        <w:pBdr>
          <w:top w:val="single" w:color="auto" w:sz="4" w:space="1"/>
          <w:left w:val="single" w:color="auto" w:sz="4" w:space="4"/>
          <w:bottom w:val="single" w:color="auto" w:sz="4" w:space="1"/>
          <w:right w:val="single" w:color="auto" w:sz="4" w:space="4"/>
        </w:pBdr>
        <w:rPr>
          <w:szCs w:val="18"/>
        </w:rPr>
      </w:pPr>
      <w:r w:rsidRPr="005C10D4">
        <w:rPr>
          <w:i/>
          <w:iCs/>
          <w:szCs w:val="18"/>
        </w:rPr>
        <w:t>Bespreekpunt:</w:t>
      </w:r>
      <w:r w:rsidRPr="005C10D4">
        <w:rPr>
          <w:b/>
          <w:bCs/>
          <w:szCs w:val="18"/>
        </w:rPr>
        <w:t xml:space="preserve"> </w:t>
      </w:r>
      <w:r w:rsidRPr="005C10D4">
        <w:rPr>
          <w:i/>
          <w:iCs/>
          <w:szCs w:val="18"/>
        </w:rPr>
        <w:t xml:space="preserve">Bespreking van de voorgestelde fiches CO2-heffing in relatie tot het behalen sectordoel industrie. </w:t>
      </w:r>
      <w:r w:rsidRPr="005C10D4">
        <w:rPr>
          <w:szCs w:val="18"/>
        </w:rPr>
        <w:t xml:space="preserve"> </w:t>
      </w:r>
    </w:p>
    <w:p w:rsidRPr="00A75490" w:rsidR="00E350B1" w:rsidP="000B69A9" w:rsidRDefault="00E350B1" w14:paraId="0FB69500" w14:textId="77777777">
      <w:pPr>
        <w:pStyle w:val="Lijstalinea"/>
        <w:numPr>
          <w:ilvl w:val="0"/>
          <w:numId w:val="22"/>
        </w:numPr>
        <w:spacing w:after="160" w:line="259" w:lineRule="auto"/>
      </w:pPr>
      <w:r w:rsidRPr="00A75490">
        <w:t xml:space="preserve">De CO2-heffing is een instrument die een belangrijke bijdrage levert als financiële prikkel, ter borging van het klimaatdoel van de industrie. De heffing maakt deel uit van een breder beleidspakket. </w:t>
      </w:r>
    </w:p>
    <w:p w:rsidRPr="00A75490" w:rsidR="00E350B1" w:rsidP="000B69A9" w:rsidRDefault="00E350B1" w14:paraId="6A7EE1F6" w14:textId="26BE5D6F">
      <w:pPr>
        <w:pStyle w:val="Lijstalinea"/>
        <w:numPr>
          <w:ilvl w:val="0"/>
          <w:numId w:val="22"/>
        </w:numPr>
        <w:spacing w:after="160" w:line="259" w:lineRule="auto"/>
      </w:pPr>
      <w:r w:rsidRPr="00A75490">
        <w:rPr>
          <w:szCs w:val="18"/>
        </w:rPr>
        <w:t>Afgelopen najaar ’24 is in het BWO industrie afgesproken om breed (zowel</w:t>
      </w:r>
      <w:r w:rsidRPr="00A75490">
        <w:t xml:space="preserve"> aanscherping als afzwakking) opties voor de CO2-heffing industrie uit te werken, zodat het kabinet dit voorjaar een politieke keuze kan maken. </w:t>
      </w:r>
    </w:p>
    <w:p w:rsidRPr="006300AE" w:rsidR="00E350B1" w:rsidP="000B69A9" w:rsidRDefault="00E350B1" w14:paraId="20AF86B7" w14:textId="65E99119">
      <w:pPr>
        <w:pStyle w:val="Lijstalinea"/>
        <w:numPr>
          <w:ilvl w:val="0"/>
          <w:numId w:val="22"/>
        </w:numPr>
        <w:spacing w:after="160" w:line="259" w:lineRule="auto"/>
      </w:pPr>
      <w:r w:rsidRPr="006300AE">
        <w:t>Ambtelijke samenvatting van deze fiches (</w:t>
      </w:r>
      <w:proofErr w:type="spellStart"/>
      <w:r w:rsidRPr="006300AE">
        <w:t>dVI</w:t>
      </w:r>
      <w:proofErr w:type="spellEnd"/>
      <w:r w:rsidRPr="006300AE">
        <w:t xml:space="preserve">, </w:t>
      </w:r>
      <w:proofErr w:type="spellStart"/>
      <w:r w:rsidRPr="006300AE">
        <w:t>dKlimaat</w:t>
      </w:r>
      <w:proofErr w:type="spellEnd"/>
      <w:r w:rsidRPr="006300AE">
        <w:t xml:space="preserve">, FIN) </w:t>
      </w:r>
      <w:r w:rsidRPr="006300AE" w:rsidR="00404AFF">
        <w:t>kunt u vinden in</w:t>
      </w:r>
      <w:r w:rsidRPr="006300AE">
        <w:rPr>
          <w:b/>
          <w:bCs/>
        </w:rPr>
        <w:t xml:space="preserve"> </w:t>
      </w:r>
      <w:r w:rsidRPr="006300AE">
        <w:rPr>
          <w:u w:val="single"/>
        </w:rPr>
        <w:t>bijlage 1.</w:t>
      </w:r>
      <w:r w:rsidRPr="006300AE">
        <w:t xml:space="preserve"> </w:t>
      </w:r>
    </w:p>
    <w:p w:rsidRPr="00A75490" w:rsidR="00E350B1" w:rsidP="000B69A9" w:rsidRDefault="00E350B1" w14:paraId="08CFE6FC" w14:textId="72CB1357">
      <w:pPr>
        <w:pStyle w:val="Lijstalinea"/>
        <w:numPr>
          <w:ilvl w:val="0"/>
          <w:numId w:val="22"/>
        </w:numPr>
        <w:spacing w:after="160" w:line="259" w:lineRule="auto"/>
      </w:pPr>
      <w:r w:rsidRPr="00A75490">
        <w:t>Voor de Co2-heffing ligt een drietal beleidsfiches op tafe</w:t>
      </w:r>
      <w:r w:rsidR="00404AFF">
        <w:t xml:space="preserve">l, </w:t>
      </w:r>
      <w:r w:rsidRPr="00A75490">
        <w:t>met verschillende varianten op de maatregel</w:t>
      </w:r>
      <w:r w:rsidR="00404AFF">
        <w:t>en</w:t>
      </w:r>
      <w:r w:rsidR="00D6443D">
        <w:t xml:space="preserve">. Ook zullen de </w:t>
      </w:r>
      <w:proofErr w:type="spellStart"/>
      <w:r w:rsidR="00D6443D">
        <w:t>flexibliteitsopties</w:t>
      </w:r>
      <w:proofErr w:type="spellEnd"/>
      <w:r w:rsidR="00D6443D">
        <w:t xml:space="preserve"> binnen de heffing worden bezien, om doelmatigheid en gelijk speelveld te waarborgen.</w:t>
      </w:r>
    </w:p>
    <w:p w:rsidRPr="00A75490" w:rsidR="00E350B1" w:rsidP="000B69A9" w:rsidRDefault="00E350B1" w14:paraId="2ADD167C" w14:textId="77777777">
      <w:pPr>
        <w:pStyle w:val="Lijstalinea"/>
        <w:numPr>
          <w:ilvl w:val="0"/>
          <w:numId w:val="4"/>
        </w:numPr>
        <w:rPr>
          <w:b/>
          <w:bCs/>
        </w:rPr>
      </w:pPr>
      <w:r w:rsidRPr="00A75490">
        <w:rPr>
          <w:b/>
          <w:bCs/>
        </w:rPr>
        <w:t>Aanscherping heffing tot 2030</w:t>
      </w:r>
      <w:r w:rsidRPr="00A75490">
        <w:t xml:space="preserve">: </w:t>
      </w:r>
    </w:p>
    <w:p w:rsidRPr="00A75490" w:rsidR="00E350B1" w:rsidP="000B69A9" w:rsidRDefault="00D6443D" w14:paraId="7EB44AB7" w14:textId="28A63230">
      <w:pPr>
        <w:pStyle w:val="Lijstalinea"/>
        <w:numPr>
          <w:ilvl w:val="1"/>
          <w:numId w:val="4"/>
        </w:numPr>
        <w:rPr>
          <w:b/>
          <w:bCs/>
        </w:rPr>
      </w:pPr>
      <w:r>
        <w:rPr>
          <w:i/>
          <w:iCs/>
        </w:rPr>
        <w:t>V</w:t>
      </w:r>
      <w:r w:rsidRPr="00404AFF" w:rsidR="00E350B1">
        <w:rPr>
          <w:i/>
          <w:iCs/>
        </w:rPr>
        <w:t>ariant 1:</w:t>
      </w:r>
      <w:r w:rsidRPr="003E25E7" w:rsidR="00E350B1">
        <w:t xml:space="preserve"> eerdere wetvoorstel voor aanscherping </w:t>
      </w:r>
      <w:r>
        <w:t xml:space="preserve">door verhoging </w:t>
      </w:r>
      <w:proofErr w:type="spellStart"/>
      <w:r w:rsidRPr="003E25E7" w:rsidR="00E350B1">
        <w:t>prijspad</w:t>
      </w:r>
      <w:proofErr w:type="spellEnd"/>
      <w:r w:rsidRPr="003E25E7" w:rsidR="00E350B1">
        <w:t xml:space="preserve"> met schijvenvariant </w:t>
      </w:r>
    </w:p>
    <w:p w:rsidRPr="00A75490" w:rsidR="00E350B1" w:rsidP="000B69A9" w:rsidRDefault="00D6443D" w14:paraId="65A34D1B" w14:textId="739463B9">
      <w:pPr>
        <w:pStyle w:val="Lijstalinea"/>
        <w:numPr>
          <w:ilvl w:val="1"/>
          <w:numId w:val="4"/>
        </w:numPr>
        <w:rPr>
          <w:b/>
          <w:bCs/>
        </w:rPr>
      </w:pPr>
      <w:r>
        <w:rPr>
          <w:i/>
          <w:iCs/>
        </w:rPr>
        <w:t>V</w:t>
      </w:r>
      <w:r w:rsidRPr="00404AFF" w:rsidR="00E350B1">
        <w:rPr>
          <w:i/>
          <w:iCs/>
        </w:rPr>
        <w:t>ariant 2:</w:t>
      </w:r>
      <w:r w:rsidRPr="003E25E7" w:rsidR="00E350B1">
        <w:t xml:space="preserve"> </w:t>
      </w:r>
      <w:r w:rsidR="00404AFF">
        <w:t xml:space="preserve">aanscherping </w:t>
      </w:r>
      <w:r w:rsidRPr="003E25E7" w:rsidR="00E350B1">
        <w:t xml:space="preserve">zonder aanscherping </w:t>
      </w:r>
      <w:proofErr w:type="spellStart"/>
      <w:r w:rsidRPr="003E25E7" w:rsidR="00E350B1">
        <w:t>prijspad</w:t>
      </w:r>
      <w:proofErr w:type="spellEnd"/>
      <w:r w:rsidRPr="003E25E7" w:rsidR="00E350B1">
        <w:t>, maar met verbreding grondslag (aanscherping afbouw dispensatierechten)</w:t>
      </w:r>
    </w:p>
    <w:p w:rsidRPr="00A75490" w:rsidR="00E350B1" w:rsidP="000B69A9" w:rsidRDefault="00E350B1" w14:paraId="44D2041D" w14:textId="789D86A8">
      <w:pPr>
        <w:pStyle w:val="Lijstalinea"/>
        <w:numPr>
          <w:ilvl w:val="0"/>
          <w:numId w:val="4"/>
        </w:numPr>
      </w:pPr>
      <w:r w:rsidRPr="00A75490">
        <w:rPr>
          <w:b/>
          <w:bCs/>
        </w:rPr>
        <w:t xml:space="preserve">Aanscherping </w:t>
      </w:r>
      <w:proofErr w:type="spellStart"/>
      <w:r w:rsidRPr="003E25E7">
        <w:rPr>
          <w:b/>
          <w:bCs/>
        </w:rPr>
        <w:t>prijspad</w:t>
      </w:r>
      <w:proofErr w:type="spellEnd"/>
      <w:r w:rsidRPr="00A75490">
        <w:rPr>
          <w:b/>
          <w:bCs/>
        </w:rPr>
        <w:t xml:space="preserve"> heffing in periode 2030-2035</w:t>
      </w:r>
      <w:r w:rsidRPr="00A75490">
        <w:t>: twee varianten van prijspaden met oplopende CO2-heffing na 2030</w:t>
      </w:r>
      <w:r w:rsidR="00D6443D">
        <w:t xml:space="preserve"> tot en met 2035+</w:t>
      </w:r>
      <w:r w:rsidRPr="00A75490">
        <w:t xml:space="preserve">. </w:t>
      </w:r>
    </w:p>
    <w:p w:rsidR="00E350B1" w:rsidP="000B69A9" w:rsidRDefault="00E350B1" w14:paraId="47F49750" w14:textId="7F02041F">
      <w:pPr>
        <w:pStyle w:val="Lijstalinea"/>
        <w:numPr>
          <w:ilvl w:val="0"/>
          <w:numId w:val="4"/>
        </w:numPr>
      </w:pPr>
      <w:r w:rsidRPr="00A75490">
        <w:rPr>
          <w:b/>
          <w:bCs/>
        </w:rPr>
        <w:t xml:space="preserve">Afschaffing van de heffing na 2033 of 2035: </w:t>
      </w:r>
      <w:r w:rsidRPr="003E25E7">
        <w:t xml:space="preserve">twee varianten met gelijkblijvend </w:t>
      </w:r>
      <w:proofErr w:type="spellStart"/>
      <w:r w:rsidRPr="003E25E7">
        <w:t>prijspad</w:t>
      </w:r>
      <w:proofErr w:type="spellEnd"/>
      <w:r w:rsidRPr="003E25E7">
        <w:t xml:space="preserve"> vanaf 2030</w:t>
      </w:r>
      <w:r w:rsidR="00D6443D">
        <w:t>, waarna afschaffing.</w:t>
      </w:r>
    </w:p>
    <w:p w:rsidR="00D6443D" w:rsidP="000B69A9" w:rsidRDefault="00E350B1" w14:paraId="5C8E838A" w14:textId="12E88206">
      <w:pPr>
        <w:pStyle w:val="Lijstalinea"/>
        <w:numPr>
          <w:ilvl w:val="0"/>
          <w:numId w:val="4"/>
        </w:numPr>
      </w:pPr>
      <w:r w:rsidRPr="00A75490">
        <w:rPr>
          <w:b/>
          <w:bCs/>
        </w:rPr>
        <w:t xml:space="preserve">Flexibiliteitsopties binnen heffing </w:t>
      </w:r>
      <w:r w:rsidRPr="003E25E7">
        <w:rPr>
          <w:b/>
          <w:bCs/>
        </w:rPr>
        <w:t>via</w:t>
      </w:r>
      <w:r w:rsidRPr="00A75490">
        <w:rPr>
          <w:b/>
          <w:bCs/>
        </w:rPr>
        <w:t xml:space="preserve"> uitbreiding </w:t>
      </w:r>
      <w:proofErr w:type="spellStart"/>
      <w:r w:rsidRPr="00A75490">
        <w:rPr>
          <w:b/>
          <w:bCs/>
        </w:rPr>
        <w:t>carry</w:t>
      </w:r>
      <w:proofErr w:type="spellEnd"/>
      <w:r w:rsidRPr="00A75490">
        <w:rPr>
          <w:b/>
          <w:bCs/>
        </w:rPr>
        <w:t>-back</w:t>
      </w:r>
      <w:r w:rsidR="00D6443D">
        <w:rPr>
          <w:b/>
          <w:bCs/>
        </w:rPr>
        <w:t xml:space="preserve"> </w:t>
      </w:r>
    </w:p>
    <w:p w:rsidR="00D6443D" w:rsidP="000B69A9" w:rsidRDefault="00D6443D" w14:paraId="7BD4BECB" w14:textId="0856C3D7">
      <w:pPr>
        <w:pStyle w:val="Lijstalinea"/>
        <w:numPr>
          <w:ilvl w:val="1"/>
          <w:numId w:val="4"/>
        </w:numPr>
      </w:pPr>
      <w:r>
        <w:lastRenderedPageBreak/>
        <w:t>E</w:t>
      </w:r>
      <w:r w:rsidRPr="00A75490" w:rsidR="00E350B1">
        <w:t xml:space="preserve">r worden verschillende opties uitgewerkt binnen de CO2-heffing ten behoeve van </w:t>
      </w:r>
      <w:r w:rsidRPr="003E25E7" w:rsidR="00E350B1">
        <w:t>vergroten</w:t>
      </w:r>
      <w:r w:rsidRPr="00A75490" w:rsidR="00E350B1">
        <w:t xml:space="preserve"> handelingsperspectief ter invulling van Motie Erkens</w:t>
      </w:r>
      <w:r>
        <w:t xml:space="preserve"> (verzoek om hardheidsclausule)</w:t>
      </w:r>
      <w:r w:rsidRPr="00A75490" w:rsidR="00E350B1">
        <w:t xml:space="preserve">. </w:t>
      </w:r>
    </w:p>
    <w:p w:rsidRPr="00D6443D" w:rsidR="00E350B1" w:rsidP="000B69A9" w:rsidRDefault="00E350B1" w14:paraId="41FDF3AF" w14:textId="3FC8A3E8">
      <w:pPr>
        <w:pStyle w:val="Lijstalinea"/>
        <w:numPr>
          <w:ilvl w:val="1"/>
          <w:numId w:val="4"/>
        </w:numPr>
      </w:pPr>
      <w:r w:rsidRPr="00A75490">
        <w:t xml:space="preserve">Dit betreft </w:t>
      </w:r>
      <w:r w:rsidR="00D6443D">
        <w:t xml:space="preserve">1. </w:t>
      </w:r>
      <w:r w:rsidRPr="00A75490">
        <w:t>het</w:t>
      </w:r>
      <w:r w:rsidR="00D6443D">
        <w:t xml:space="preserve"> opzetten van een handelsplatform ter bevordering van handel in dispensatierechten en 2.</w:t>
      </w:r>
      <w:r w:rsidRPr="00A75490">
        <w:t xml:space="preserve"> verlengen/versterken van de </w:t>
      </w:r>
      <w:proofErr w:type="spellStart"/>
      <w:r w:rsidRPr="00A75490">
        <w:t>carry</w:t>
      </w:r>
      <w:proofErr w:type="spellEnd"/>
      <w:r w:rsidRPr="00A75490">
        <w:t xml:space="preserve">-back maatregel door </w:t>
      </w:r>
      <w:proofErr w:type="spellStart"/>
      <w:r w:rsidRPr="00A75490">
        <w:t>carry</w:t>
      </w:r>
      <w:proofErr w:type="spellEnd"/>
      <w:r w:rsidRPr="00A75490">
        <w:t>-back ook na 2030 toe te staan en in te kunnen zetten op moment van hoogste waarde</w:t>
      </w:r>
      <w:r w:rsidRPr="003E25E7">
        <w:t>.</w:t>
      </w:r>
      <w:r w:rsidRPr="00A75490">
        <w:t xml:space="preserve"> Zie nadere toelichting in </w:t>
      </w:r>
      <w:r w:rsidRPr="005C10D4">
        <w:rPr>
          <w:u w:val="single"/>
        </w:rPr>
        <w:t>bijlage 1.</w:t>
      </w:r>
    </w:p>
    <w:p w:rsidR="005C10D4" w:rsidP="00D6443D" w:rsidRDefault="005C10D4" w14:paraId="7F64B788" w14:textId="77777777">
      <w:pPr>
        <w:rPr>
          <w:b/>
          <w:bCs/>
          <w:szCs w:val="18"/>
        </w:rPr>
      </w:pPr>
    </w:p>
    <w:p w:rsidRPr="005C10D4" w:rsidR="00E350B1" w:rsidP="00D6443D" w:rsidRDefault="00E350B1" w14:paraId="610AADBC" w14:textId="1C3A3089">
      <w:pPr>
        <w:rPr>
          <w:b/>
          <w:bCs/>
          <w:szCs w:val="18"/>
          <w:u w:val="single"/>
        </w:rPr>
      </w:pPr>
      <w:r w:rsidRPr="005C10D4">
        <w:rPr>
          <w:b/>
          <w:bCs/>
          <w:szCs w:val="18"/>
        </w:rPr>
        <w:t xml:space="preserve">2b. </w:t>
      </w:r>
      <w:r w:rsidRPr="005C10D4">
        <w:rPr>
          <w:b/>
          <w:bCs/>
          <w:szCs w:val="18"/>
          <w:u w:val="single"/>
        </w:rPr>
        <w:t>Normering fossiele warmte opwek</w:t>
      </w:r>
    </w:p>
    <w:p w:rsidRPr="005C10D4" w:rsidR="00E350B1" w:rsidP="006300AE" w:rsidRDefault="00E350B1" w14:paraId="71B7F96F" w14:textId="77777777">
      <w:pPr>
        <w:pStyle w:val="Lijstalinea"/>
        <w:numPr>
          <w:ilvl w:val="0"/>
          <w:numId w:val="23"/>
        </w:numPr>
        <w:pBdr>
          <w:top w:val="single" w:color="auto" w:sz="4" w:space="1"/>
          <w:left w:val="single" w:color="auto" w:sz="4" w:space="4"/>
          <w:bottom w:val="single" w:color="auto" w:sz="4" w:space="0"/>
          <w:right w:val="single" w:color="auto" w:sz="4" w:space="4"/>
        </w:pBdr>
        <w:rPr>
          <w:b/>
          <w:bCs/>
          <w:i/>
          <w:iCs/>
          <w:szCs w:val="18"/>
        </w:rPr>
      </w:pPr>
      <w:r w:rsidRPr="005C10D4">
        <w:rPr>
          <w:i/>
          <w:iCs/>
          <w:szCs w:val="18"/>
        </w:rPr>
        <w:t xml:space="preserve">Bespreekpunt: overeenstemming bereiken dat deze maatregel zal worden uitgewerkt voor volgend BWO. </w:t>
      </w:r>
    </w:p>
    <w:p w:rsidRPr="006300AE" w:rsidR="00E350B1" w:rsidP="000B69A9" w:rsidRDefault="00E350B1" w14:paraId="39E905FE" w14:textId="77777777">
      <w:pPr>
        <w:pStyle w:val="Lijstalinea"/>
        <w:numPr>
          <w:ilvl w:val="0"/>
          <w:numId w:val="23"/>
        </w:numPr>
        <w:rPr>
          <w:szCs w:val="18"/>
        </w:rPr>
      </w:pPr>
      <w:r w:rsidRPr="006300AE">
        <w:rPr>
          <w:szCs w:val="18"/>
        </w:rPr>
        <w:t>VI werkt samen met VRO aan de uitwerking van deze maatregel om invulling te geven aan dit beleidsvoorstel uit VJN23.</w:t>
      </w:r>
    </w:p>
    <w:p w:rsidRPr="006300AE" w:rsidR="00E350B1" w:rsidP="000B69A9" w:rsidRDefault="00E350B1" w14:paraId="3B97C60D" w14:textId="77777777">
      <w:pPr>
        <w:pStyle w:val="Lijstalinea"/>
        <w:numPr>
          <w:ilvl w:val="0"/>
          <w:numId w:val="23"/>
        </w:numPr>
        <w:rPr>
          <w:szCs w:val="18"/>
        </w:rPr>
      </w:pPr>
      <w:r w:rsidRPr="006300AE">
        <w:rPr>
          <w:szCs w:val="18"/>
        </w:rPr>
        <w:t>De normering moet namelijk verwerkt worden via wetgeving bij VRO.</w:t>
      </w:r>
    </w:p>
    <w:p w:rsidR="00E350B1" w:rsidP="000B69A9" w:rsidRDefault="00E350B1" w14:paraId="4895C653" w14:textId="77777777">
      <w:pPr>
        <w:pStyle w:val="Lijstalinea"/>
        <w:numPr>
          <w:ilvl w:val="0"/>
          <w:numId w:val="23"/>
        </w:numPr>
        <w:rPr>
          <w:szCs w:val="18"/>
        </w:rPr>
      </w:pPr>
      <w:r w:rsidRPr="00D2410D">
        <w:rPr>
          <w:szCs w:val="18"/>
        </w:rPr>
        <w:t>Het gaat hierbij om een</w:t>
      </w:r>
      <w:r>
        <w:rPr>
          <w:szCs w:val="18"/>
        </w:rPr>
        <w:t xml:space="preserve"> maatregel die oorspronkelijk de inzet van E-boilers normeerde, maar is veralgemeniseerd tot een</w:t>
      </w:r>
      <w:r w:rsidRPr="00D2410D">
        <w:rPr>
          <w:szCs w:val="18"/>
        </w:rPr>
        <w:t xml:space="preserve"> verbod op de inzet van fossiele brandstoffen in verwarmingsprocessen zonder afvang bij uitbreiding, nieuwbouw en vervanging van industriële productie-installaties</w:t>
      </w:r>
      <w:r>
        <w:rPr>
          <w:szCs w:val="18"/>
        </w:rPr>
        <w:t xml:space="preserve"> zonder CO2-afvang</w:t>
      </w:r>
      <w:r w:rsidRPr="00D2410D">
        <w:rPr>
          <w:szCs w:val="18"/>
        </w:rPr>
        <w:t xml:space="preserve">. </w:t>
      </w:r>
    </w:p>
    <w:p w:rsidR="00E350B1" w:rsidP="000B69A9" w:rsidRDefault="00E350B1" w14:paraId="34E643AE" w14:textId="77777777">
      <w:pPr>
        <w:pStyle w:val="Lijstalinea"/>
        <w:numPr>
          <w:ilvl w:val="0"/>
          <w:numId w:val="23"/>
        </w:numPr>
        <w:rPr>
          <w:szCs w:val="18"/>
        </w:rPr>
      </w:pPr>
      <w:r w:rsidRPr="00D2410D">
        <w:rPr>
          <w:szCs w:val="18"/>
        </w:rPr>
        <w:t>Dat betekent een verbod op het primair gebruik van fossiele brandstoffen zonder afvang. Alternatieve technieken die uitkomst zouden kunnen bieden na het voorgestelde verbod zijn elektrificatie, inzet van waterstof of waterstofderivaten, restwarmte, biobrandstoffen of CCS(U).</w:t>
      </w:r>
    </w:p>
    <w:p w:rsidR="00E350B1" w:rsidP="000B69A9" w:rsidRDefault="00E350B1" w14:paraId="00BF48C6" w14:textId="77777777">
      <w:pPr>
        <w:pStyle w:val="Lijstalinea"/>
        <w:numPr>
          <w:ilvl w:val="0"/>
          <w:numId w:val="23"/>
        </w:numPr>
        <w:rPr>
          <w:szCs w:val="18"/>
        </w:rPr>
      </w:pPr>
      <w:r w:rsidRPr="00BE2350">
        <w:rPr>
          <w:szCs w:val="18"/>
        </w:rPr>
        <w:t>H</w:t>
      </w:r>
      <w:r>
        <w:rPr>
          <w:szCs w:val="18"/>
        </w:rPr>
        <w:t>et verbod dient</w:t>
      </w:r>
      <w:r w:rsidRPr="00996F14">
        <w:rPr>
          <w:szCs w:val="18"/>
        </w:rPr>
        <w:t xml:space="preserve"> </w:t>
      </w:r>
      <w:r>
        <w:rPr>
          <w:szCs w:val="18"/>
        </w:rPr>
        <w:t xml:space="preserve">als </w:t>
      </w:r>
      <w:r w:rsidRPr="00996F14">
        <w:rPr>
          <w:szCs w:val="18"/>
        </w:rPr>
        <w:t xml:space="preserve">een finale stok achter de deur en geeft de markt zekerheid over de eindigheid van investeren in fossiele stooktechnieken. </w:t>
      </w:r>
    </w:p>
    <w:p w:rsidRPr="00D6443D" w:rsidR="00E350B1" w:rsidP="000B69A9" w:rsidRDefault="00E350B1" w14:paraId="4B7D416B" w14:textId="70C606E9">
      <w:pPr>
        <w:pStyle w:val="Lijstalinea"/>
        <w:numPr>
          <w:ilvl w:val="0"/>
          <w:numId w:val="23"/>
        </w:numPr>
        <w:rPr>
          <w:szCs w:val="18"/>
        </w:rPr>
      </w:pPr>
      <w:r>
        <w:rPr>
          <w:szCs w:val="18"/>
        </w:rPr>
        <w:t>Deze maatregel levert naar verwachting geen CO2-reductie op voor 2030.</w:t>
      </w:r>
    </w:p>
    <w:p w:rsidRPr="00BE2350" w:rsidR="00E350B1" w:rsidP="00E350B1" w:rsidRDefault="00E350B1" w14:paraId="1F437645" w14:textId="77777777">
      <w:pPr>
        <w:rPr>
          <w:b/>
          <w:bCs/>
          <w:szCs w:val="18"/>
          <w:u w:val="single"/>
        </w:rPr>
      </w:pPr>
    </w:p>
    <w:p w:rsidR="00E350B1" w:rsidP="005C10D4" w:rsidRDefault="00E350B1" w14:paraId="7A1D0B15" w14:textId="0BAE7B56">
      <w:pPr>
        <w:rPr>
          <w:b/>
          <w:bCs/>
          <w:szCs w:val="18"/>
        </w:rPr>
      </w:pPr>
      <w:r w:rsidRPr="00CB4250">
        <w:rPr>
          <w:b/>
          <w:bCs/>
          <w:szCs w:val="18"/>
        </w:rPr>
        <w:t>2</w:t>
      </w:r>
      <w:r>
        <w:rPr>
          <w:b/>
          <w:bCs/>
          <w:szCs w:val="18"/>
        </w:rPr>
        <w:t>c</w:t>
      </w:r>
      <w:r w:rsidRPr="00CB4250">
        <w:rPr>
          <w:b/>
          <w:bCs/>
          <w:szCs w:val="18"/>
        </w:rPr>
        <w:t xml:space="preserve">. </w:t>
      </w:r>
      <w:r w:rsidRPr="005C10D4">
        <w:rPr>
          <w:b/>
          <w:bCs/>
          <w:szCs w:val="18"/>
          <w:u w:val="single"/>
        </w:rPr>
        <w:t>Ter info - Aanscherping energiebelasting aardgas</w:t>
      </w:r>
      <w:r w:rsidR="005C10D4">
        <w:rPr>
          <w:b/>
          <w:bCs/>
          <w:szCs w:val="18"/>
          <w:u w:val="single"/>
        </w:rPr>
        <w:t xml:space="preserve"> </w:t>
      </w:r>
      <w:r w:rsidRPr="005C10D4">
        <w:rPr>
          <w:b/>
          <w:bCs/>
          <w:szCs w:val="18"/>
          <w:u w:val="single"/>
        </w:rPr>
        <w:t>ETS2</w:t>
      </w:r>
      <w:r w:rsidR="005C10D4">
        <w:rPr>
          <w:b/>
          <w:bCs/>
          <w:szCs w:val="18"/>
          <w:u w:val="single"/>
        </w:rPr>
        <w:t xml:space="preserve"> </w:t>
      </w:r>
      <w:r w:rsidRPr="005C10D4">
        <w:rPr>
          <w:b/>
          <w:bCs/>
          <w:szCs w:val="18"/>
          <w:u w:val="single"/>
        </w:rPr>
        <w:t>industrie</w:t>
      </w:r>
    </w:p>
    <w:p w:rsidRPr="006300AE" w:rsidR="00E350B1" w:rsidP="000B69A9" w:rsidRDefault="00E350B1" w14:paraId="473F128C" w14:textId="77777777">
      <w:pPr>
        <w:pStyle w:val="Lijstalinea"/>
        <w:numPr>
          <w:ilvl w:val="0"/>
          <w:numId w:val="24"/>
        </w:numPr>
        <w:rPr>
          <w:szCs w:val="18"/>
        </w:rPr>
      </w:pPr>
      <w:r w:rsidRPr="005C10D4">
        <w:rPr>
          <w:szCs w:val="18"/>
        </w:rPr>
        <w:t xml:space="preserve">Maatvoering en CO2-effect wordt onderzocht in een apart onderzoek </w:t>
      </w:r>
      <w:r w:rsidRPr="006300AE">
        <w:rPr>
          <w:szCs w:val="18"/>
        </w:rPr>
        <w:t xml:space="preserve">uitgevoerd in opdracht van FIN door onderzoeksbureau </w:t>
      </w:r>
      <w:proofErr w:type="spellStart"/>
      <w:r w:rsidRPr="006300AE">
        <w:rPr>
          <w:szCs w:val="18"/>
        </w:rPr>
        <w:t>Kalavasta</w:t>
      </w:r>
      <w:proofErr w:type="spellEnd"/>
      <w:r w:rsidRPr="006300AE">
        <w:rPr>
          <w:szCs w:val="18"/>
        </w:rPr>
        <w:t>.</w:t>
      </w:r>
    </w:p>
    <w:p w:rsidRPr="006300AE" w:rsidR="00E350B1" w:rsidP="000B69A9" w:rsidRDefault="00E350B1" w14:paraId="54CF6C43" w14:textId="6246963D">
      <w:pPr>
        <w:pStyle w:val="Lijstalinea"/>
        <w:numPr>
          <w:ilvl w:val="0"/>
          <w:numId w:val="24"/>
        </w:numPr>
        <w:rPr>
          <w:b/>
          <w:bCs/>
          <w:u w:val="single"/>
        </w:rPr>
      </w:pPr>
      <w:r w:rsidRPr="006300AE">
        <w:rPr>
          <w:szCs w:val="18"/>
        </w:rPr>
        <w:t xml:space="preserve">Betrokken directies KGG zitten in de klankbordgroep van het onderzoek. </w:t>
      </w:r>
    </w:p>
    <w:p w:rsidRPr="00CB4250" w:rsidR="00E350B1" w:rsidP="00E350B1" w:rsidRDefault="00E350B1" w14:paraId="296C2D00" w14:textId="77777777">
      <w:pPr>
        <w:rPr>
          <w:b/>
          <w:bCs/>
          <w:szCs w:val="18"/>
          <w:u w:val="single"/>
        </w:rPr>
      </w:pPr>
    </w:p>
    <w:p w:rsidRPr="005C10D4" w:rsidR="00E350B1" w:rsidP="000B69A9" w:rsidRDefault="00E350B1" w14:paraId="4AFD0D62" w14:textId="07C19192">
      <w:pPr>
        <w:pStyle w:val="Lijstalinea"/>
        <w:numPr>
          <w:ilvl w:val="0"/>
          <w:numId w:val="7"/>
        </w:numPr>
        <w:rPr>
          <w:b/>
          <w:bCs/>
          <w:szCs w:val="18"/>
          <w:u w:val="single"/>
        </w:rPr>
      </w:pPr>
      <w:r w:rsidRPr="005C10D4">
        <w:rPr>
          <w:b/>
          <w:bCs/>
          <w:szCs w:val="18"/>
          <w:u w:val="single"/>
        </w:rPr>
        <w:t>Vervolgproces</w:t>
      </w:r>
    </w:p>
    <w:p w:rsidRPr="005C10D4" w:rsidR="00E350B1" w:rsidP="000B69A9" w:rsidRDefault="00E350B1" w14:paraId="68F74C54" w14:textId="77777777">
      <w:pPr>
        <w:pStyle w:val="Lijstalinea"/>
        <w:numPr>
          <w:ilvl w:val="0"/>
          <w:numId w:val="25"/>
        </w:numPr>
        <w:pBdr>
          <w:top w:val="single" w:color="auto" w:sz="4" w:space="1"/>
          <w:left w:val="single" w:color="auto" w:sz="4" w:space="4"/>
          <w:bottom w:val="single" w:color="auto" w:sz="4" w:space="1"/>
          <w:right w:val="single" w:color="auto" w:sz="4" w:space="4"/>
        </w:pBdr>
        <w:rPr>
          <w:i/>
          <w:iCs/>
        </w:rPr>
      </w:pPr>
      <w:r w:rsidRPr="005C10D4">
        <w:rPr>
          <w:i/>
          <w:iCs/>
        </w:rPr>
        <w:t>Bespreekpunt: Concluderen tot welke uitkomsten dit BWO heeft geleid en stil staan bij kennisnemen van vervolg proces</w:t>
      </w:r>
    </w:p>
    <w:p w:rsidRPr="007A61DA" w:rsidR="00E350B1" w:rsidP="000B69A9" w:rsidRDefault="00E350B1" w14:paraId="723829A6" w14:textId="77777777">
      <w:pPr>
        <w:pStyle w:val="Lijstalinea"/>
        <w:numPr>
          <w:ilvl w:val="0"/>
          <w:numId w:val="25"/>
        </w:numPr>
        <w:spacing w:after="160" w:line="259" w:lineRule="auto"/>
      </w:pPr>
      <w:r w:rsidRPr="007A61DA">
        <w:t xml:space="preserve">Er </w:t>
      </w:r>
      <w:r>
        <w:t>was</w:t>
      </w:r>
      <w:r w:rsidRPr="007A61DA">
        <w:t xml:space="preserve"> op 4 februari een breed BWO met alle vakministers over het proces en inzet VJB.</w:t>
      </w:r>
    </w:p>
    <w:p w:rsidRPr="007A61DA" w:rsidR="00E350B1" w:rsidP="000B69A9" w:rsidRDefault="00E350B1" w14:paraId="6FA2BE29" w14:textId="77777777">
      <w:pPr>
        <w:pStyle w:val="Lijstalinea"/>
        <w:numPr>
          <w:ilvl w:val="0"/>
          <w:numId w:val="25"/>
        </w:numPr>
        <w:spacing w:after="160" w:line="259" w:lineRule="auto"/>
      </w:pPr>
      <w:r w:rsidRPr="007A61DA">
        <w:t>Komende weken worden</w:t>
      </w:r>
      <w:r>
        <w:t>, afhankelijk van gemaakte afspraken in dit BWO,</w:t>
      </w:r>
      <w:r w:rsidRPr="007A61DA">
        <w:t xml:space="preserve"> maatregelen ambtelijk verder uitgewerkt t.b.v. besluitvorming </w:t>
      </w:r>
      <w:r>
        <w:t xml:space="preserve">dit </w:t>
      </w:r>
      <w:r w:rsidRPr="007A61DA">
        <w:t>voorjaar.</w:t>
      </w:r>
    </w:p>
    <w:p w:rsidRPr="007A61DA" w:rsidR="00E350B1" w:rsidP="000B69A9" w:rsidRDefault="00E350B1" w14:paraId="51662AA6" w14:textId="77777777">
      <w:pPr>
        <w:pStyle w:val="Lijstalinea"/>
        <w:numPr>
          <w:ilvl w:val="0"/>
          <w:numId w:val="25"/>
        </w:numPr>
        <w:spacing w:after="160" w:line="259" w:lineRule="auto"/>
      </w:pPr>
      <w:r w:rsidRPr="007A61DA">
        <w:t>Relevante input van externe partijen</w:t>
      </w:r>
      <w:r>
        <w:t xml:space="preserve"> en stakeholders</w:t>
      </w:r>
      <w:r w:rsidRPr="007A61DA">
        <w:t xml:space="preserve"> wordt hierin meegenomen</w:t>
      </w:r>
      <w:r>
        <w:t>.</w:t>
      </w:r>
    </w:p>
    <w:p w:rsidRPr="007A61DA" w:rsidR="00E350B1" w:rsidP="000B69A9" w:rsidRDefault="00E350B1" w14:paraId="577EF09B" w14:textId="77777777">
      <w:pPr>
        <w:pStyle w:val="Lijstalinea"/>
        <w:numPr>
          <w:ilvl w:val="0"/>
          <w:numId w:val="25"/>
        </w:numPr>
        <w:spacing w:after="160" w:line="259" w:lineRule="auto"/>
      </w:pPr>
      <w:r w:rsidRPr="007A61DA">
        <w:t xml:space="preserve">In maart zal er nog een BWO met MKGG, </w:t>
      </w:r>
      <w:r>
        <w:t>S</w:t>
      </w:r>
      <w:r w:rsidRPr="007A61DA">
        <w:t xml:space="preserve">FIN zijn om maatregelenpakketten met alternatief beleid voor de </w:t>
      </w:r>
      <w:r>
        <w:t>industrie</w:t>
      </w:r>
      <w:r w:rsidRPr="007A61DA">
        <w:t xml:space="preserve"> vast te stellen.</w:t>
      </w:r>
    </w:p>
    <w:p w:rsidRPr="005F5B49" w:rsidR="005F5B49" w:rsidP="000B69A9" w:rsidRDefault="00E350B1" w14:paraId="1AEE3E41" w14:textId="77777777">
      <w:pPr>
        <w:pStyle w:val="Lijstalinea"/>
        <w:numPr>
          <w:ilvl w:val="0"/>
          <w:numId w:val="25"/>
        </w:numPr>
        <w:spacing w:after="160" w:line="259" w:lineRule="auto"/>
        <w:rPr>
          <w:i/>
          <w:iCs/>
        </w:rPr>
      </w:pPr>
      <w:r w:rsidRPr="007A61DA">
        <w:t>In april zullen de uitkomsten worden verwerkt in</w:t>
      </w:r>
      <w:r>
        <w:t xml:space="preserve"> de</w:t>
      </w:r>
      <w:r w:rsidRPr="007A61DA">
        <w:t xml:space="preserve"> Voorjaarsnota voor TK.</w:t>
      </w:r>
    </w:p>
    <w:p w:rsidR="005C10D4" w:rsidP="005F5B49" w:rsidRDefault="005C10D4" w14:paraId="20C5DD4E" w14:textId="77777777">
      <w:pPr>
        <w:pStyle w:val="Lijstalinea"/>
        <w:spacing w:after="160" w:line="259" w:lineRule="auto"/>
        <w:ind w:left="0"/>
        <w:rPr>
          <w:b/>
          <w:bCs/>
        </w:rPr>
      </w:pPr>
    </w:p>
    <w:p w:rsidR="005C10D4" w:rsidP="005F5B49" w:rsidRDefault="005C10D4" w14:paraId="4AC49AD8" w14:textId="77777777">
      <w:pPr>
        <w:pStyle w:val="Lijstalinea"/>
        <w:spacing w:after="160" w:line="259" w:lineRule="auto"/>
        <w:ind w:left="0"/>
        <w:rPr>
          <w:b/>
          <w:bCs/>
        </w:rPr>
      </w:pPr>
    </w:p>
    <w:p w:rsidR="005C10D4" w:rsidP="005F5B49" w:rsidRDefault="005C10D4" w14:paraId="7D0DE79F" w14:textId="77777777">
      <w:pPr>
        <w:pStyle w:val="Lijstalinea"/>
        <w:spacing w:after="160" w:line="259" w:lineRule="auto"/>
        <w:ind w:left="0"/>
        <w:rPr>
          <w:b/>
          <w:bCs/>
        </w:rPr>
      </w:pPr>
    </w:p>
    <w:p w:rsidR="005C10D4" w:rsidP="005F5B49" w:rsidRDefault="005C10D4" w14:paraId="71BC61BD" w14:textId="77777777">
      <w:pPr>
        <w:pStyle w:val="Lijstalinea"/>
        <w:spacing w:after="160" w:line="259" w:lineRule="auto"/>
        <w:ind w:left="0"/>
        <w:rPr>
          <w:b/>
          <w:bCs/>
        </w:rPr>
      </w:pPr>
    </w:p>
    <w:p w:rsidR="005C10D4" w:rsidP="005F5B49" w:rsidRDefault="005C10D4" w14:paraId="33B97180" w14:textId="77777777">
      <w:pPr>
        <w:pStyle w:val="Lijstalinea"/>
        <w:spacing w:after="160" w:line="259" w:lineRule="auto"/>
        <w:ind w:left="0"/>
        <w:rPr>
          <w:b/>
          <w:bCs/>
        </w:rPr>
      </w:pPr>
    </w:p>
    <w:p w:rsidRPr="005F5B49" w:rsidR="00711DF6" w:rsidP="005F5B49" w:rsidRDefault="005F5B49" w14:paraId="65D0D868" w14:textId="4EA8906C">
      <w:pPr>
        <w:pStyle w:val="Lijstalinea"/>
        <w:spacing w:after="160" w:line="259" w:lineRule="auto"/>
        <w:ind w:left="0"/>
        <w:rPr>
          <w:i/>
          <w:iCs/>
        </w:rPr>
      </w:pPr>
      <w:r w:rsidRPr="005F5B49">
        <w:rPr>
          <w:b/>
          <w:bCs/>
        </w:rPr>
        <w:lastRenderedPageBreak/>
        <w:t xml:space="preserve">TABELLEN </w:t>
      </w:r>
    </w:p>
    <w:p w:rsidR="007075B1" w:rsidP="00B1021F" w:rsidRDefault="007075B1" w14:paraId="180AF5EF" w14:textId="77777777">
      <w:pPr>
        <w:rPr>
          <w:szCs w:val="18"/>
        </w:rPr>
      </w:pPr>
    </w:p>
    <w:tbl>
      <w:tblPr>
        <w:tblStyle w:val="Tabelrasterlicht"/>
        <w:tblW w:w="11199" w:type="dxa"/>
        <w:tblInd w:w="-1281" w:type="dxa"/>
        <w:tblLayout w:type="fixed"/>
        <w:tblLook w:val="04A0" w:firstRow="1" w:lastRow="0" w:firstColumn="1" w:lastColumn="0" w:noHBand="0" w:noVBand="1"/>
      </w:tblPr>
      <w:tblGrid>
        <w:gridCol w:w="3403"/>
        <w:gridCol w:w="1134"/>
        <w:gridCol w:w="1023"/>
        <w:gridCol w:w="2946"/>
        <w:gridCol w:w="2693"/>
      </w:tblGrid>
      <w:tr w:rsidRPr="0062528F" w:rsidR="005F5B49" w:rsidTr="005F5B49" w14:paraId="0D7D8FF9" w14:textId="77777777">
        <w:trPr>
          <w:trHeight w:val="397"/>
        </w:trPr>
        <w:tc>
          <w:tcPr>
            <w:tcW w:w="3403" w:type="dxa"/>
            <w:shd w:val="clear" w:color="auto" w:fill="8DB3E2" w:themeFill="text2" w:themeFillTint="66"/>
            <w:hideMark/>
          </w:tcPr>
          <w:p w:rsidRPr="005F5B49" w:rsidR="005F5B49" w:rsidP="00FF5E4B" w:rsidRDefault="005F5B49" w14:paraId="61BF747E" w14:textId="633A7870">
            <w:pPr>
              <w:rPr>
                <w:rFonts w:cstheme="minorHAnsi"/>
                <w:b/>
                <w:bCs/>
                <w:sz w:val="15"/>
                <w:szCs w:val="15"/>
              </w:rPr>
            </w:pPr>
            <w:r w:rsidRPr="005F5B49">
              <w:rPr>
                <w:rFonts w:cstheme="minorHAnsi"/>
                <w:b/>
                <w:bCs/>
                <w:sz w:val="15"/>
                <w:szCs w:val="15"/>
              </w:rPr>
              <w:t xml:space="preserve">Tabel 1. Voorstel SECTOR INDUSTRIE </w:t>
            </w:r>
            <w:r w:rsidRPr="006300AE">
              <w:rPr>
                <w:rFonts w:cstheme="minorHAnsi"/>
                <w:b/>
                <w:bCs/>
                <w:sz w:val="15"/>
                <w:szCs w:val="15"/>
              </w:rPr>
              <w:t>– Directie Verduurzaming Industrie (excl. Klimaatfonds)</w:t>
            </w:r>
          </w:p>
        </w:tc>
        <w:tc>
          <w:tcPr>
            <w:tcW w:w="1134" w:type="dxa"/>
            <w:shd w:val="clear" w:color="auto" w:fill="8DB3E2" w:themeFill="text2" w:themeFillTint="66"/>
            <w:hideMark/>
          </w:tcPr>
          <w:p w:rsidRPr="005F5B49" w:rsidR="005F5B49" w:rsidP="00FF5E4B" w:rsidRDefault="005F5B49" w14:paraId="08E4F2B9" w14:textId="77777777">
            <w:pPr>
              <w:rPr>
                <w:rFonts w:cstheme="minorHAnsi"/>
                <w:b/>
                <w:bCs/>
                <w:sz w:val="15"/>
                <w:szCs w:val="15"/>
              </w:rPr>
            </w:pPr>
            <w:proofErr w:type="spellStart"/>
            <w:r w:rsidRPr="005F5B49">
              <w:rPr>
                <w:rFonts w:cstheme="minorHAnsi"/>
                <w:b/>
                <w:bCs/>
                <w:sz w:val="15"/>
                <w:szCs w:val="15"/>
              </w:rPr>
              <w:t>Potentiele</w:t>
            </w:r>
            <w:proofErr w:type="spellEnd"/>
            <w:r w:rsidRPr="005F5B49">
              <w:rPr>
                <w:rFonts w:cstheme="minorHAnsi"/>
                <w:b/>
                <w:bCs/>
                <w:sz w:val="15"/>
                <w:szCs w:val="15"/>
              </w:rPr>
              <w:t xml:space="preserve"> </w:t>
            </w:r>
            <w:proofErr w:type="spellStart"/>
            <w:r w:rsidRPr="005F5B49">
              <w:rPr>
                <w:rFonts w:cstheme="minorHAnsi"/>
                <w:b/>
                <w:bCs/>
                <w:sz w:val="15"/>
                <w:szCs w:val="15"/>
              </w:rPr>
              <w:t>Mton</w:t>
            </w:r>
            <w:proofErr w:type="spellEnd"/>
            <w:r w:rsidRPr="005F5B49">
              <w:rPr>
                <w:rFonts w:cstheme="minorHAnsi"/>
                <w:b/>
                <w:bCs/>
                <w:sz w:val="15"/>
                <w:szCs w:val="15"/>
              </w:rPr>
              <w:t> in 2030</w:t>
            </w:r>
          </w:p>
        </w:tc>
        <w:tc>
          <w:tcPr>
            <w:tcW w:w="1023" w:type="dxa"/>
            <w:shd w:val="clear" w:color="auto" w:fill="8DB3E2" w:themeFill="text2" w:themeFillTint="66"/>
            <w:hideMark/>
          </w:tcPr>
          <w:p w:rsidRPr="005F5B49" w:rsidR="005F5B49" w:rsidP="00FF5E4B" w:rsidRDefault="005F5B49" w14:paraId="52405ABA" w14:textId="77777777">
            <w:pPr>
              <w:rPr>
                <w:rFonts w:cstheme="minorHAnsi"/>
                <w:b/>
                <w:bCs/>
                <w:sz w:val="15"/>
                <w:szCs w:val="15"/>
                <w:lang w:val="en-US"/>
              </w:rPr>
            </w:pPr>
            <w:r w:rsidRPr="005F5B49">
              <w:rPr>
                <w:rFonts w:cstheme="minorHAnsi"/>
                <w:b/>
                <w:bCs/>
                <w:sz w:val="15"/>
                <w:szCs w:val="15"/>
                <w:lang w:val="en-US"/>
              </w:rPr>
              <w:t>PJ in 2030</w:t>
            </w:r>
          </w:p>
        </w:tc>
        <w:tc>
          <w:tcPr>
            <w:tcW w:w="2946" w:type="dxa"/>
            <w:shd w:val="clear" w:color="auto" w:fill="8DB3E2" w:themeFill="text2" w:themeFillTint="66"/>
          </w:tcPr>
          <w:p w:rsidRPr="005F5B49" w:rsidR="005F5B49" w:rsidP="00FF5E4B" w:rsidRDefault="005F5B49" w14:paraId="09E58244" w14:textId="77777777">
            <w:pPr>
              <w:rPr>
                <w:rFonts w:cstheme="minorHAnsi"/>
                <w:b/>
                <w:bCs/>
                <w:sz w:val="15"/>
                <w:szCs w:val="15"/>
              </w:rPr>
            </w:pPr>
            <w:r w:rsidRPr="005F5B49">
              <w:rPr>
                <w:rFonts w:cstheme="minorHAnsi"/>
                <w:b/>
                <w:bCs/>
                <w:sz w:val="15"/>
                <w:szCs w:val="15"/>
              </w:rPr>
              <w:t>Toelichting reductie</w:t>
            </w:r>
          </w:p>
        </w:tc>
        <w:tc>
          <w:tcPr>
            <w:tcW w:w="2693" w:type="dxa"/>
            <w:shd w:val="clear" w:color="auto" w:fill="8DB3E2" w:themeFill="text2" w:themeFillTint="66"/>
            <w:hideMark/>
          </w:tcPr>
          <w:p w:rsidRPr="005F5B49" w:rsidR="005F5B49" w:rsidP="00FF5E4B" w:rsidRDefault="005F5B49" w14:paraId="44C3255F" w14:textId="77777777">
            <w:pPr>
              <w:rPr>
                <w:rFonts w:cstheme="minorHAnsi"/>
                <w:b/>
                <w:bCs/>
                <w:sz w:val="15"/>
                <w:szCs w:val="15"/>
                <w:lang w:val="en-US"/>
              </w:rPr>
            </w:pPr>
            <w:r w:rsidRPr="005F5B49">
              <w:rPr>
                <w:rFonts w:cstheme="minorHAnsi"/>
                <w:b/>
                <w:bCs/>
                <w:sz w:val="15"/>
                <w:szCs w:val="15"/>
              </w:rPr>
              <w:t>Aandachtspunten</w:t>
            </w:r>
          </w:p>
        </w:tc>
      </w:tr>
      <w:tr w:rsidRPr="0062528F" w:rsidR="005F5B49" w:rsidTr="005F5B49" w14:paraId="7277399E" w14:textId="77777777">
        <w:trPr>
          <w:trHeight w:val="2200"/>
        </w:trPr>
        <w:tc>
          <w:tcPr>
            <w:tcW w:w="3403" w:type="dxa"/>
            <w:hideMark/>
          </w:tcPr>
          <w:p w:rsidRPr="002B1D16" w:rsidR="005F5B49" w:rsidP="00FF5E4B" w:rsidRDefault="005F5B49" w14:paraId="2508EA7F" w14:textId="77777777">
            <w:pPr>
              <w:rPr>
                <w:rFonts w:cstheme="minorHAnsi"/>
                <w:sz w:val="13"/>
                <w:szCs w:val="13"/>
              </w:rPr>
            </w:pPr>
            <w:r w:rsidRPr="002B1D16">
              <w:rPr>
                <w:rFonts w:cstheme="minorHAnsi"/>
                <w:sz w:val="13"/>
                <w:szCs w:val="13"/>
              </w:rPr>
              <w:t>Negatieve emissies </w:t>
            </w:r>
            <w:proofErr w:type="spellStart"/>
            <w:r w:rsidRPr="002B1D16">
              <w:rPr>
                <w:rFonts w:cstheme="minorHAnsi"/>
                <w:sz w:val="13"/>
                <w:szCs w:val="13"/>
              </w:rPr>
              <w:t>AVI’s</w:t>
            </w:r>
            <w:proofErr w:type="spellEnd"/>
          </w:p>
          <w:p w:rsidRPr="002B1D16" w:rsidR="005F5B49" w:rsidP="00FF5E4B" w:rsidRDefault="005F5B49" w14:paraId="6218D5F6" w14:textId="77777777">
            <w:pPr>
              <w:rPr>
                <w:rFonts w:cstheme="minorHAnsi"/>
                <w:sz w:val="13"/>
                <w:szCs w:val="13"/>
              </w:rPr>
            </w:pPr>
            <w:r w:rsidRPr="002B1D16">
              <w:rPr>
                <w:rFonts w:cstheme="minorHAnsi"/>
                <w:sz w:val="13"/>
                <w:szCs w:val="13"/>
              </w:rPr>
              <w:t>Twee opties:</w:t>
            </w:r>
          </w:p>
          <w:p w:rsidRPr="002B1D16" w:rsidR="005F5B49" w:rsidP="000B69A9" w:rsidRDefault="005F5B49" w14:paraId="6DD537AC" w14:textId="77777777">
            <w:pPr>
              <w:numPr>
                <w:ilvl w:val="0"/>
                <w:numId w:val="10"/>
              </w:numPr>
              <w:rPr>
                <w:rFonts w:cstheme="minorHAnsi"/>
                <w:sz w:val="13"/>
                <w:szCs w:val="13"/>
              </w:rPr>
            </w:pPr>
            <w:r w:rsidRPr="002B1D16">
              <w:rPr>
                <w:rFonts w:cstheme="minorHAnsi"/>
                <w:sz w:val="13"/>
                <w:szCs w:val="13"/>
              </w:rPr>
              <w:t>Financiële prikkel/subsidiëring gefinancierd uit oormerking inkomsten CO2 heffing ten behoeve negatieve emissies AVI;</w:t>
            </w:r>
          </w:p>
          <w:p w:rsidRPr="002B1D16" w:rsidR="005F5B49" w:rsidP="000B69A9" w:rsidRDefault="005F5B49" w14:paraId="27C5C49C" w14:textId="77777777">
            <w:pPr>
              <w:numPr>
                <w:ilvl w:val="0"/>
                <w:numId w:val="10"/>
              </w:numPr>
              <w:rPr>
                <w:rFonts w:cstheme="minorHAnsi"/>
                <w:sz w:val="13"/>
                <w:szCs w:val="13"/>
              </w:rPr>
            </w:pPr>
            <w:r w:rsidRPr="002B1D16">
              <w:rPr>
                <w:rFonts w:cstheme="minorHAnsi"/>
                <w:sz w:val="13"/>
                <w:szCs w:val="13"/>
              </w:rPr>
              <w:t>Subsidie via SDE++ wijzigen ten behoeve van negatieve emissies AVI</w:t>
            </w:r>
          </w:p>
        </w:tc>
        <w:tc>
          <w:tcPr>
            <w:tcW w:w="1134" w:type="dxa"/>
            <w:hideMark/>
          </w:tcPr>
          <w:p w:rsidRPr="003F7B69" w:rsidR="005F5B49" w:rsidP="00FF5E4B" w:rsidRDefault="005F5B49" w14:paraId="691469B7" w14:textId="77777777">
            <w:pPr>
              <w:rPr>
                <w:rFonts w:cstheme="minorHAnsi"/>
                <w:b/>
                <w:bCs/>
                <w:sz w:val="13"/>
                <w:szCs w:val="13"/>
              </w:rPr>
            </w:pPr>
            <w:r w:rsidRPr="003F7B69">
              <w:rPr>
                <w:rFonts w:cstheme="minorHAnsi"/>
                <w:b/>
                <w:bCs/>
                <w:sz w:val="13"/>
                <w:szCs w:val="13"/>
              </w:rPr>
              <w:t>max. 4 </w:t>
            </w:r>
            <w:proofErr w:type="spellStart"/>
            <w:r w:rsidRPr="003F7B69">
              <w:rPr>
                <w:rFonts w:cstheme="minorHAnsi"/>
                <w:b/>
                <w:bCs/>
                <w:sz w:val="13"/>
                <w:szCs w:val="13"/>
              </w:rPr>
              <w:t>Mton</w:t>
            </w:r>
            <w:proofErr w:type="spellEnd"/>
            <w:r w:rsidRPr="003F7B69">
              <w:rPr>
                <w:rFonts w:cstheme="minorHAnsi"/>
                <w:b/>
                <w:bCs/>
                <w:sz w:val="13"/>
                <w:szCs w:val="13"/>
              </w:rPr>
              <w:t xml:space="preserve"> </w:t>
            </w:r>
          </w:p>
        </w:tc>
        <w:tc>
          <w:tcPr>
            <w:tcW w:w="1023" w:type="dxa"/>
            <w:hideMark/>
          </w:tcPr>
          <w:p w:rsidRPr="003F7B69" w:rsidR="005F5B49" w:rsidP="00FF5E4B" w:rsidRDefault="005F5B49" w14:paraId="4F28718A" w14:textId="77777777">
            <w:pPr>
              <w:rPr>
                <w:rFonts w:cstheme="minorHAnsi"/>
                <w:b/>
                <w:bCs/>
                <w:sz w:val="13"/>
                <w:szCs w:val="13"/>
              </w:rPr>
            </w:pPr>
            <w:r w:rsidRPr="003F7B69">
              <w:rPr>
                <w:rFonts w:cstheme="minorHAnsi"/>
                <w:b/>
                <w:bCs/>
                <w:sz w:val="13"/>
                <w:szCs w:val="13"/>
              </w:rPr>
              <w:t>Negatief</w:t>
            </w:r>
          </w:p>
        </w:tc>
        <w:tc>
          <w:tcPr>
            <w:tcW w:w="2946" w:type="dxa"/>
          </w:tcPr>
          <w:p w:rsidRPr="003F7B69" w:rsidR="005F5B49" w:rsidP="00FF5E4B" w:rsidRDefault="005F5B49" w14:paraId="5D988FBA" w14:textId="77777777">
            <w:pPr>
              <w:rPr>
                <w:rFonts w:cstheme="minorHAnsi"/>
                <w:sz w:val="13"/>
                <w:szCs w:val="13"/>
              </w:rPr>
            </w:pPr>
            <w:r w:rsidRPr="003F7B69">
              <w:rPr>
                <w:rFonts w:cstheme="minorHAnsi"/>
                <w:sz w:val="13"/>
                <w:szCs w:val="13"/>
              </w:rPr>
              <w:t xml:space="preserve">2,1 </w:t>
            </w:r>
            <w:proofErr w:type="spellStart"/>
            <w:r w:rsidRPr="003F7B69">
              <w:rPr>
                <w:rFonts w:cstheme="minorHAnsi"/>
                <w:sz w:val="13"/>
                <w:szCs w:val="13"/>
              </w:rPr>
              <w:t>Mton</w:t>
            </w:r>
            <w:proofErr w:type="spellEnd"/>
            <w:r w:rsidRPr="003F7B69">
              <w:rPr>
                <w:rFonts w:cstheme="minorHAnsi"/>
                <w:sz w:val="13"/>
                <w:szCs w:val="13"/>
              </w:rPr>
              <w:t xml:space="preserve"> is eigen reductie zoals vastgesteld onder de CO2 heffing (niet additioneel)</w:t>
            </w:r>
          </w:p>
          <w:p w:rsidRPr="003F7B69" w:rsidR="005F5B49" w:rsidP="00FF5E4B" w:rsidRDefault="005F5B49" w14:paraId="40CEAF2F" w14:textId="77777777">
            <w:pPr>
              <w:rPr>
                <w:rFonts w:cstheme="minorHAnsi"/>
                <w:sz w:val="13"/>
                <w:szCs w:val="13"/>
              </w:rPr>
            </w:pPr>
          </w:p>
          <w:p w:rsidRPr="003F7B69" w:rsidR="005F5B49" w:rsidP="00FF5E4B" w:rsidRDefault="005F5B49" w14:paraId="54236508" w14:textId="77777777">
            <w:pPr>
              <w:rPr>
                <w:rFonts w:cstheme="minorHAnsi"/>
                <w:sz w:val="13"/>
                <w:szCs w:val="13"/>
              </w:rPr>
            </w:pPr>
            <w:r w:rsidRPr="003F7B69">
              <w:rPr>
                <w:rFonts w:cstheme="minorHAnsi"/>
                <w:sz w:val="13"/>
                <w:szCs w:val="13"/>
              </w:rPr>
              <w:t xml:space="preserve">2 </w:t>
            </w:r>
            <w:proofErr w:type="spellStart"/>
            <w:r w:rsidRPr="003F7B69">
              <w:rPr>
                <w:rFonts w:cstheme="minorHAnsi"/>
                <w:sz w:val="13"/>
                <w:szCs w:val="13"/>
              </w:rPr>
              <w:t>Mton</w:t>
            </w:r>
            <w:proofErr w:type="spellEnd"/>
            <w:r w:rsidRPr="003F7B69">
              <w:rPr>
                <w:rFonts w:cstheme="minorHAnsi"/>
                <w:sz w:val="13"/>
                <w:szCs w:val="13"/>
              </w:rPr>
              <w:t xml:space="preserve"> zijn negatieve emissies die aan de </w:t>
            </w:r>
            <w:proofErr w:type="spellStart"/>
            <w:r w:rsidRPr="003F7B69">
              <w:rPr>
                <w:rFonts w:cstheme="minorHAnsi"/>
                <w:sz w:val="13"/>
                <w:szCs w:val="13"/>
              </w:rPr>
              <w:t>AVI’s</w:t>
            </w:r>
            <w:proofErr w:type="spellEnd"/>
            <w:r w:rsidRPr="003F7B69">
              <w:rPr>
                <w:rFonts w:cstheme="minorHAnsi"/>
                <w:sz w:val="13"/>
                <w:szCs w:val="13"/>
              </w:rPr>
              <w:t xml:space="preserve"> als opgave zijn meegegeven;  (additioneel)</w:t>
            </w:r>
          </w:p>
          <w:p w:rsidRPr="003F7B69" w:rsidR="005F5B49" w:rsidP="00FF5E4B" w:rsidRDefault="005F5B49" w14:paraId="6CE7BE44" w14:textId="77777777">
            <w:pPr>
              <w:rPr>
                <w:rFonts w:cstheme="minorHAnsi"/>
                <w:sz w:val="13"/>
                <w:szCs w:val="13"/>
              </w:rPr>
            </w:pPr>
          </w:p>
        </w:tc>
        <w:tc>
          <w:tcPr>
            <w:tcW w:w="2693" w:type="dxa"/>
            <w:hideMark/>
          </w:tcPr>
          <w:p w:rsidRPr="002B1D16" w:rsidR="005F5B49" w:rsidP="00FF5E4B" w:rsidRDefault="005F5B49" w14:paraId="117B3928" w14:textId="77777777">
            <w:pPr>
              <w:rPr>
                <w:rFonts w:cstheme="minorHAnsi"/>
                <w:sz w:val="13"/>
                <w:szCs w:val="13"/>
              </w:rPr>
            </w:pPr>
            <w:r w:rsidRPr="000B69A9">
              <w:rPr>
                <w:rFonts w:cstheme="minorHAnsi"/>
                <w:sz w:val="13"/>
                <w:szCs w:val="13"/>
              </w:rPr>
              <w:t>Maatregel zal worden besproken bij BWO CE</w:t>
            </w:r>
            <w:r w:rsidRPr="002B1D16">
              <w:rPr>
                <w:rFonts w:cstheme="minorHAnsi"/>
                <w:sz w:val="13"/>
                <w:szCs w:val="13"/>
              </w:rPr>
              <w:t xml:space="preserve"> aangezien beleidsverantwoordelijkheid is belegd bij SI&amp;W. </w:t>
            </w:r>
          </w:p>
          <w:p w:rsidRPr="002B1D16" w:rsidR="005F5B49" w:rsidP="00FF5E4B" w:rsidRDefault="005F5B49" w14:paraId="3F4C7026" w14:textId="77777777">
            <w:pPr>
              <w:rPr>
                <w:rFonts w:cstheme="minorHAnsi"/>
                <w:sz w:val="13"/>
                <w:szCs w:val="13"/>
              </w:rPr>
            </w:pPr>
          </w:p>
        </w:tc>
      </w:tr>
      <w:tr w:rsidRPr="0062528F" w:rsidR="005F5B49" w:rsidTr="005F5B49" w14:paraId="265721AC" w14:textId="77777777">
        <w:trPr>
          <w:trHeight w:val="397"/>
        </w:trPr>
        <w:tc>
          <w:tcPr>
            <w:tcW w:w="3403" w:type="dxa"/>
            <w:hideMark/>
          </w:tcPr>
          <w:p w:rsidRPr="002B1D16" w:rsidR="005F5B49" w:rsidP="00FF5E4B" w:rsidRDefault="005F5B49" w14:paraId="62EA5E1A" w14:textId="77777777">
            <w:pPr>
              <w:rPr>
                <w:rFonts w:cstheme="minorHAnsi"/>
                <w:sz w:val="13"/>
                <w:szCs w:val="13"/>
                <w:lang w:val="en-US"/>
              </w:rPr>
            </w:pPr>
            <w:r w:rsidRPr="002B1D16">
              <w:rPr>
                <w:rFonts w:cstheme="minorHAnsi"/>
                <w:sz w:val="13"/>
                <w:szCs w:val="13"/>
                <w:lang w:val="en-US"/>
              </w:rPr>
              <w:t>Groene </w:t>
            </w:r>
            <w:proofErr w:type="spellStart"/>
            <w:r w:rsidRPr="002B1D16">
              <w:rPr>
                <w:rFonts w:cstheme="minorHAnsi"/>
                <w:sz w:val="13"/>
                <w:szCs w:val="13"/>
                <w:lang w:val="en-US"/>
              </w:rPr>
              <w:t>waterstof</w:t>
            </w:r>
            <w:proofErr w:type="spellEnd"/>
          </w:p>
          <w:p w:rsidRPr="002B1D16" w:rsidR="005F5B49" w:rsidP="000B69A9" w:rsidRDefault="005F5B49" w14:paraId="54290773" w14:textId="77777777">
            <w:pPr>
              <w:numPr>
                <w:ilvl w:val="0"/>
                <w:numId w:val="11"/>
              </w:numPr>
              <w:rPr>
                <w:rFonts w:cstheme="minorHAnsi"/>
                <w:sz w:val="13"/>
                <w:szCs w:val="13"/>
              </w:rPr>
            </w:pPr>
            <w:r w:rsidRPr="002B1D16">
              <w:rPr>
                <w:rFonts w:cstheme="minorHAnsi"/>
                <w:sz w:val="13"/>
                <w:szCs w:val="13"/>
              </w:rPr>
              <w:t>Invoering jaarverplichting waterstof</w:t>
            </w:r>
          </w:p>
          <w:p w:rsidRPr="002B1D16" w:rsidR="005F5B49" w:rsidP="000B69A9" w:rsidRDefault="005F5B49" w14:paraId="450FB838" w14:textId="77777777">
            <w:pPr>
              <w:numPr>
                <w:ilvl w:val="0"/>
                <w:numId w:val="11"/>
              </w:numPr>
              <w:rPr>
                <w:rFonts w:cstheme="minorHAnsi"/>
                <w:sz w:val="13"/>
                <w:szCs w:val="13"/>
              </w:rPr>
            </w:pPr>
            <w:r w:rsidRPr="002B1D16">
              <w:rPr>
                <w:rFonts w:cstheme="minorHAnsi"/>
                <w:sz w:val="13"/>
                <w:szCs w:val="13"/>
              </w:rPr>
              <w:t>Vraagsubsidies</w:t>
            </w:r>
          </w:p>
          <w:p w:rsidRPr="002B1D16" w:rsidR="005F5B49" w:rsidP="000B69A9" w:rsidRDefault="005F5B49" w14:paraId="071B1656" w14:textId="77777777">
            <w:pPr>
              <w:numPr>
                <w:ilvl w:val="0"/>
                <w:numId w:val="11"/>
              </w:numPr>
              <w:rPr>
                <w:rFonts w:cstheme="minorHAnsi"/>
                <w:sz w:val="13"/>
                <w:szCs w:val="13"/>
              </w:rPr>
            </w:pPr>
            <w:r w:rsidRPr="002B1D16">
              <w:rPr>
                <w:rFonts w:cstheme="minorHAnsi"/>
                <w:sz w:val="13"/>
                <w:szCs w:val="13"/>
                <w:lang w:val="en-US"/>
              </w:rPr>
              <w:t>R</w:t>
            </w:r>
            <w:proofErr w:type="spellStart"/>
            <w:r w:rsidRPr="002B1D16">
              <w:rPr>
                <w:rFonts w:cstheme="minorHAnsi"/>
                <w:sz w:val="13"/>
                <w:szCs w:val="13"/>
              </w:rPr>
              <w:t>affinageroute</w:t>
            </w:r>
            <w:proofErr w:type="spellEnd"/>
            <w:r w:rsidRPr="002B1D16">
              <w:rPr>
                <w:rFonts w:cstheme="minorHAnsi"/>
                <w:sz w:val="13"/>
                <w:szCs w:val="13"/>
              </w:rPr>
              <w:t xml:space="preserve"> (BWO </w:t>
            </w:r>
            <w:proofErr w:type="spellStart"/>
            <w:r w:rsidRPr="002B1D16">
              <w:rPr>
                <w:rFonts w:cstheme="minorHAnsi"/>
                <w:sz w:val="13"/>
                <w:szCs w:val="13"/>
              </w:rPr>
              <w:t>Mobliteit</w:t>
            </w:r>
            <w:proofErr w:type="spellEnd"/>
            <w:r w:rsidRPr="002B1D16">
              <w:rPr>
                <w:rFonts w:cstheme="minorHAnsi"/>
                <w:sz w:val="13"/>
                <w:szCs w:val="13"/>
              </w:rPr>
              <w:t>)</w:t>
            </w:r>
          </w:p>
          <w:p w:rsidRPr="002B1D16" w:rsidR="005F5B49" w:rsidP="005F5B49" w:rsidRDefault="005F5B49" w14:paraId="35349A7D" w14:textId="77777777">
            <w:pPr>
              <w:ind w:left="360"/>
              <w:rPr>
                <w:rFonts w:cstheme="minorHAnsi"/>
                <w:sz w:val="13"/>
                <w:szCs w:val="13"/>
              </w:rPr>
            </w:pPr>
          </w:p>
        </w:tc>
        <w:tc>
          <w:tcPr>
            <w:tcW w:w="1134" w:type="dxa"/>
            <w:hideMark/>
          </w:tcPr>
          <w:p w:rsidRPr="003F7B69" w:rsidR="005F5B49" w:rsidP="00FF5E4B" w:rsidRDefault="005F5B49" w14:paraId="3E177E8F" w14:textId="77777777">
            <w:pPr>
              <w:rPr>
                <w:rFonts w:cstheme="minorHAnsi"/>
                <w:b/>
                <w:bCs/>
                <w:sz w:val="13"/>
                <w:szCs w:val="13"/>
                <w:lang w:val="en-US"/>
              </w:rPr>
            </w:pPr>
            <w:r w:rsidRPr="003F7B69">
              <w:rPr>
                <w:rFonts w:cstheme="minorHAnsi"/>
                <w:b/>
                <w:bCs/>
                <w:sz w:val="13"/>
                <w:szCs w:val="13"/>
              </w:rPr>
              <w:t>0,5</w:t>
            </w:r>
          </w:p>
          <w:p w:rsidRPr="003F7B69" w:rsidR="005F5B49" w:rsidP="00FF5E4B" w:rsidRDefault="005F5B49" w14:paraId="265F02ED" w14:textId="77777777">
            <w:pPr>
              <w:rPr>
                <w:rFonts w:cstheme="minorHAnsi"/>
                <w:b/>
                <w:bCs/>
                <w:sz w:val="13"/>
                <w:szCs w:val="13"/>
              </w:rPr>
            </w:pPr>
            <w:r w:rsidRPr="003F7B69">
              <w:rPr>
                <w:rFonts w:cstheme="minorHAnsi"/>
                <w:b/>
                <w:bCs/>
                <w:sz w:val="13"/>
                <w:szCs w:val="13"/>
              </w:rPr>
              <w:t>0,5 – 1</w:t>
            </w:r>
          </w:p>
        </w:tc>
        <w:tc>
          <w:tcPr>
            <w:tcW w:w="1023" w:type="dxa"/>
            <w:hideMark/>
          </w:tcPr>
          <w:p w:rsidRPr="003F7B69" w:rsidR="005F5B49" w:rsidP="00FF5E4B" w:rsidRDefault="005F5B49" w14:paraId="260002CF" w14:textId="77777777">
            <w:pPr>
              <w:rPr>
                <w:rFonts w:cstheme="minorHAnsi"/>
                <w:b/>
                <w:bCs/>
                <w:sz w:val="13"/>
                <w:szCs w:val="13"/>
              </w:rPr>
            </w:pPr>
            <w:r w:rsidRPr="003F7B69">
              <w:rPr>
                <w:rFonts w:cstheme="minorHAnsi"/>
                <w:b/>
                <w:bCs/>
                <w:sz w:val="13"/>
                <w:szCs w:val="13"/>
              </w:rPr>
              <w:t>Negatief</w:t>
            </w:r>
          </w:p>
        </w:tc>
        <w:tc>
          <w:tcPr>
            <w:tcW w:w="2946" w:type="dxa"/>
          </w:tcPr>
          <w:p w:rsidRPr="003F7B69" w:rsidR="005F5B49" w:rsidP="00FF5E4B" w:rsidRDefault="005F5B49" w14:paraId="69788854" w14:textId="17144438">
            <w:pPr>
              <w:rPr>
                <w:rFonts w:cstheme="minorHAnsi"/>
                <w:sz w:val="13"/>
                <w:szCs w:val="13"/>
              </w:rPr>
            </w:pPr>
            <w:r w:rsidRPr="003F7B69">
              <w:rPr>
                <w:rFonts w:cstheme="minorHAnsi"/>
                <w:sz w:val="13"/>
                <w:szCs w:val="13"/>
              </w:rPr>
              <w:t xml:space="preserve">Jaarverplichting: In het geval van een jaarverplichting van 24% voor exploitanten van een industriële installatie, leidt dit instrument tot een emissiereductie van ongeveer 0,9 tot 1,3Mton CO2 in 2030. In het geval van een jaarverplichting van 8% voor exploitanten van een industriële installatie, leidt dit instrument tot een emissiereductie van ongeveer 0,3 tot 0,4 </w:t>
            </w:r>
            <w:proofErr w:type="spellStart"/>
            <w:r w:rsidRPr="003F7B69">
              <w:rPr>
                <w:rFonts w:cstheme="minorHAnsi"/>
                <w:sz w:val="13"/>
                <w:szCs w:val="13"/>
              </w:rPr>
              <w:t>Mton</w:t>
            </w:r>
            <w:proofErr w:type="spellEnd"/>
            <w:r w:rsidRPr="003F7B69">
              <w:rPr>
                <w:rFonts w:cstheme="minorHAnsi"/>
                <w:sz w:val="13"/>
                <w:szCs w:val="13"/>
              </w:rPr>
              <w:t xml:space="preserve"> CO2 in 2030. </w:t>
            </w:r>
          </w:p>
          <w:p w:rsidRPr="003F7B69" w:rsidR="005F5B49" w:rsidP="00FF5E4B" w:rsidRDefault="005F5B49" w14:paraId="5012E325" w14:textId="77777777">
            <w:pPr>
              <w:rPr>
                <w:rFonts w:cstheme="minorHAnsi"/>
                <w:sz w:val="13"/>
                <w:szCs w:val="13"/>
              </w:rPr>
            </w:pPr>
          </w:p>
          <w:p w:rsidRPr="003F7B69" w:rsidR="005F5B49" w:rsidP="00FF5E4B" w:rsidRDefault="005F5B49" w14:paraId="7FA0DA1B" w14:textId="77777777">
            <w:pPr>
              <w:rPr>
                <w:rFonts w:cstheme="minorHAnsi"/>
                <w:sz w:val="13"/>
                <w:szCs w:val="13"/>
              </w:rPr>
            </w:pPr>
            <w:r w:rsidRPr="003F7B69">
              <w:rPr>
                <w:rFonts w:cstheme="minorHAnsi"/>
                <w:sz w:val="13"/>
                <w:szCs w:val="13"/>
              </w:rPr>
              <w:t>Vraagsubsidies: bedraagt 5PJ per jaar, dus 0,4mt per jaar (</w:t>
            </w:r>
            <w:proofErr w:type="spellStart"/>
            <w:r w:rsidRPr="003F7B69">
              <w:rPr>
                <w:rFonts w:cstheme="minorHAnsi"/>
                <w:sz w:val="13"/>
                <w:szCs w:val="13"/>
              </w:rPr>
              <w:t>obv</w:t>
            </w:r>
            <w:proofErr w:type="spellEnd"/>
            <w:r w:rsidRPr="003F7B69">
              <w:rPr>
                <w:rFonts w:cstheme="minorHAnsi"/>
                <w:sz w:val="13"/>
                <w:szCs w:val="13"/>
              </w:rPr>
              <w:t xml:space="preserve"> verplichting 24%) </w:t>
            </w:r>
          </w:p>
          <w:p w:rsidRPr="003F7B69" w:rsidR="005F5B49" w:rsidP="00FF5E4B" w:rsidRDefault="005F5B49" w14:paraId="58DC2B94" w14:textId="77777777">
            <w:pPr>
              <w:rPr>
                <w:rFonts w:cstheme="minorHAnsi"/>
                <w:sz w:val="13"/>
                <w:szCs w:val="13"/>
              </w:rPr>
            </w:pPr>
          </w:p>
          <w:p w:rsidRPr="003F7B69" w:rsidR="005F5B49" w:rsidP="00FF5E4B" w:rsidRDefault="005F5B49" w14:paraId="1180AAA7" w14:textId="77777777">
            <w:pPr>
              <w:rPr>
                <w:rFonts w:cstheme="minorHAnsi"/>
                <w:sz w:val="13"/>
                <w:szCs w:val="13"/>
              </w:rPr>
            </w:pPr>
            <w:r w:rsidRPr="003F7B69">
              <w:rPr>
                <w:rFonts w:cstheme="minorHAnsi"/>
                <w:sz w:val="13"/>
                <w:szCs w:val="13"/>
              </w:rPr>
              <w:t xml:space="preserve">Raffinageroute: </w:t>
            </w:r>
            <w:proofErr w:type="spellStart"/>
            <w:r w:rsidRPr="003F7B69">
              <w:rPr>
                <w:rFonts w:cstheme="minorHAnsi"/>
                <w:sz w:val="13"/>
                <w:szCs w:val="13"/>
              </w:rPr>
              <w:t>obv</w:t>
            </w:r>
            <w:proofErr w:type="spellEnd"/>
            <w:r w:rsidRPr="003F7B69">
              <w:rPr>
                <w:rFonts w:cstheme="minorHAnsi"/>
                <w:sz w:val="13"/>
                <w:szCs w:val="13"/>
              </w:rPr>
              <w:t xml:space="preserve"> berekeningen 0,4 tot 0,5mt</w:t>
            </w:r>
          </w:p>
        </w:tc>
        <w:tc>
          <w:tcPr>
            <w:tcW w:w="2693" w:type="dxa"/>
            <w:hideMark/>
          </w:tcPr>
          <w:p w:rsidRPr="002B1D16" w:rsidR="005F5B49" w:rsidP="00FF5E4B" w:rsidRDefault="005F5B49" w14:paraId="101F9300" w14:textId="77777777">
            <w:pPr>
              <w:rPr>
                <w:rFonts w:cstheme="minorHAnsi"/>
                <w:sz w:val="13"/>
                <w:szCs w:val="13"/>
              </w:rPr>
            </w:pPr>
            <w:r w:rsidRPr="002B1D16">
              <w:rPr>
                <w:rFonts w:cstheme="minorHAnsi"/>
                <w:sz w:val="13"/>
                <w:szCs w:val="13"/>
              </w:rPr>
              <w:t>Besluit over raffinageroute vergt afstemming met SI&amp;W</w:t>
            </w:r>
            <w:r w:rsidRPr="002B1D16">
              <w:rPr>
                <w:rFonts w:ascii="Arial" w:hAnsi="Arial" w:cs="Arial"/>
                <w:sz w:val="13"/>
                <w:szCs w:val="13"/>
              </w:rPr>
              <w:t>​</w:t>
            </w:r>
            <w:r w:rsidRPr="002B1D16">
              <w:rPr>
                <w:rFonts w:cstheme="minorHAnsi"/>
                <w:sz w:val="13"/>
                <w:szCs w:val="13"/>
              </w:rPr>
              <w:br/>
              <w:t>Invoering jaarverplichting waterstof en toekenning vraagsubsidies is implementatie van bestaande afspraak.</w:t>
            </w:r>
          </w:p>
        </w:tc>
      </w:tr>
      <w:tr w:rsidRPr="0062528F" w:rsidR="005F5B49" w:rsidTr="005F5B49" w14:paraId="544E1D44" w14:textId="77777777">
        <w:trPr>
          <w:trHeight w:val="397"/>
        </w:trPr>
        <w:tc>
          <w:tcPr>
            <w:tcW w:w="3403" w:type="dxa"/>
            <w:shd w:val="clear" w:color="auto" w:fill="C6D9F1" w:themeFill="text2" w:themeFillTint="33"/>
          </w:tcPr>
          <w:p w:rsidRPr="002B1D16" w:rsidR="005F5B49" w:rsidP="00FF5E4B" w:rsidRDefault="005F5B49" w14:paraId="77B37F93" w14:textId="77777777">
            <w:pPr>
              <w:rPr>
                <w:rFonts w:cstheme="minorHAnsi"/>
                <w:sz w:val="13"/>
                <w:szCs w:val="13"/>
              </w:rPr>
            </w:pPr>
            <w:r w:rsidRPr="002B1D16">
              <w:rPr>
                <w:rFonts w:cstheme="minorHAnsi"/>
                <w:b/>
                <w:bCs/>
                <w:sz w:val="13"/>
                <w:szCs w:val="13"/>
              </w:rPr>
              <w:t>Voorstel SECTOR INDUSTRIE (incl. uitgelichte Klimaatfonds maatregelen)</w:t>
            </w:r>
          </w:p>
        </w:tc>
        <w:tc>
          <w:tcPr>
            <w:tcW w:w="1134" w:type="dxa"/>
            <w:shd w:val="clear" w:color="auto" w:fill="C6D9F1" w:themeFill="text2" w:themeFillTint="33"/>
          </w:tcPr>
          <w:p w:rsidRPr="003F7B69" w:rsidR="005F5B49" w:rsidP="00FF5E4B" w:rsidRDefault="005F5B49" w14:paraId="3C321E2B" w14:textId="77777777">
            <w:pPr>
              <w:rPr>
                <w:rFonts w:cstheme="minorHAnsi"/>
                <w:b/>
                <w:bCs/>
                <w:sz w:val="13"/>
                <w:szCs w:val="13"/>
              </w:rPr>
            </w:pPr>
          </w:p>
        </w:tc>
        <w:tc>
          <w:tcPr>
            <w:tcW w:w="1023" w:type="dxa"/>
            <w:shd w:val="clear" w:color="auto" w:fill="C6D9F1" w:themeFill="text2" w:themeFillTint="33"/>
          </w:tcPr>
          <w:p w:rsidRPr="003F7B69" w:rsidR="005F5B49" w:rsidP="00FF5E4B" w:rsidRDefault="005F5B49" w14:paraId="69BC2385" w14:textId="77777777">
            <w:pPr>
              <w:rPr>
                <w:rFonts w:cstheme="minorHAnsi"/>
                <w:b/>
                <w:bCs/>
                <w:sz w:val="13"/>
                <w:szCs w:val="13"/>
              </w:rPr>
            </w:pPr>
          </w:p>
        </w:tc>
        <w:tc>
          <w:tcPr>
            <w:tcW w:w="2946" w:type="dxa"/>
            <w:shd w:val="clear" w:color="auto" w:fill="C6D9F1" w:themeFill="text2" w:themeFillTint="33"/>
          </w:tcPr>
          <w:p w:rsidRPr="003F7B69" w:rsidR="005F5B49" w:rsidP="00FF5E4B" w:rsidRDefault="005F5B49" w14:paraId="71ABA597" w14:textId="77777777">
            <w:pPr>
              <w:rPr>
                <w:rFonts w:cstheme="minorHAnsi"/>
                <w:sz w:val="13"/>
                <w:szCs w:val="13"/>
              </w:rPr>
            </w:pPr>
          </w:p>
        </w:tc>
        <w:tc>
          <w:tcPr>
            <w:tcW w:w="2693" w:type="dxa"/>
            <w:shd w:val="clear" w:color="auto" w:fill="C6D9F1" w:themeFill="text2" w:themeFillTint="33"/>
          </w:tcPr>
          <w:p w:rsidRPr="002B1D16" w:rsidR="005F5B49" w:rsidP="00FF5E4B" w:rsidRDefault="005F5B49" w14:paraId="60FC90DB" w14:textId="77777777">
            <w:pPr>
              <w:rPr>
                <w:rFonts w:cstheme="minorHAnsi"/>
                <w:sz w:val="13"/>
                <w:szCs w:val="13"/>
              </w:rPr>
            </w:pPr>
          </w:p>
        </w:tc>
      </w:tr>
      <w:tr w:rsidRPr="0062528F" w:rsidR="005F5B49" w:rsidTr="005F5B49" w14:paraId="7854BB05" w14:textId="77777777">
        <w:trPr>
          <w:trHeight w:val="397"/>
        </w:trPr>
        <w:tc>
          <w:tcPr>
            <w:tcW w:w="3403" w:type="dxa"/>
          </w:tcPr>
          <w:p w:rsidRPr="002B1D16" w:rsidR="005F5B49" w:rsidP="000B69A9" w:rsidRDefault="005F5B49" w14:paraId="53C58F45" w14:textId="77777777">
            <w:pPr>
              <w:pStyle w:val="Lijstalinea"/>
              <w:numPr>
                <w:ilvl w:val="0"/>
                <w:numId w:val="14"/>
              </w:numPr>
              <w:rPr>
                <w:rFonts w:cstheme="minorHAnsi"/>
                <w:sz w:val="13"/>
                <w:szCs w:val="13"/>
              </w:rPr>
            </w:pPr>
            <w:r w:rsidRPr="002B1D16">
              <w:rPr>
                <w:sz w:val="13"/>
                <w:szCs w:val="13"/>
              </w:rPr>
              <w:t>Realisatie CCS/</w:t>
            </w:r>
            <w:proofErr w:type="spellStart"/>
            <w:r w:rsidRPr="002B1D16">
              <w:rPr>
                <w:sz w:val="13"/>
                <w:szCs w:val="13"/>
              </w:rPr>
              <w:t>Aramis</w:t>
            </w:r>
            <w:proofErr w:type="spellEnd"/>
            <w:r w:rsidRPr="002B1D16">
              <w:rPr>
                <w:sz w:val="13"/>
                <w:szCs w:val="13"/>
              </w:rPr>
              <w:t xml:space="preserve"> infrastructuur</w:t>
            </w:r>
          </w:p>
        </w:tc>
        <w:tc>
          <w:tcPr>
            <w:tcW w:w="1134" w:type="dxa"/>
          </w:tcPr>
          <w:p w:rsidRPr="003F7B69" w:rsidR="005F5B49" w:rsidP="00FF5E4B" w:rsidRDefault="005F5B49" w14:paraId="5D16348A" w14:textId="77777777">
            <w:pPr>
              <w:rPr>
                <w:rFonts w:cstheme="minorHAnsi"/>
                <w:b/>
                <w:bCs/>
                <w:sz w:val="13"/>
                <w:szCs w:val="13"/>
              </w:rPr>
            </w:pPr>
          </w:p>
        </w:tc>
        <w:tc>
          <w:tcPr>
            <w:tcW w:w="1023" w:type="dxa"/>
          </w:tcPr>
          <w:p w:rsidRPr="003F7B69" w:rsidR="005F5B49" w:rsidP="00FF5E4B" w:rsidRDefault="005F5B49" w14:paraId="37EA703E" w14:textId="77777777">
            <w:pPr>
              <w:rPr>
                <w:rFonts w:cstheme="minorHAnsi"/>
                <w:b/>
                <w:bCs/>
                <w:sz w:val="13"/>
                <w:szCs w:val="13"/>
              </w:rPr>
            </w:pPr>
            <w:r w:rsidRPr="003F7B69">
              <w:rPr>
                <w:rFonts w:cstheme="minorHAnsi"/>
                <w:b/>
                <w:bCs/>
                <w:sz w:val="13"/>
                <w:szCs w:val="13"/>
              </w:rPr>
              <w:t xml:space="preserve">Negatief </w:t>
            </w:r>
          </w:p>
        </w:tc>
        <w:tc>
          <w:tcPr>
            <w:tcW w:w="2946" w:type="dxa"/>
          </w:tcPr>
          <w:p w:rsidRPr="003F7B69" w:rsidR="005F5B49" w:rsidP="00FF5E4B" w:rsidRDefault="005F5B49" w14:paraId="37E0D9C2" w14:textId="77777777">
            <w:pPr>
              <w:rPr>
                <w:rFonts w:cstheme="minorHAnsi"/>
                <w:sz w:val="13"/>
                <w:szCs w:val="13"/>
              </w:rPr>
            </w:pPr>
          </w:p>
        </w:tc>
        <w:tc>
          <w:tcPr>
            <w:tcW w:w="2693" w:type="dxa"/>
          </w:tcPr>
          <w:p w:rsidRPr="002B1D16" w:rsidR="005F5B49" w:rsidP="00FF5E4B" w:rsidRDefault="005F5B49" w14:paraId="480EBC25" w14:textId="77777777">
            <w:pPr>
              <w:rPr>
                <w:rFonts w:cstheme="minorHAnsi"/>
                <w:sz w:val="13"/>
                <w:szCs w:val="13"/>
              </w:rPr>
            </w:pPr>
            <w:r w:rsidRPr="002B1D16">
              <w:rPr>
                <w:rFonts w:cstheme="minorHAnsi"/>
                <w:sz w:val="13"/>
                <w:szCs w:val="13"/>
              </w:rPr>
              <w:t>(zie tabel 2 klimaatfonds)</w:t>
            </w:r>
          </w:p>
        </w:tc>
      </w:tr>
      <w:tr w:rsidRPr="0062528F" w:rsidR="005F5B49" w:rsidTr="005F5B49" w14:paraId="4A17BFE3" w14:textId="77777777">
        <w:trPr>
          <w:trHeight w:val="397"/>
        </w:trPr>
        <w:tc>
          <w:tcPr>
            <w:tcW w:w="3403" w:type="dxa"/>
          </w:tcPr>
          <w:p w:rsidRPr="002B1D16" w:rsidR="005F5B49" w:rsidP="000B69A9" w:rsidRDefault="005F5B49" w14:paraId="65979804" w14:textId="77777777">
            <w:pPr>
              <w:pStyle w:val="Lijstalinea"/>
              <w:numPr>
                <w:ilvl w:val="0"/>
                <w:numId w:val="13"/>
              </w:numPr>
              <w:ind w:left="360"/>
              <w:rPr>
                <w:sz w:val="13"/>
                <w:szCs w:val="13"/>
              </w:rPr>
            </w:pPr>
            <w:r w:rsidRPr="002B1D16">
              <w:rPr>
                <w:sz w:val="13"/>
                <w:szCs w:val="13"/>
              </w:rPr>
              <w:t xml:space="preserve">Beleid gericht op energieprijzen (verlenging IKC) </w:t>
            </w:r>
          </w:p>
          <w:p w:rsidRPr="002B1D16" w:rsidR="005F5B49" w:rsidP="000B69A9" w:rsidRDefault="005F5B49" w14:paraId="03AFAC32" w14:textId="77777777">
            <w:pPr>
              <w:pStyle w:val="Lijstalinea"/>
              <w:numPr>
                <w:ilvl w:val="0"/>
                <w:numId w:val="12"/>
              </w:numPr>
              <w:ind w:left="360"/>
              <w:rPr>
                <w:rFonts w:cstheme="minorHAnsi"/>
                <w:sz w:val="13"/>
                <w:szCs w:val="13"/>
              </w:rPr>
            </w:pPr>
            <w:r w:rsidRPr="002B1D16">
              <w:rPr>
                <w:sz w:val="13"/>
                <w:szCs w:val="13"/>
              </w:rPr>
              <w:t>subsidie elektriciteitsnet (IBO)</w:t>
            </w:r>
          </w:p>
        </w:tc>
        <w:tc>
          <w:tcPr>
            <w:tcW w:w="1134" w:type="dxa"/>
          </w:tcPr>
          <w:p w:rsidRPr="003F7B69" w:rsidR="005F5B49" w:rsidP="00FF5E4B" w:rsidRDefault="005F5B49" w14:paraId="056DAC5F" w14:textId="77777777">
            <w:pPr>
              <w:rPr>
                <w:rFonts w:cstheme="minorHAnsi"/>
                <w:b/>
                <w:bCs/>
                <w:sz w:val="13"/>
                <w:szCs w:val="13"/>
              </w:rPr>
            </w:pPr>
            <w:r w:rsidRPr="003F7B69">
              <w:rPr>
                <w:b/>
                <w:bCs/>
                <w:sz w:val="13"/>
                <w:szCs w:val="13"/>
              </w:rPr>
              <w:t xml:space="preserve">(IKC max 1,96 </w:t>
            </w:r>
            <w:proofErr w:type="spellStart"/>
            <w:r w:rsidRPr="003F7B69">
              <w:rPr>
                <w:b/>
                <w:bCs/>
                <w:sz w:val="13"/>
                <w:szCs w:val="13"/>
              </w:rPr>
              <w:t>Mton</w:t>
            </w:r>
            <w:proofErr w:type="spellEnd"/>
            <w:r w:rsidRPr="003F7B69">
              <w:rPr>
                <w:b/>
                <w:bCs/>
                <w:sz w:val="13"/>
                <w:szCs w:val="13"/>
              </w:rPr>
              <w:t>*)</w:t>
            </w:r>
          </w:p>
        </w:tc>
        <w:tc>
          <w:tcPr>
            <w:tcW w:w="1023" w:type="dxa"/>
          </w:tcPr>
          <w:p w:rsidRPr="003F7B69" w:rsidR="005F5B49" w:rsidP="00FF5E4B" w:rsidRDefault="005F5B49" w14:paraId="5B7A6072" w14:textId="77777777">
            <w:pPr>
              <w:rPr>
                <w:rFonts w:cstheme="minorHAnsi"/>
                <w:b/>
                <w:bCs/>
                <w:sz w:val="13"/>
                <w:szCs w:val="13"/>
              </w:rPr>
            </w:pPr>
            <w:r w:rsidRPr="003F7B69">
              <w:rPr>
                <w:rFonts w:cstheme="minorHAnsi"/>
                <w:b/>
                <w:bCs/>
                <w:sz w:val="13"/>
                <w:szCs w:val="13"/>
              </w:rPr>
              <w:t>Negatief</w:t>
            </w:r>
          </w:p>
        </w:tc>
        <w:tc>
          <w:tcPr>
            <w:tcW w:w="2946" w:type="dxa"/>
          </w:tcPr>
          <w:p w:rsidRPr="003F7B69" w:rsidR="005F5B49" w:rsidP="00FF5E4B" w:rsidRDefault="005F5B49" w14:paraId="00D2EE81" w14:textId="77777777">
            <w:pPr>
              <w:rPr>
                <w:rFonts w:cstheme="minorHAnsi"/>
                <w:sz w:val="13"/>
                <w:szCs w:val="13"/>
              </w:rPr>
            </w:pPr>
          </w:p>
        </w:tc>
        <w:tc>
          <w:tcPr>
            <w:tcW w:w="2693" w:type="dxa"/>
          </w:tcPr>
          <w:p w:rsidRPr="002B1D16" w:rsidR="005F5B49" w:rsidP="00FF5E4B" w:rsidRDefault="005F5B49" w14:paraId="37146C5B" w14:textId="77777777">
            <w:pPr>
              <w:rPr>
                <w:rFonts w:cstheme="minorHAnsi"/>
                <w:sz w:val="13"/>
                <w:szCs w:val="13"/>
              </w:rPr>
            </w:pPr>
            <w:r w:rsidRPr="002B1D16">
              <w:rPr>
                <w:rFonts w:cstheme="minorHAnsi"/>
                <w:sz w:val="13"/>
                <w:szCs w:val="13"/>
              </w:rPr>
              <w:t>(zie tabel 2 klimaatfonds)</w:t>
            </w:r>
          </w:p>
          <w:p w:rsidRPr="002B1D16" w:rsidR="005F5B49" w:rsidP="00FF5E4B" w:rsidRDefault="005F5B49" w14:paraId="258DC052" w14:textId="0DA2D4C1">
            <w:pPr>
              <w:rPr>
                <w:rFonts w:cstheme="minorHAnsi"/>
                <w:sz w:val="13"/>
                <w:szCs w:val="13"/>
              </w:rPr>
            </w:pPr>
            <w:r w:rsidRPr="002B1D16">
              <w:rPr>
                <w:rFonts w:cstheme="minorHAnsi"/>
                <w:sz w:val="13"/>
                <w:szCs w:val="13"/>
              </w:rPr>
              <w:t xml:space="preserve">*In afwachting van IBO, cijfers zijn op basis van eigen inschatting VI. </w:t>
            </w:r>
          </w:p>
        </w:tc>
      </w:tr>
    </w:tbl>
    <w:p w:rsidR="005F5B49" w:rsidP="005F5B49" w:rsidRDefault="005F5B49" w14:paraId="4456E00B" w14:textId="77777777"/>
    <w:p w:rsidRPr="00CB4250" w:rsidR="005F5B49" w:rsidP="005F5B49" w:rsidRDefault="005F5B49" w14:paraId="50D257F8" w14:textId="77777777"/>
    <w:tbl>
      <w:tblPr>
        <w:tblpPr w:leftFromText="141" w:rightFromText="141" w:horzAnchor="margin" w:tblpXSpec="center" w:tblpY="-765"/>
        <w:tblW w:w="10482"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838"/>
        <w:gridCol w:w="1325"/>
        <w:gridCol w:w="1898"/>
        <w:gridCol w:w="4421"/>
      </w:tblGrid>
      <w:tr w:rsidRPr="005F5B49" w:rsidR="005F5B49" w:rsidTr="005F5B49" w14:paraId="443A6E55" w14:textId="77777777">
        <w:trPr>
          <w:trHeight w:val="1380"/>
        </w:trPr>
        <w:tc>
          <w:tcPr>
            <w:tcW w:w="2838" w:type="dxa"/>
            <w:tcBorders>
              <w:top w:val="single" w:color="FFFFFF" w:sz="6" w:space="0"/>
              <w:left w:val="single" w:color="FFFFFF" w:sz="6" w:space="0"/>
              <w:bottom w:val="single" w:color="FFFFFF" w:sz="12" w:space="0"/>
              <w:right w:val="single" w:color="FFFFFF" w:sz="6" w:space="0"/>
            </w:tcBorders>
            <w:shd w:val="clear" w:color="auto" w:fill="017BC6"/>
            <w:hideMark/>
          </w:tcPr>
          <w:p w:rsidRPr="005F5B49" w:rsidR="005F5B49" w:rsidP="005F5B49" w:rsidRDefault="005F5B49" w14:paraId="53DDE24F" w14:textId="77777777">
            <w:pPr>
              <w:spacing w:before="100" w:beforeAutospacing="1" w:after="100" w:afterAutospacing="1" w:line="240" w:lineRule="auto"/>
              <w:textAlignment w:val="baseline"/>
              <w:rPr>
                <w:b/>
                <w:bCs/>
                <w:color w:val="FFFFFF"/>
                <w:sz w:val="16"/>
                <w:szCs w:val="16"/>
              </w:rPr>
            </w:pPr>
            <w:r w:rsidRPr="005F5B49">
              <w:rPr>
                <w:b/>
                <w:bCs/>
                <w:color w:val="FFFFFF"/>
                <w:sz w:val="16"/>
                <w:szCs w:val="16"/>
              </w:rPr>
              <w:lastRenderedPageBreak/>
              <w:t>Tabel 2: Ingediende maatregelen industrie Klimaatfonds, incl. Beoordeling. </w:t>
            </w:r>
          </w:p>
        </w:tc>
        <w:tc>
          <w:tcPr>
            <w:tcW w:w="1325" w:type="dxa"/>
            <w:tcBorders>
              <w:top w:val="single" w:color="FFFFFF" w:sz="6" w:space="0"/>
              <w:left w:val="single" w:color="FFFFFF" w:sz="6" w:space="0"/>
              <w:bottom w:val="single" w:color="FFFFFF" w:sz="12" w:space="0"/>
              <w:right w:val="single" w:color="FFFFFF" w:sz="6" w:space="0"/>
            </w:tcBorders>
            <w:shd w:val="clear" w:color="auto" w:fill="017BC6"/>
            <w:hideMark/>
          </w:tcPr>
          <w:p w:rsidRPr="005F5B49" w:rsidR="005F5B49" w:rsidP="005F5B49" w:rsidRDefault="005F5B49" w14:paraId="023FC226" w14:textId="77777777">
            <w:pPr>
              <w:spacing w:before="100" w:beforeAutospacing="1" w:after="100" w:afterAutospacing="1" w:line="240" w:lineRule="auto"/>
              <w:textAlignment w:val="baseline"/>
              <w:rPr>
                <w:b/>
                <w:bCs/>
                <w:color w:val="FFFFFF"/>
                <w:sz w:val="16"/>
                <w:szCs w:val="16"/>
                <w:lang w:val="en-US"/>
              </w:rPr>
            </w:pPr>
            <w:r w:rsidRPr="005F5B49">
              <w:rPr>
                <w:b/>
                <w:bCs/>
                <w:color w:val="FFFFFF"/>
                <w:sz w:val="16"/>
                <w:szCs w:val="16"/>
              </w:rPr>
              <w:t>Claim (€ mln.)</w:t>
            </w:r>
          </w:p>
        </w:tc>
        <w:tc>
          <w:tcPr>
            <w:tcW w:w="1898" w:type="dxa"/>
            <w:tcBorders>
              <w:top w:val="single" w:color="FFFFFF" w:sz="6" w:space="0"/>
              <w:left w:val="single" w:color="FFFFFF" w:sz="6" w:space="0"/>
              <w:bottom w:val="single" w:color="FFFFFF" w:sz="12" w:space="0"/>
              <w:right w:val="single" w:color="FFFFFF" w:sz="6" w:space="0"/>
            </w:tcBorders>
            <w:shd w:val="clear" w:color="auto" w:fill="017BC6"/>
            <w:hideMark/>
          </w:tcPr>
          <w:p w:rsidRPr="005F5B49" w:rsidR="005F5B49" w:rsidP="005F5B49" w:rsidRDefault="005F5B49" w14:paraId="6307F04A" w14:textId="77777777">
            <w:pPr>
              <w:spacing w:before="100" w:beforeAutospacing="1" w:after="100" w:afterAutospacing="1" w:line="240" w:lineRule="auto"/>
              <w:textAlignment w:val="baseline"/>
              <w:rPr>
                <w:b/>
                <w:bCs/>
                <w:color w:val="FFFFFF"/>
                <w:sz w:val="16"/>
                <w:szCs w:val="16"/>
              </w:rPr>
            </w:pPr>
            <w:r w:rsidRPr="005F5B49">
              <w:rPr>
                <w:b/>
                <w:bCs/>
                <w:color w:val="FFFFFF"/>
                <w:sz w:val="16"/>
                <w:szCs w:val="16"/>
              </w:rPr>
              <w:t>Beoordeling inhoud*</w:t>
            </w:r>
          </w:p>
          <w:p w:rsidRPr="005F5B49" w:rsidR="005F5B49" w:rsidP="005F5B49" w:rsidRDefault="005F5B49" w14:paraId="429A2179" w14:textId="77777777">
            <w:pPr>
              <w:spacing w:before="100" w:beforeAutospacing="1" w:after="100" w:afterAutospacing="1" w:line="240" w:lineRule="auto"/>
              <w:textAlignment w:val="baseline"/>
              <w:rPr>
                <w:b/>
                <w:bCs/>
                <w:color w:val="FFFFFF"/>
                <w:sz w:val="16"/>
                <w:szCs w:val="16"/>
              </w:rPr>
            </w:pPr>
          </w:p>
        </w:tc>
        <w:tc>
          <w:tcPr>
            <w:tcW w:w="4421" w:type="dxa"/>
            <w:tcBorders>
              <w:top w:val="single" w:color="FFFFFF" w:sz="6" w:space="0"/>
              <w:left w:val="single" w:color="FFFFFF" w:sz="6" w:space="0"/>
              <w:bottom w:val="single" w:color="FFFFFF" w:sz="12" w:space="0"/>
              <w:right w:val="single" w:color="FFFFFF" w:sz="6" w:space="0"/>
            </w:tcBorders>
            <w:shd w:val="clear" w:color="auto" w:fill="017BC6"/>
            <w:hideMark/>
          </w:tcPr>
          <w:p w:rsidRPr="005F5B49" w:rsidR="005F5B49" w:rsidP="005F5B49" w:rsidRDefault="005F5B49" w14:paraId="2E030097" w14:textId="77777777">
            <w:pPr>
              <w:spacing w:before="100" w:beforeAutospacing="1" w:after="100" w:afterAutospacing="1" w:line="240" w:lineRule="auto"/>
              <w:jc w:val="right"/>
              <w:textAlignment w:val="baseline"/>
              <w:rPr>
                <w:b/>
                <w:bCs/>
                <w:color w:val="FFFFFF"/>
                <w:sz w:val="16"/>
                <w:szCs w:val="16"/>
              </w:rPr>
            </w:pPr>
            <w:r w:rsidRPr="005F5B49">
              <w:rPr>
                <w:b/>
                <w:bCs/>
                <w:color w:val="FFFFFF"/>
                <w:sz w:val="16"/>
                <w:szCs w:val="16"/>
              </w:rPr>
              <w:t>Toekenning (T)/toekenning onder voorwaarde (</w:t>
            </w:r>
            <w:proofErr w:type="spellStart"/>
            <w:r w:rsidRPr="005F5B49">
              <w:rPr>
                <w:b/>
                <w:bCs/>
                <w:color w:val="FFFFFF"/>
                <w:sz w:val="16"/>
                <w:szCs w:val="16"/>
              </w:rPr>
              <w:t>ToV</w:t>
            </w:r>
            <w:proofErr w:type="spellEnd"/>
            <w:r w:rsidRPr="005F5B49">
              <w:rPr>
                <w:b/>
                <w:bCs/>
                <w:color w:val="FFFFFF"/>
                <w:sz w:val="16"/>
                <w:szCs w:val="16"/>
              </w:rPr>
              <w:t>)/reservering (€ mln.)</w:t>
            </w:r>
          </w:p>
        </w:tc>
      </w:tr>
      <w:tr w:rsidRPr="005F5B49" w:rsidR="005F5B49" w:rsidTr="005F5B49" w14:paraId="05C00CAD" w14:textId="77777777">
        <w:trPr>
          <w:trHeight w:val="381"/>
        </w:trPr>
        <w:tc>
          <w:tcPr>
            <w:tcW w:w="10482" w:type="dxa"/>
            <w:gridSpan w:val="4"/>
            <w:tcBorders>
              <w:top w:val="single" w:color="FFFFFF" w:sz="6" w:space="0"/>
              <w:left w:val="single" w:color="FFFFFF" w:sz="6" w:space="0"/>
              <w:bottom w:val="single" w:color="FFFFFF" w:sz="12" w:space="0"/>
              <w:right w:val="single" w:color="FFFFFF" w:sz="6" w:space="0"/>
            </w:tcBorders>
            <w:shd w:val="clear" w:color="auto" w:fill="017BC6"/>
          </w:tcPr>
          <w:p w:rsidRPr="005F5B49" w:rsidR="005F5B49" w:rsidP="005F5B49" w:rsidRDefault="005F5B49" w14:paraId="10A785AE" w14:textId="77777777">
            <w:pPr>
              <w:spacing w:before="100" w:beforeAutospacing="1" w:after="100" w:afterAutospacing="1" w:line="240" w:lineRule="auto"/>
              <w:textAlignment w:val="baseline"/>
              <w:rPr>
                <w:b/>
                <w:bCs/>
                <w:color w:val="FFFFFF"/>
                <w:sz w:val="14"/>
                <w:szCs w:val="14"/>
              </w:rPr>
            </w:pPr>
            <w:r w:rsidRPr="005F5B49">
              <w:rPr>
                <w:b/>
                <w:bCs/>
                <w:color w:val="FFFFFF"/>
                <w:sz w:val="14"/>
                <w:szCs w:val="14"/>
              </w:rPr>
              <w:t>*Beoordeling: groen + groen = toegekend, groen + rood = inhoudelijk goed voorstel, maar afgewezen i.v.m. schaarse middelen, rood + rood = afgewezen., oranje = vereist nadere uitwerking.</w:t>
            </w:r>
          </w:p>
        </w:tc>
      </w:tr>
      <w:tr w:rsidRPr="005F5B49" w:rsidR="005F5B49" w:rsidTr="005F5B49" w14:paraId="78819790" w14:textId="77777777">
        <w:trPr>
          <w:trHeight w:val="300"/>
        </w:trPr>
        <w:tc>
          <w:tcPr>
            <w:tcW w:w="2838" w:type="dxa"/>
            <w:tcBorders>
              <w:top w:val="single" w:color="FFFFFF" w:sz="12"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33B2FF9F" w14:textId="77777777">
            <w:pPr>
              <w:spacing w:before="100" w:beforeAutospacing="1" w:after="100" w:afterAutospacing="1" w:line="240" w:lineRule="auto"/>
              <w:textAlignment w:val="baseline"/>
              <w:rPr>
                <w:color w:val="000000"/>
                <w:sz w:val="14"/>
                <w:szCs w:val="14"/>
              </w:rPr>
            </w:pPr>
            <w:r w:rsidRPr="005F5B49">
              <w:rPr>
                <w:color w:val="000000"/>
                <w:sz w:val="14"/>
                <w:szCs w:val="14"/>
              </w:rPr>
              <w:t>EBN: versnellen onderzoek CO2-opslag</w:t>
            </w:r>
          </w:p>
        </w:tc>
        <w:tc>
          <w:tcPr>
            <w:tcW w:w="1325" w:type="dxa"/>
            <w:tcBorders>
              <w:top w:val="single" w:color="FFFFFF" w:sz="12"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75054822"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48</w:t>
            </w:r>
          </w:p>
        </w:tc>
        <w:tc>
          <w:tcPr>
            <w:tcW w:w="1898" w:type="dxa"/>
            <w:tcBorders>
              <w:top w:val="single" w:color="FFFFFF" w:sz="12" w:space="0"/>
              <w:left w:val="single" w:color="FFFFFF" w:sz="6" w:space="0"/>
              <w:bottom w:val="single" w:color="FFFFFF" w:sz="6" w:space="0"/>
              <w:right w:val="single" w:color="FFFFFF" w:sz="6" w:space="0"/>
            </w:tcBorders>
            <w:shd w:val="clear" w:color="auto" w:fill="E17000"/>
            <w:hideMark/>
          </w:tcPr>
          <w:p w:rsidRPr="005F5B49" w:rsidR="005F5B49" w:rsidP="005F5B49" w:rsidRDefault="005F5B49" w14:paraId="66AD243B" w14:textId="77777777">
            <w:pPr>
              <w:spacing w:line="240" w:lineRule="auto"/>
              <w:rPr>
                <w:color w:val="000000"/>
                <w:sz w:val="14"/>
                <w:szCs w:val="14"/>
              </w:rPr>
            </w:pPr>
          </w:p>
        </w:tc>
        <w:tc>
          <w:tcPr>
            <w:tcW w:w="4421" w:type="dxa"/>
            <w:tcBorders>
              <w:top w:val="single" w:color="FFFFFF" w:sz="12"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1B53CA38"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48   (R)</w:t>
            </w:r>
          </w:p>
        </w:tc>
      </w:tr>
      <w:tr w:rsidRPr="005F5B49" w:rsidR="005F5B49" w:rsidTr="005F5B49" w14:paraId="6B4E067A"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1EA06B9F" w14:textId="77777777">
            <w:pPr>
              <w:spacing w:before="100" w:beforeAutospacing="1" w:after="100" w:afterAutospacing="1" w:line="240" w:lineRule="auto"/>
              <w:textAlignment w:val="baseline"/>
              <w:rPr>
                <w:color w:val="000000"/>
                <w:sz w:val="14"/>
                <w:szCs w:val="14"/>
              </w:rPr>
            </w:pPr>
            <w:r w:rsidRPr="005F5B49">
              <w:rPr>
                <w:color w:val="000000"/>
                <w:sz w:val="14"/>
                <w:szCs w:val="14"/>
              </w:rPr>
              <w:t>Deelname EBN in CCS-infrastructuur (CO2-transport en -opslag)</w:t>
            </w:r>
          </w:p>
        </w:tc>
        <w:tc>
          <w:tcPr>
            <w:tcW w:w="1325"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0B4D736E"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823</w:t>
            </w:r>
          </w:p>
        </w:tc>
        <w:tc>
          <w:tcPr>
            <w:tcW w:w="1898" w:type="dxa"/>
            <w:tcBorders>
              <w:top w:val="single" w:color="FFFFFF" w:sz="6" w:space="0"/>
              <w:left w:val="single" w:color="FFFFFF" w:sz="6" w:space="0"/>
              <w:bottom w:val="single" w:color="FFFFFF" w:sz="6" w:space="0"/>
              <w:right w:val="single" w:color="FFFFFF" w:sz="6" w:space="0"/>
            </w:tcBorders>
            <w:shd w:val="clear" w:color="auto" w:fill="E17000"/>
            <w:hideMark/>
          </w:tcPr>
          <w:p w:rsidRPr="005F5B49" w:rsidR="005F5B49" w:rsidP="005F5B49" w:rsidRDefault="005F5B49" w14:paraId="3551ED12"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2300A887" w14:textId="77777777">
            <w:pPr>
              <w:spacing w:before="100" w:beforeAutospacing="1" w:after="100" w:afterAutospacing="1" w:line="240" w:lineRule="auto"/>
              <w:jc w:val="right"/>
              <w:textAlignment w:val="baseline"/>
              <w:rPr>
                <w:color w:val="000000"/>
                <w:sz w:val="14"/>
                <w:szCs w:val="14"/>
                <w:lang w:val="en-US"/>
              </w:rPr>
            </w:pPr>
            <w:r w:rsidRPr="005F5B49">
              <w:rPr>
                <w:color w:val="000000"/>
                <w:sz w:val="14"/>
                <w:szCs w:val="14"/>
              </w:rPr>
              <w:t>381,8   (R) </w:t>
            </w:r>
          </w:p>
        </w:tc>
      </w:tr>
      <w:tr w:rsidRPr="005F5B49" w:rsidR="005F5B49" w:rsidTr="005F5B49" w14:paraId="09609528"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2B5B6272" w14:textId="77777777">
            <w:pPr>
              <w:spacing w:before="100" w:beforeAutospacing="1" w:after="100" w:afterAutospacing="1" w:line="240" w:lineRule="auto"/>
              <w:textAlignment w:val="baseline"/>
              <w:rPr>
                <w:color w:val="000000"/>
                <w:sz w:val="14"/>
                <w:szCs w:val="14"/>
              </w:rPr>
            </w:pPr>
            <w:proofErr w:type="spellStart"/>
            <w:r w:rsidRPr="005F5B49">
              <w:rPr>
                <w:color w:val="000000"/>
                <w:sz w:val="14"/>
                <w:szCs w:val="14"/>
              </w:rPr>
              <w:t>Aramis</w:t>
            </w:r>
            <w:proofErr w:type="spellEnd"/>
            <w:r w:rsidRPr="005F5B49">
              <w:rPr>
                <w:color w:val="000000"/>
                <w:sz w:val="14"/>
                <w:szCs w:val="14"/>
              </w:rPr>
              <w:t> (volloop)</w:t>
            </w:r>
          </w:p>
        </w:tc>
        <w:tc>
          <w:tcPr>
            <w:tcW w:w="1325"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6BDC6715"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412</w:t>
            </w:r>
          </w:p>
        </w:tc>
        <w:tc>
          <w:tcPr>
            <w:tcW w:w="1898" w:type="dxa"/>
            <w:tcBorders>
              <w:top w:val="single" w:color="FFFFFF" w:sz="6" w:space="0"/>
              <w:left w:val="single" w:color="FFFFFF" w:sz="6" w:space="0"/>
              <w:bottom w:val="single" w:color="FFFFFF" w:sz="6" w:space="0"/>
              <w:right w:val="single" w:color="FFFFFF" w:sz="6" w:space="0"/>
            </w:tcBorders>
            <w:shd w:val="clear" w:color="auto" w:fill="E17000"/>
            <w:hideMark/>
          </w:tcPr>
          <w:p w:rsidRPr="005F5B49" w:rsidR="005F5B49" w:rsidP="005F5B49" w:rsidRDefault="005F5B49" w14:paraId="016B8F43"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1663AFEB" w14:textId="77777777">
            <w:pPr>
              <w:spacing w:before="100" w:beforeAutospacing="1" w:after="100" w:afterAutospacing="1" w:line="240" w:lineRule="auto"/>
              <w:jc w:val="right"/>
              <w:textAlignment w:val="baseline"/>
              <w:rPr>
                <w:color w:val="000000"/>
                <w:sz w:val="14"/>
                <w:szCs w:val="14"/>
                <w:lang w:val="en-US"/>
              </w:rPr>
            </w:pPr>
            <w:r w:rsidRPr="005F5B49">
              <w:rPr>
                <w:color w:val="000000"/>
                <w:sz w:val="14"/>
                <w:szCs w:val="14"/>
              </w:rPr>
              <w:t>412 (</w:t>
            </w:r>
            <w:proofErr w:type="spellStart"/>
            <w:r w:rsidRPr="005F5B49">
              <w:rPr>
                <w:color w:val="000000"/>
                <w:sz w:val="14"/>
                <w:szCs w:val="14"/>
              </w:rPr>
              <w:t>ToV</w:t>
            </w:r>
            <w:proofErr w:type="spellEnd"/>
            <w:r w:rsidRPr="005F5B49">
              <w:rPr>
                <w:color w:val="000000"/>
                <w:sz w:val="14"/>
                <w:szCs w:val="14"/>
              </w:rPr>
              <w:t>)</w:t>
            </w:r>
          </w:p>
        </w:tc>
      </w:tr>
      <w:tr w:rsidRPr="005F5B49" w:rsidR="005F5B49" w:rsidTr="005F5B49" w14:paraId="41230913"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5946C2C9" w14:textId="77777777">
            <w:pPr>
              <w:spacing w:before="100" w:beforeAutospacing="1" w:after="100" w:afterAutospacing="1" w:line="240" w:lineRule="auto"/>
              <w:textAlignment w:val="baseline"/>
              <w:rPr>
                <w:color w:val="000000"/>
                <w:sz w:val="14"/>
                <w:szCs w:val="14"/>
              </w:rPr>
            </w:pPr>
            <w:r w:rsidRPr="005F5B49">
              <w:rPr>
                <w:color w:val="000000"/>
                <w:sz w:val="14"/>
                <w:szCs w:val="14"/>
              </w:rPr>
              <w:t>IKC-ETS 2025</w:t>
            </w:r>
          </w:p>
        </w:tc>
        <w:tc>
          <w:tcPr>
            <w:tcW w:w="1325"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0AAB7167"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1.200</w:t>
            </w:r>
          </w:p>
        </w:tc>
        <w:tc>
          <w:tcPr>
            <w:tcW w:w="1898" w:type="dxa"/>
            <w:tcBorders>
              <w:top w:val="single" w:color="FFFFFF" w:sz="6" w:space="0"/>
              <w:left w:val="single" w:color="FFFFFF" w:sz="6" w:space="0"/>
              <w:bottom w:val="single" w:color="FFFFFF" w:sz="6" w:space="0"/>
              <w:right w:val="single" w:color="FFFFFF" w:sz="6" w:space="0"/>
            </w:tcBorders>
            <w:shd w:val="clear" w:color="auto" w:fill="E17000"/>
            <w:hideMark/>
          </w:tcPr>
          <w:p w:rsidRPr="005F5B49" w:rsidR="005F5B49" w:rsidP="005F5B49" w:rsidRDefault="005F5B49" w14:paraId="6E2A2613"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6203A6CE" w14:textId="77777777">
            <w:pPr>
              <w:spacing w:before="100" w:beforeAutospacing="1" w:after="100" w:afterAutospacing="1" w:line="240" w:lineRule="auto"/>
              <w:jc w:val="right"/>
              <w:textAlignment w:val="baseline"/>
              <w:rPr>
                <w:color w:val="000000"/>
                <w:sz w:val="14"/>
                <w:szCs w:val="14"/>
                <w:lang w:val="en-US"/>
              </w:rPr>
            </w:pPr>
            <w:r w:rsidRPr="005F5B49">
              <w:rPr>
                <w:color w:val="000000"/>
                <w:sz w:val="14"/>
                <w:szCs w:val="14"/>
              </w:rPr>
              <w:t>600 (</w:t>
            </w:r>
            <w:proofErr w:type="spellStart"/>
            <w:r w:rsidRPr="005F5B49">
              <w:rPr>
                <w:color w:val="000000"/>
                <w:sz w:val="14"/>
                <w:szCs w:val="14"/>
              </w:rPr>
              <w:t>ToV</w:t>
            </w:r>
            <w:proofErr w:type="spellEnd"/>
            <w:r w:rsidRPr="005F5B49">
              <w:rPr>
                <w:color w:val="000000"/>
                <w:sz w:val="14"/>
                <w:szCs w:val="14"/>
              </w:rPr>
              <w:t>)</w:t>
            </w:r>
          </w:p>
        </w:tc>
      </w:tr>
      <w:tr w:rsidRPr="005F5B49" w:rsidR="005F5B49" w:rsidTr="005F5B49" w14:paraId="5557D602"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781FE861" w14:textId="77777777">
            <w:pPr>
              <w:spacing w:before="100" w:beforeAutospacing="1" w:after="100" w:afterAutospacing="1" w:line="240" w:lineRule="auto"/>
              <w:textAlignment w:val="baseline"/>
              <w:rPr>
                <w:color w:val="000000"/>
                <w:sz w:val="14"/>
                <w:szCs w:val="14"/>
              </w:rPr>
            </w:pPr>
            <w:r w:rsidRPr="005F5B49">
              <w:rPr>
                <w:color w:val="000000"/>
                <w:sz w:val="14"/>
                <w:szCs w:val="14"/>
              </w:rPr>
              <w:t>Reservering maatwerkfinanciering (uit reservering eventuele maatwerksubsidies)</w:t>
            </w:r>
          </w:p>
        </w:tc>
        <w:tc>
          <w:tcPr>
            <w:tcW w:w="1325"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7B22C034"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574,7</w:t>
            </w:r>
          </w:p>
        </w:tc>
        <w:tc>
          <w:tcPr>
            <w:tcW w:w="1898"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7F348B8A"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1DDA28B1"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479,4  (R)</w:t>
            </w:r>
          </w:p>
        </w:tc>
      </w:tr>
      <w:tr w:rsidRPr="005F5B49" w:rsidR="005F5B49" w:rsidTr="005F5B49" w14:paraId="6A050EF9"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25B9DE0C" w14:textId="77777777">
            <w:pPr>
              <w:spacing w:before="100" w:beforeAutospacing="1" w:after="100" w:afterAutospacing="1" w:line="240" w:lineRule="auto"/>
              <w:textAlignment w:val="baseline"/>
              <w:rPr>
                <w:color w:val="000000"/>
                <w:sz w:val="14"/>
                <w:szCs w:val="14"/>
              </w:rPr>
            </w:pPr>
            <w:r w:rsidRPr="005F5B49">
              <w:rPr>
                <w:color w:val="000000"/>
                <w:sz w:val="14"/>
                <w:szCs w:val="14"/>
              </w:rPr>
              <w:t>Reservering ophoging budget maatwerkfinanciering (uit reservering ophoging perceel)</w:t>
            </w:r>
          </w:p>
        </w:tc>
        <w:tc>
          <w:tcPr>
            <w:tcW w:w="1325"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66884B99"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229,6</w:t>
            </w:r>
          </w:p>
        </w:tc>
        <w:tc>
          <w:tcPr>
            <w:tcW w:w="1898"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15C9133D"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5DF3B8CA"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229,6  (R)</w:t>
            </w:r>
          </w:p>
        </w:tc>
      </w:tr>
      <w:tr w:rsidRPr="005F5B49" w:rsidR="005F5B49" w:rsidTr="005F5B49" w14:paraId="51E18A1D"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5F1C4E62" w14:textId="77777777">
            <w:pPr>
              <w:spacing w:before="100" w:beforeAutospacing="1" w:after="100" w:afterAutospacing="1" w:line="240" w:lineRule="auto"/>
              <w:textAlignment w:val="baseline"/>
              <w:rPr>
                <w:color w:val="000000"/>
                <w:sz w:val="14"/>
                <w:szCs w:val="14"/>
              </w:rPr>
            </w:pPr>
            <w:r w:rsidRPr="005F5B49">
              <w:rPr>
                <w:color w:val="000000"/>
                <w:sz w:val="14"/>
                <w:szCs w:val="14"/>
              </w:rPr>
              <w:t>NIKI</w:t>
            </w:r>
          </w:p>
        </w:tc>
        <w:tc>
          <w:tcPr>
            <w:tcW w:w="1325"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5BF7DCF7"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300</w:t>
            </w:r>
          </w:p>
        </w:tc>
        <w:tc>
          <w:tcPr>
            <w:tcW w:w="1898"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4EE4E7FD"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3EA4C334"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300   (T)</w:t>
            </w:r>
          </w:p>
        </w:tc>
      </w:tr>
      <w:tr w:rsidRPr="005F5B49" w:rsidR="005F5B49" w:rsidTr="005F5B49" w14:paraId="22C5032A"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547C6DC6" w14:textId="77777777">
            <w:pPr>
              <w:spacing w:before="100" w:beforeAutospacing="1" w:after="100" w:afterAutospacing="1" w:line="240" w:lineRule="auto"/>
              <w:textAlignment w:val="baseline"/>
              <w:rPr>
                <w:color w:val="000000"/>
                <w:sz w:val="14"/>
                <w:szCs w:val="14"/>
              </w:rPr>
            </w:pPr>
            <w:r w:rsidRPr="005F5B49">
              <w:rPr>
                <w:color w:val="000000"/>
                <w:sz w:val="14"/>
                <w:szCs w:val="14"/>
              </w:rPr>
              <w:t>Reservering: NIKI</w:t>
            </w:r>
          </w:p>
        </w:tc>
        <w:tc>
          <w:tcPr>
            <w:tcW w:w="1325"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448C2CB5"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700</w:t>
            </w:r>
          </w:p>
        </w:tc>
        <w:tc>
          <w:tcPr>
            <w:tcW w:w="1898"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509BE52F"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07B41637"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650   (R)</w:t>
            </w:r>
          </w:p>
        </w:tc>
      </w:tr>
      <w:tr w:rsidRPr="005F5B49" w:rsidR="005F5B49" w:rsidTr="005F5B49" w14:paraId="051C4CB8"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7B172B29" w14:textId="77777777">
            <w:pPr>
              <w:spacing w:before="100" w:beforeAutospacing="1" w:after="100" w:afterAutospacing="1" w:line="240" w:lineRule="auto"/>
              <w:textAlignment w:val="baseline"/>
              <w:rPr>
                <w:color w:val="000000"/>
                <w:sz w:val="14"/>
                <w:szCs w:val="14"/>
              </w:rPr>
            </w:pPr>
            <w:r w:rsidRPr="005F5B49">
              <w:rPr>
                <w:color w:val="000000"/>
                <w:sz w:val="14"/>
                <w:szCs w:val="14"/>
              </w:rPr>
              <w:t>Toekenning onder voorwaarde: Elektrolyse, vraagsubsidies</w:t>
            </w:r>
          </w:p>
        </w:tc>
        <w:tc>
          <w:tcPr>
            <w:tcW w:w="1325"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42DFB9FB"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767</w:t>
            </w:r>
          </w:p>
        </w:tc>
        <w:tc>
          <w:tcPr>
            <w:tcW w:w="1898" w:type="dxa"/>
            <w:tcBorders>
              <w:top w:val="single" w:color="FFFFFF" w:sz="6" w:space="0"/>
              <w:left w:val="single" w:color="FFFFFF" w:sz="6" w:space="0"/>
              <w:bottom w:val="single" w:color="FFFFFF" w:sz="6" w:space="0"/>
              <w:right w:val="single" w:color="FFFFFF" w:sz="6" w:space="0"/>
            </w:tcBorders>
            <w:shd w:val="clear" w:color="auto" w:fill="E17000"/>
            <w:hideMark/>
          </w:tcPr>
          <w:p w:rsidRPr="005F5B49" w:rsidR="005F5B49" w:rsidP="005F5B49" w:rsidRDefault="005F5B49" w14:paraId="1BEEB637"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2FD12244"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767 (</w:t>
            </w:r>
            <w:proofErr w:type="spellStart"/>
            <w:r w:rsidRPr="005F5B49">
              <w:rPr>
                <w:color w:val="000000"/>
                <w:sz w:val="14"/>
                <w:szCs w:val="14"/>
              </w:rPr>
              <w:t>ToV</w:t>
            </w:r>
            <w:proofErr w:type="spellEnd"/>
            <w:r w:rsidRPr="005F5B49">
              <w:rPr>
                <w:color w:val="000000"/>
                <w:sz w:val="14"/>
                <w:szCs w:val="14"/>
              </w:rPr>
              <w:t>)</w:t>
            </w:r>
          </w:p>
        </w:tc>
      </w:tr>
      <w:tr w:rsidRPr="005F5B49" w:rsidR="005F5B49" w:rsidTr="005F5B49" w14:paraId="24EE0171"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29B7E34C" w14:textId="77777777">
            <w:pPr>
              <w:spacing w:before="100" w:beforeAutospacing="1" w:after="100" w:afterAutospacing="1" w:line="240" w:lineRule="auto"/>
              <w:textAlignment w:val="baseline"/>
              <w:rPr>
                <w:color w:val="000000"/>
                <w:sz w:val="14"/>
                <w:szCs w:val="14"/>
              </w:rPr>
            </w:pPr>
            <w:r w:rsidRPr="005F5B49">
              <w:rPr>
                <w:color w:val="000000"/>
                <w:sz w:val="14"/>
                <w:szCs w:val="14"/>
              </w:rPr>
              <w:t>Energiebesparing mkb: energiebesparingsfonds mkb</w:t>
            </w:r>
          </w:p>
        </w:tc>
        <w:tc>
          <w:tcPr>
            <w:tcW w:w="1325"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0E9793C8"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100</w:t>
            </w:r>
          </w:p>
        </w:tc>
        <w:tc>
          <w:tcPr>
            <w:tcW w:w="1898"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680D29D5"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5C0AC9D6"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100 (</w:t>
            </w:r>
            <w:proofErr w:type="spellStart"/>
            <w:r w:rsidRPr="005F5B49">
              <w:rPr>
                <w:color w:val="000000"/>
                <w:sz w:val="14"/>
                <w:szCs w:val="14"/>
              </w:rPr>
              <w:t>ToV</w:t>
            </w:r>
            <w:proofErr w:type="spellEnd"/>
            <w:r w:rsidRPr="005F5B49">
              <w:rPr>
                <w:color w:val="000000"/>
                <w:sz w:val="14"/>
                <w:szCs w:val="14"/>
              </w:rPr>
              <w:t>)</w:t>
            </w:r>
          </w:p>
        </w:tc>
      </w:tr>
      <w:tr w:rsidRPr="005F5B49" w:rsidR="005F5B49" w:rsidTr="005F5B49" w14:paraId="4677E8E5"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59BA18B4" w14:textId="77777777">
            <w:pPr>
              <w:spacing w:before="100" w:beforeAutospacing="1" w:after="100" w:afterAutospacing="1" w:line="240" w:lineRule="auto"/>
              <w:textAlignment w:val="baseline"/>
              <w:rPr>
                <w:color w:val="000000"/>
                <w:sz w:val="14"/>
                <w:szCs w:val="14"/>
              </w:rPr>
            </w:pPr>
            <w:r w:rsidRPr="005F5B49">
              <w:rPr>
                <w:color w:val="000000"/>
                <w:sz w:val="14"/>
                <w:szCs w:val="14"/>
              </w:rPr>
              <w:t>Energiebesparing mkb: Uitbreiding </w:t>
            </w:r>
            <w:proofErr w:type="spellStart"/>
            <w:r w:rsidRPr="005F5B49">
              <w:rPr>
                <w:color w:val="000000"/>
                <w:sz w:val="14"/>
                <w:szCs w:val="14"/>
              </w:rPr>
              <w:t>ontzorgingsprogramma</w:t>
            </w:r>
            <w:proofErr w:type="spellEnd"/>
          </w:p>
        </w:tc>
        <w:tc>
          <w:tcPr>
            <w:tcW w:w="1325"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53528443"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25</w:t>
            </w:r>
          </w:p>
        </w:tc>
        <w:tc>
          <w:tcPr>
            <w:tcW w:w="1898"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1FA8D423"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2ADEF55E"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25 (</w:t>
            </w:r>
            <w:proofErr w:type="spellStart"/>
            <w:r w:rsidRPr="005F5B49">
              <w:rPr>
                <w:color w:val="000000"/>
                <w:sz w:val="14"/>
                <w:szCs w:val="14"/>
              </w:rPr>
              <w:t>ToV</w:t>
            </w:r>
            <w:proofErr w:type="spellEnd"/>
            <w:r w:rsidRPr="005F5B49">
              <w:rPr>
                <w:color w:val="000000"/>
                <w:sz w:val="14"/>
                <w:szCs w:val="14"/>
              </w:rPr>
              <w:t>)</w:t>
            </w:r>
          </w:p>
        </w:tc>
      </w:tr>
      <w:tr w:rsidRPr="005F5B49" w:rsidR="005F5B49" w:rsidTr="005F5B49" w14:paraId="2EEC4D6B"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012E798E" w14:textId="77777777">
            <w:pPr>
              <w:spacing w:before="100" w:beforeAutospacing="1" w:after="100" w:afterAutospacing="1" w:line="240" w:lineRule="auto"/>
              <w:textAlignment w:val="baseline"/>
              <w:rPr>
                <w:color w:val="000000"/>
                <w:sz w:val="14"/>
                <w:szCs w:val="14"/>
              </w:rPr>
            </w:pPr>
            <w:r w:rsidRPr="005F5B49">
              <w:rPr>
                <w:color w:val="000000"/>
                <w:sz w:val="14"/>
                <w:szCs w:val="14"/>
              </w:rPr>
              <w:t>Energiebesparing mkb: Duurzaamheidsleningen mkb</w:t>
            </w:r>
          </w:p>
        </w:tc>
        <w:tc>
          <w:tcPr>
            <w:tcW w:w="1325"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6EF9E053"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15</w:t>
            </w:r>
          </w:p>
        </w:tc>
        <w:tc>
          <w:tcPr>
            <w:tcW w:w="1898"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031FC2A6"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747B07EF"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15 (</w:t>
            </w:r>
            <w:proofErr w:type="spellStart"/>
            <w:r w:rsidRPr="005F5B49">
              <w:rPr>
                <w:color w:val="000000"/>
                <w:sz w:val="14"/>
                <w:szCs w:val="14"/>
              </w:rPr>
              <w:t>ToV</w:t>
            </w:r>
            <w:proofErr w:type="spellEnd"/>
            <w:r w:rsidRPr="005F5B49">
              <w:rPr>
                <w:color w:val="000000"/>
                <w:sz w:val="14"/>
                <w:szCs w:val="14"/>
              </w:rPr>
              <w:t>)</w:t>
            </w:r>
          </w:p>
        </w:tc>
      </w:tr>
      <w:tr w:rsidRPr="005F5B49" w:rsidR="005F5B49" w:rsidTr="005F5B49" w14:paraId="09255241"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3A62DA83" w14:textId="77777777">
            <w:pPr>
              <w:spacing w:before="100" w:beforeAutospacing="1" w:after="100" w:afterAutospacing="1" w:line="240" w:lineRule="auto"/>
              <w:textAlignment w:val="baseline"/>
              <w:rPr>
                <w:color w:val="000000"/>
                <w:sz w:val="14"/>
                <w:szCs w:val="14"/>
              </w:rPr>
            </w:pPr>
            <w:r w:rsidRPr="005F5B49">
              <w:rPr>
                <w:color w:val="000000"/>
                <w:sz w:val="14"/>
                <w:szCs w:val="14"/>
              </w:rPr>
              <w:t>Reservering: Handhaving aangescherpte energiebesparingsplicht</w:t>
            </w:r>
          </w:p>
        </w:tc>
        <w:tc>
          <w:tcPr>
            <w:tcW w:w="1325"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7D65A8DB"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6,7</w:t>
            </w:r>
          </w:p>
        </w:tc>
        <w:tc>
          <w:tcPr>
            <w:tcW w:w="1898" w:type="dxa"/>
            <w:tcBorders>
              <w:top w:val="single" w:color="FFFFFF" w:sz="6" w:space="0"/>
              <w:left w:val="single" w:color="FFFFFF" w:sz="6" w:space="0"/>
              <w:bottom w:val="single" w:color="FFFFFF" w:sz="6" w:space="0"/>
              <w:right w:val="single" w:color="FFFFFF" w:sz="6" w:space="0"/>
            </w:tcBorders>
            <w:shd w:val="clear" w:color="auto" w:fill="E17000"/>
            <w:hideMark/>
          </w:tcPr>
          <w:p w:rsidRPr="005F5B49" w:rsidR="005F5B49" w:rsidP="005F5B49" w:rsidRDefault="005F5B49" w14:paraId="400BCE86"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1FFEB2FD" w14:textId="77777777">
            <w:pPr>
              <w:spacing w:before="100" w:beforeAutospacing="1" w:after="100" w:afterAutospacing="1" w:line="240" w:lineRule="auto"/>
              <w:jc w:val="right"/>
              <w:textAlignment w:val="baseline"/>
              <w:rPr>
                <w:color w:val="000000"/>
                <w:sz w:val="14"/>
                <w:szCs w:val="14"/>
                <w:lang w:val="en-US"/>
              </w:rPr>
            </w:pPr>
            <w:r w:rsidRPr="005F5B49">
              <w:rPr>
                <w:color w:val="000000"/>
                <w:sz w:val="14"/>
                <w:szCs w:val="14"/>
              </w:rPr>
              <w:t>6,7   (R)</w:t>
            </w:r>
          </w:p>
        </w:tc>
      </w:tr>
      <w:tr w:rsidRPr="005F5B49" w:rsidR="005F5B49" w:rsidTr="005F5B49" w14:paraId="1245A776"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77D13FE2" w14:textId="77777777">
            <w:pPr>
              <w:spacing w:before="100" w:beforeAutospacing="1" w:after="100" w:afterAutospacing="1" w:line="240" w:lineRule="auto"/>
              <w:textAlignment w:val="baseline"/>
              <w:rPr>
                <w:color w:val="000000"/>
                <w:sz w:val="14"/>
                <w:szCs w:val="14"/>
              </w:rPr>
            </w:pPr>
            <w:r w:rsidRPr="005F5B49">
              <w:rPr>
                <w:color w:val="000000"/>
                <w:sz w:val="14"/>
                <w:szCs w:val="14"/>
              </w:rPr>
              <w:t>Ondersteuning cluster 6</w:t>
            </w:r>
          </w:p>
        </w:tc>
        <w:tc>
          <w:tcPr>
            <w:tcW w:w="1325"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318CAAC0"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28,5</w:t>
            </w:r>
          </w:p>
        </w:tc>
        <w:tc>
          <w:tcPr>
            <w:tcW w:w="1898"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7C7F6615"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3E7C27C5"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17,6  (T)</w:t>
            </w:r>
          </w:p>
          <w:p w:rsidRPr="005F5B49" w:rsidR="005F5B49" w:rsidP="005F5B49" w:rsidRDefault="005F5B49" w14:paraId="3C0E7906"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20,4   (R) </w:t>
            </w:r>
          </w:p>
        </w:tc>
      </w:tr>
      <w:tr w:rsidRPr="005F5B49" w:rsidR="005F5B49" w:rsidTr="005F5B49" w14:paraId="16ECE892"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153609E6" w14:textId="77777777">
            <w:pPr>
              <w:spacing w:before="100" w:beforeAutospacing="1" w:after="100" w:afterAutospacing="1" w:line="240" w:lineRule="auto"/>
              <w:textAlignment w:val="baseline"/>
              <w:rPr>
                <w:color w:val="000000"/>
                <w:sz w:val="14"/>
                <w:szCs w:val="14"/>
                <w:lang w:val="en-US"/>
              </w:rPr>
            </w:pPr>
            <w:r w:rsidRPr="005F5B49">
              <w:rPr>
                <w:color w:val="000000"/>
                <w:sz w:val="14"/>
                <w:szCs w:val="14"/>
                <w:lang w:val="en-US"/>
              </w:rPr>
              <w:t>Social Climate Fund: </w:t>
            </w:r>
            <w:proofErr w:type="spellStart"/>
            <w:r w:rsidRPr="005F5B49">
              <w:rPr>
                <w:color w:val="000000"/>
                <w:sz w:val="14"/>
                <w:szCs w:val="14"/>
                <w:lang w:val="en-US"/>
              </w:rPr>
              <w:t>fixteams</w:t>
            </w:r>
            <w:proofErr w:type="spellEnd"/>
            <w:r w:rsidRPr="005F5B49">
              <w:rPr>
                <w:color w:val="000000"/>
                <w:sz w:val="14"/>
                <w:szCs w:val="14"/>
                <w:lang w:val="en-US"/>
              </w:rPr>
              <w:t> voor </w:t>
            </w:r>
            <w:proofErr w:type="spellStart"/>
            <w:r w:rsidRPr="005F5B49">
              <w:rPr>
                <w:color w:val="000000"/>
                <w:sz w:val="14"/>
                <w:szCs w:val="14"/>
                <w:lang w:val="en-US"/>
              </w:rPr>
              <w:t>bedrijven</w:t>
            </w:r>
            <w:proofErr w:type="spellEnd"/>
          </w:p>
        </w:tc>
        <w:tc>
          <w:tcPr>
            <w:tcW w:w="1325"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55268097"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lang w:val="en-US"/>
              </w:rPr>
              <w:t xml:space="preserve">    </w:t>
            </w:r>
            <w:r w:rsidRPr="005F5B49">
              <w:rPr>
                <w:color w:val="000000"/>
                <w:sz w:val="14"/>
                <w:szCs w:val="14"/>
              </w:rPr>
              <w:t>9</w:t>
            </w:r>
          </w:p>
        </w:tc>
        <w:tc>
          <w:tcPr>
            <w:tcW w:w="1898"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411FF7FF"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0279D4FF"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9 (</w:t>
            </w:r>
            <w:proofErr w:type="spellStart"/>
            <w:r w:rsidRPr="005F5B49">
              <w:rPr>
                <w:color w:val="000000"/>
                <w:sz w:val="14"/>
                <w:szCs w:val="14"/>
              </w:rPr>
              <w:t>ToV</w:t>
            </w:r>
            <w:proofErr w:type="spellEnd"/>
            <w:r w:rsidRPr="005F5B49">
              <w:rPr>
                <w:color w:val="000000"/>
                <w:sz w:val="14"/>
                <w:szCs w:val="14"/>
              </w:rPr>
              <w:t>)</w:t>
            </w:r>
          </w:p>
        </w:tc>
      </w:tr>
      <w:tr w:rsidRPr="005F5B49" w:rsidR="005F5B49" w:rsidTr="005F5B49" w14:paraId="1A6193EF"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19A2E9C8" w14:textId="77777777">
            <w:pPr>
              <w:spacing w:before="100" w:beforeAutospacing="1" w:after="100" w:afterAutospacing="1" w:line="240" w:lineRule="auto"/>
              <w:textAlignment w:val="baseline"/>
              <w:rPr>
                <w:color w:val="000000"/>
                <w:sz w:val="14"/>
                <w:szCs w:val="14"/>
              </w:rPr>
            </w:pPr>
            <w:r w:rsidRPr="005F5B49">
              <w:rPr>
                <w:color w:val="000000"/>
                <w:sz w:val="14"/>
                <w:szCs w:val="14"/>
              </w:rPr>
              <w:t>Stimuleringsprogramma innovatie en vroege opschaling koolstofverwijdering</w:t>
            </w:r>
          </w:p>
        </w:tc>
        <w:tc>
          <w:tcPr>
            <w:tcW w:w="1325"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19EF65BD"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105</w:t>
            </w:r>
          </w:p>
        </w:tc>
        <w:tc>
          <w:tcPr>
            <w:tcW w:w="1898" w:type="dxa"/>
            <w:tcBorders>
              <w:top w:val="single" w:color="FFFFFF" w:sz="6" w:space="0"/>
              <w:left w:val="single" w:color="FFFFFF" w:sz="6" w:space="0"/>
              <w:bottom w:val="single" w:color="FFFFFF" w:sz="6" w:space="0"/>
              <w:right w:val="single" w:color="FFFFFF" w:sz="6" w:space="0"/>
            </w:tcBorders>
            <w:shd w:val="clear" w:color="auto" w:fill="E17000"/>
            <w:hideMark/>
          </w:tcPr>
          <w:p w:rsidRPr="005F5B49" w:rsidR="005F5B49" w:rsidP="005F5B49" w:rsidRDefault="005F5B49" w14:paraId="101ED376"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09A31A81"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50   (</w:t>
            </w:r>
            <w:proofErr w:type="spellStart"/>
            <w:r w:rsidRPr="005F5B49">
              <w:rPr>
                <w:color w:val="000000"/>
                <w:sz w:val="14"/>
                <w:szCs w:val="14"/>
              </w:rPr>
              <w:t>ToV</w:t>
            </w:r>
            <w:proofErr w:type="spellEnd"/>
            <w:r w:rsidRPr="005F5B49">
              <w:rPr>
                <w:color w:val="000000"/>
                <w:sz w:val="14"/>
                <w:szCs w:val="14"/>
              </w:rPr>
              <w:t>)</w:t>
            </w:r>
          </w:p>
          <w:p w:rsidRPr="005F5B49" w:rsidR="005F5B49" w:rsidP="005F5B49" w:rsidRDefault="005F5B49" w14:paraId="513C8906"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16,5 (R) </w:t>
            </w:r>
          </w:p>
        </w:tc>
      </w:tr>
      <w:tr w:rsidRPr="005F5B49" w:rsidR="005F5B49" w:rsidTr="005F5B49" w14:paraId="5D37C92A" w14:textId="77777777">
        <w:trPr>
          <w:trHeight w:val="240"/>
        </w:trPr>
        <w:tc>
          <w:tcPr>
            <w:tcW w:w="2838"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2C74E8C1" w14:textId="77777777">
            <w:pPr>
              <w:spacing w:before="100" w:beforeAutospacing="1" w:after="100" w:afterAutospacing="1" w:line="240" w:lineRule="auto"/>
              <w:textAlignment w:val="baseline"/>
              <w:rPr>
                <w:color w:val="000000"/>
                <w:sz w:val="14"/>
                <w:szCs w:val="14"/>
                <w:lang w:val="en-US"/>
              </w:rPr>
            </w:pPr>
            <w:r w:rsidRPr="005F5B49">
              <w:rPr>
                <w:color w:val="000000"/>
                <w:sz w:val="14"/>
                <w:szCs w:val="14"/>
              </w:rPr>
              <w:t>DEI-XL</w:t>
            </w:r>
          </w:p>
        </w:tc>
        <w:tc>
          <w:tcPr>
            <w:tcW w:w="1325"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1C11FF0B" w14:textId="77777777">
            <w:pPr>
              <w:spacing w:before="100" w:beforeAutospacing="1" w:after="100" w:afterAutospacing="1" w:line="240" w:lineRule="auto"/>
              <w:jc w:val="right"/>
              <w:textAlignment w:val="baseline"/>
              <w:rPr>
                <w:color w:val="000000"/>
                <w:sz w:val="14"/>
                <w:szCs w:val="14"/>
                <w:lang w:val="en-US"/>
              </w:rPr>
            </w:pPr>
            <w:r w:rsidRPr="005F5B49">
              <w:rPr>
                <w:color w:val="000000"/>
                <w:sz w:val="14"/>
                <w:szCs w:val="14"/>
              </w:rPr>
              <w:t>348,6</w:t>
            </w:r>
          </w:p>
        </w:tc>
        <w:tc>
          <w:tcPr>
            <w:tcW w:w="1898"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7972150C" w14:textId="77777777">
            <w:pPr>
              <w:spacing w:line="240" w:lineRule="auto"/>
              <w:rPr>
                <w:color w:val="000000"/>
                <w:sz w:val="14"/>
                <w:szCs w:val="14"/>
                <w:lang w:val="en-US"/>
              </w:rPr>
            </w:pPr>
          </w:p>
        </w:tc>
        <w:tc>
          <w:tcPr>
            <w:tcW w:w="4421" w:type="dxa"/>
            <w:tcBorders>
              <w:top w:val="single" w:color="FFFFFF" w:sz="6" w:space="0"/>
              <w:left w:val="single" w:color="FFFFFF" w:sz="6" w:space="0"/>
              <w:bottom w:val="single" w:color="FFFFFF" w:sz="6" w:space="0"/>
              <w:right w:val="single" w:color="FFFFFF" w:sz="6" w:space="0"/>
            </w:tcBorders>
            <w:shd w:val="clear" w:color="auto" w:fill="00B050"/>
            <w:hideMark/>
          </w:tcPr>
          <w:p w:rsidRPr="005F5B49" w:rsidR="005F5B49" w:rsidP="005F5B49" w:rsidRDefault="005F5B49" w14:paraId="289E5536" w14:textId="77777777">
            <w:pPr>
              <w:spacing w:before="100" w:beforeAutospacing="1" w:after="100" w:afterAutospacing="1" w:line="240" w:lineRule="auto"/>
              <w:jc w:val="right"/>
              <w:textAlignment w:val="baseline"/>
              <w:rPr>
                <w:color w:val="000000"/>
                <w:sz w:val="14"/>
                <w:szCs w:val="14"/>
                <w:lang w:val="en-US"/>
              </w:rPr>
            </w:pPr>
            <w:r w:rsidRPr="005F5B49">
              <w:rPr>
                <w:color w:val="000000"/>
                <w:sz w:val="14"/>
                <w:szCs w:val="14"/>
              </w:rPr>
              <w:t>261 (</w:t>
            </w:r>
            <w:proofErr w:type="spellStart"/>
            <w:r w:rsidRPr="005F5B49">
              <w:rPr>
                <w:color w:val="000000"/>
                <w:sz w:val="14"/>
                <w:szCs w:val="14"/>
              </w:rPr>
              <w:t>ToV</w:t>
            </w:r>
            <w:proofErr w:type="spellEnd"/>
            <w:r w:rsidRPr="005F5B49">
              <w:rPr>
                <w:color w:val="000000"/>
                <w:sz w:val="14"/>
                <w:szCs w:val="14"/>
              </w:rPr>
              <w:t>)</w:t>
            </w:r>
          </w:p>
        </w:tc>
      </w:tr>
      <w:tr w:rsidRPr="005F5B49" w:rsidR="005F5B49" w:rsidTr="005F5B49" w14:paraId="57954EEC"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402D3436" w14:textId="77777777">
            <w:pPr>
              <w:spacing w:before="100" w:beforeAutospacing="1" w:after="100" w:afterAutospacing="1" w:line="240" w:lineRule="auto"/>
              <w:textAlignment w:val="baseline"/>
              <w:rPr>
                <w:color w:val="000000"/>
                <w:sz w:val="14"/>
                <w:szCs w:val="14"/>
              </w:rPr>
            </w:pPr>
            <w:r w:rsidRPr="005F5B49">
              <w:rPr>
                <w:color w:val="000000"/>
                <w:sz w:val="14"/>
                <w:szCs w:val="14"/>
              </w:rPr>
              <w:t>Reservering: onderzoek nationaal emissieplafond ESR sectoren</w:t>
            </w:r>
          </w:p>
        </w:tc>
        <w:tc>
          <w:tcPr>
            <w:tcW w:w="1325"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2138E14C"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-1,9</w:t>
            </w:r>
          </w:p>
        </w:tc>
        <w:tc>
          <w:tcPr>
            <w:tcW w:w="1898" w:type="dxa"/>
            <w:tcBorders>
              <w:top w:val="single" w:color="FFFFFF" w:sz="6" w:space="0"/>
              <w:left w:val="single" w:color="FFFFFF" w:sz="6" w:space="0"/>
              <w:bottom w:val="single" w:color="FFFFFF" w:sz="6" w:space="0"/>
              <w:right w:val="single" w:color="FFFFFF" w:sz="6" w:space="0"/>
            </w:tcBorders>
            <w:shd w:val="clear" w:color="auto" w:fill="FF0000"/>
            <w:hideMark/>
          </w:tcPr>
          <w:p w:rsidRPr="005F5B49" w:rsidR="005F5B49" w:rsidP="005F5B49" w:rsidRDefault="005F5B49" w14:paraId="1E27E6BF"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FF0000"/>
            <w:hideMark/>
          </w:tcPr>
          <w:p w:rsidRPr="005F5B49" w:rsidR="005F5B49" w:rsidP="005F5B49" w:rsidRDefault="005F5B49" w14:paraId="7BCBE175"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0 (A)</w:t>
            </w:r>
          </w:p>
        </w:tc>
      </w:tr>
      <w:tr w:rsidRPr="005F5B49" w:rsidR="005F5B49" w:rsidTr="005F5B49" w14:paraId="3E283DCD"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160192AC" w14:textId="77777777">
            <w:pPr>
              <w:spacing w:before="100" w:beforeAutospacing="1" w:after="100" w:afterAutospacing="1" w:line="240" w:lineRule="auto"/>
              <w:textAlignment w:val="baseline"/>
              <w:rPr>
                <w:color w:val="000000"/>
                <w:sz w:val="14"/>
                <w:szCs w:val="14"/>
              </w:rPr>
            </w:pPr>
            <w:r w:rsidRPr="005F5B49">
              <w:rPr>
                <w:color w:val="000000"/>
                <w:sz w:val="14"/>
                <w:szCs w:val="14"/>
              </w:rPr>
              <w:t>Uitvoeringskosten en Maatwerk NPVI (</w:t>
            </w:r>
            <w:proofErr w:type="spellStart"/>
            <w:r w:rsidRPr="005F5B49">
              <w:rPr>
                <w:color w:val="000000"/>
                <w:sz w:val="14"/>
                <w:szCs w:val="14"/>
              </w:rPr>
              <w:t>IenW</w:t>
            </w:r>
            <w:proofErr w:type="spellEnd"/>
            <w:r w:rsidRPr="005F5B49">
              <w:rPr>
                <w:color w:val="000000"/>
                <w:sz w:val="14"/>
                <w:szCs w:val="14"/>
              </w:rPr>
              <w:t>)</w:t>
            </w:r>
          </w:p>
        </w:tc>
        <w:tc>
          <w:tcPr>
            <w:tcW w:w="1325"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55648947"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11,2</w:t>
            </w:r>
          </w:p>
        </w:tc>
        <w:tc>
          <w:tcPr>
            <w:tcW w:w="1898" w:type="dxa"/>
            <w:tcBorders>
              <w:top w:val="single" w:color="FFFFFF" w:sz="6" w:space="0"/>
              <w:left w:val="single" w:color="FFFFFF" w:sz="6" w:space="0"/>
              <w:bottom w:val="single" w:color="FFFFFF" w:sz="6" w:space="0"/>
              <w:right w:val="single" w:color="FFFFFF" w:sz="6" w:space="0"/>
            </w:tcBorders>
            <w:shd w:val="clear" w:color="auto" w:fill="FF0000"/>
            <w:hideMark/>
          </w:tcPr>
          <w:p w:rsidRPr="005F5B49" w:rsidR="005F5B49" w:rsidP="005F5B49" w:rsidRDefault="005F5B49" w14:paraId="0CF35CDC"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FF0000"/>
            <w:hideMark/>
          </w:tcPr>
          <w:p w:rsidRPr="005F5B49" w:rsidR="005F5B49" w:rsidP="005F5B49" w:rsidRDefault="005F5B49" w14:paraId="6F3E2542"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0   (A)</w:t>
            </w:r>
          </w:p>
        </w:tc>
      </w:tr>
      <w:tr w:rsidRPr="005F5B49" w:rsidR="005F5B49" w:rsidTr="005F5B49" w14:paraId="6486C505"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28D7BFCF" w14:textId="77777777">
            <w:pPr>
              <w:spacing w:before="100" w:beforeAutospacing="1" w:after="100" w:afterAutospacing="1" w:line="240" w:lineRule="auto"/>
              <w:textAlignment w:val="baseline"/>
              <w:rPr>
                <w:color w:val="000000"/>
                <w:sz w:val="14"/>
                <w:szCs w:val="14"/>
              </w:rPr>
            </w:pPr>
            <w:r w:rsidRPr="005F5B49">
              <w:rPr>
                <w:color w:val="000000"/>
                <w:sz w:val="14"/>
                <w:szCs w:val="14"/>
              </w:rPr>
              <w:t>Uitvoeringskosten en Maatwerk NPVI (KGG)</w:t>
            </w:r>
          </w:p>
        </w:tc>
        <w:tc>
          <w:tcPr>
            <w:tcW w:w="1325"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77E635F9"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25,2</w:t>
            </w:r>
          </w:p>
        </w:tc>
        <w:tc>
          <w:tcPr>
            <w:tcW w:w="1898" w:type="dxa"/>
            <w:tcBorders>
              <w:top w:val="single" w:color="FFFFFF" w:sz="6" w:space="0"/>
              <w:left w:val="single" w:color="FFFFFF" w:sz="6" w:space="0"/>
              <w:bottom w:val="single" w:color="FFFFFF" w:sz="6" w:space="0"/>
              <w:right w:val="single" w:color="FFFFFF" w:sz="6" w:space="0"/>
            </w:tcBorders>
            <w:shd w:val="clear" w:color="auto" w:fill="FF0000"/>
            <w:hideMark/>
          </w:tcPr>
          <w:p w:rsidRPr="005F5B49" w:rsidR="005F5B49" w:rsidP="005F5B49" w:rsidRDefault="005F5B49" w14:paraId="55B18020"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FF0000"/>
            <w:hideMark/>
          </w:tcPr>
          <w:p w:rsidRPr="005F5B49" w:rsidR="005F5B49" w:rsidP="005F5B49" w:rsidRDefault="005F5B49" w14:paraId="158D3068"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0 (A)</w:t>
            </w:r>
          </w:p>
        </w:tc>
      </w:tr>
      <w:tr w:rsidRPr="005F5B49" w:rsidR="005F5B49" w:rsidTr="005F5B49" w14:paraId="71B4F76A" w14:textId="77777777">
        <w:trPr>
          <w:trHeight w:val="300"/>
        </w:trPr>
        <w:tc>
          <w:tcPr>
            <w:tcW w:w="2838"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21413659" w14:textId="77777777">
            <w:pPr>
              <w:spacing w:before="100" w:beforeAutospacing="1" w:after="100" w:afterAutospacing="1" w:line="240" w:lineRule="auto"/>
              <w:textAlignment w:val="baseline"/>
              <w:rPr>
                <w:color w:val="000000"/>
                <w:sz w:val="14"/>
                <w:szCs w:val="14"/>
              </w:rPr>
            </w:pPr>
            <w:r w:rsidRPr="005F5B49">
              <w:rPr>
                <w:color w:val="000000"/>
                <w:sz w:val="14"/>
                <w:szCs w:val="14"/>
              </w:rPr>
              <w:t>Opschaling nieuwe industrie ter bevordering Groene Groei</w:t>
            </w:r>
          </w:p>
        </w:tc>
        <w:tc>
          <w:tcPr>
            <w:tcW w:w="1325" w:type="dxa"/>
            <w:tcBorders>
              <w:top w:val="single" w:color="FFFFFF" w:sz="6" w:space="0"/>
              <w:left w:val="single" w:color="FFFFFF" w:sz="6" w:space="0"/>
              <w:bottom w:val="single" w:color="FFFFFF" w:sz="6" w:space="0"/>
              <w:right w:val="single" w:color="FFFFFF" w:sz="6" w:space="0"/>
            </w:tcBorders>
            <w:shd w:val="clear" w:color="auto" w:fill="CBD7EA"/>
            <w:hideMark/>
          </w:tcPr>
          <w:p w:rsidRPr="005F5B49" w:rsidR="005F5B49" w:rsidP="005F5B49" w:rsidRDefault="005F5B49" w14:paraId="5DCEAC87"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250</w:t>
            </w:r>
          </w:p>
        </w:tc>
        <w:tc>
          <w:tcPr>
            <w:tcW w:w="1898" w:type="dxa"/>
            <w:tcBorders>
              <w:top w:val="single" w:color="FFFFFF" w:sz="6" w:space="0"/>
              <w:left w:val="single" w:color="FFFFFF" w:sz="6" w:space="0"/>
              <w:bottom w:val="single" w:color="FFFFFF" w:sz="6" w:space="0"/>
              <w:right w:val="single" w:color="FFFFFF" w:sz="6" w:space="0"/>
            </w:tcBorders>
            <w:shd w:val="clear" w:color="auto" w:fill="E17000"/>
            <w:hideMark/>
          </w:tcPr>
          <w:p w:rsidRPr="005F5B49" w:rsidR="005F5B49" w:rsidP="005F5B49" w:rsidRDefault="005F5B49" w14:paraId="5CBD99B9"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FF0000"/>
            <w:hideMark/>
          </w:tcPr>
          <w:p w:rsidRPr="005F5B49" w:rsidR="005F5B49" w:rsidP="005F5B49" w:rsidRDefault="005F5B49" w14:paraId="70BF3083"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0   (A)</w:t>
            </w:r>
          </w:p>
        </w:tc>
      </w:tr>
      <w:tr w:rsidRPr="005F5B49" w:rsidR="005F5B49" w:rsidTr="005F5B49" w14:paraId="3B59AA72" w14:textId="77777777">
        <w:trPr>
          <w:trHeight w:val="240"/>
        </w:trPr>
        <w:tc>
          <w:tcPr>
            <w:tcW w:w="2838"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46849804" w14:textId="77777777">
            <w:pPr>
              <w:spacing w:before="100" w:beforeAutospacing="1" w:after="100" w:afterAutospacing="1" w:line="240" w:lineRule="auto"/>
              <w:textAlignment w:val="baseline"/>
              <w:rPr>
                <w:color w:val="000000"/>
                <w:sz w:val="14"/>
                <w:szCs w:val="14"/>
              </w:rPr>
            </w:pPr>
            <w:r w:rsidRPr="005F5B49">
              <w:rPr>
                <w:color w:val="000000"/>
                <w:sz w:val="14"/>
                <w:szCs w:val="14"/>
              </w:rPr>
              <w:t>Sterker handhaven energiebesparingsplicht</w:t>
            </w:r>
          </w:p>
        </w:tc>
        <w:tc>
          <w:tcPr>
            <w:tcW w:w="1325" w:type="dxa"/>
            <w:tcBorders>
              <w:top w:val="single" w:color="FFFFFF" w:sz="6" w:space="0"/>
              <w:left w:val="single" w:color="FFFFFF" w:sz="6" w:space="0"/>
              <w:bottom w:val="single" w:color="FFFFFF" w:sz="6" w:space="0"/>
              <w:right w:val="single" w:color="FFFFFF" w:sz="6" w:space="0"/>
            </w:tcBorders>
            <w:shd w:val="clear" w:color="auto" w:fill="E7ECF5"/>
            <w:hideMark/>
          </w:tcPr>
          <w:p w:rsidRPr="005F5B49" w:rsidR="005F5B49" w:rsidP="005F5B49" w:rsidRDefault="005F5B49" w14:paraId="67C8AAB1"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  37,1</w:t>
            </w:r>
          </w:p>
        </w:tc>
        <w:tc>
          <w:tcPr>
            <w:tcW w:w="1898" w:type="dxa"/>
            <w:tcBorders>
              <w:top w:val="single" w:color="FFFFFF" w:sz="6" w:space="0"/>
              <w:left w:val="single" w:color="FFFFFF" w:sz="6" w:space="0"/>
              <w:bottom w:val="single" w:color="FFFFFF" w:sz="6" w:space="0"/>
              <w:right w:val="single" w:color="FFFFFF" w:sz="6" w:space="0"/>
            </w:tcBorders>
            <w:shd w:val="clear" w:color="auto" w:fill="E17000"/>
            <w:hideMark/>
          </w:tcPr>
          <w:p w:rsidRPr="005F5B49" w:rsidR="005F5B49" w:rsidP="005F5B49" w:rsidRDefault="005F5B49" w14:paraId="18492EF5" w14:textId="77777777">
            <w:pPr>
              <w:spacing w:line="240" w:lineRule="auto"/>
              <w:rPr>
                <w:color w:val="000000"/>
                <w:sz w:val="14"/>
                <w:szCs w:val="14"/>
              </w:rPr>
            </w:pPr>
          </w:p>
        </w:tc>
        <w:tc>
          <w:tcPr>
            <w:tcW w:w="4421" w:type="dxa"/>
            <w:tcBorders>
              <w:top w:val="single" w:color="FFFFFF" w:sz="6" w:space="0"/>
              <w:left w:val="single" w:color="FFFFFF" w:sz="6" w:space="0"/>
              <w:bottom w:val="single" w:color="FFFFFF" w:sz="6" w:space="0"/>
              <w:right w:val="single" w:color="FFFFFF" w:sz="6" w:space="0"/>
            </w:tcBorders>
            <w:shd w:val="clear" w:color="auto" w:fill="FF0000"/>
            <w:hideMark/>
          </w:tcPr>
          <w:p w:rsidRPr="005F5B49" w:rsidR="005F5B49" w:rsidP="005F5B49" w:rsidRDefault="005F5B49" w14:paraId="4A9B1AA3" w14:textId="77777777">
            <w:pPr>
              <w:spacing w:before="100" w:beforeAutospacing="1" w:after="100" w:afterAutospacing="1" w:line="240" w:lineRule="auto"/>
              <w:jc w:val="right"/>
              <w:textAlignment w:val="baseline"/>
              <w:rPr>
                <w:color w:val="000000"/>
                <w:sz w:val="14"/>
                <w:szCs w:val="14"/>
              </w:rPr>
            </w:pPr>
            <w:r w:rsidRPr="005F5B49">
              <w:rPr>
                <w:color w:val="000000"/>
                <w:sz w:val="14"/>
                <w:szCs w:val="14"/>
              </w:rPr>
              <w:t>0 (A)</w:t>
            </w:r>
          </w:p>
        </w:tc>
      </w:tr>
    </w:tbl>
    <w:p w:rsidR="007075B1" w:rsidP="00B1021F" w:rsidRDefault="007075B1" w14:paraId="2554D070" w14:textId="77777777">
      <w:pPr>
        <w:rPr>
          <w:szCs w:val="18"/>
        </w:rPr>
      </w:pPr>
    </w:p>
    <w:sectPr w:rsidR="007075B1" w:rsidSect="005C3F39">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35D8" w14:textId="77777777" w:rsidR="002F3997" w:rsidRDefault="002F3997">
      <w:r>
        <w:separator/>
      </w:r>
    </w:p>
    <w:p w14:paraId="6D1A86A5" w14:textId="77777777" w:rsidR="002F3997" w:rsidRDefault="002F3997"/>
  </w:endnote>
  <w:endnote w:type="continuationSeparator" w:id="0">
    <w:p w14:paraId="4513BF70" w14:textId="77777777" w:rsidR="002F3997" w:rsidRDefault="002F3997">
      <w:r>
        <w:continuationSeparator/>
      </w:r>
    </w:p>
    <w:p w14:paraId="21A4163D" w14:textId="77777777" w:rsidR="002F3997" w:rsidRDefault="002F3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DEA0" w14:textId="77777777" w:rsidR="00C60224" w:rsidRDefault="00D13AF1">
    <w:pPr>
      <w:pStyle w:val="Voettekst"/>
    </w:pPr>
    <w:r>
      <w:rPr>
        <w:noProof/>
      </w:rPr>
      <mc:AlternateContent>
        <mc:Choice Requires="wps">
          <w:drawing>
            <wp:anchor distT="0" distB="0" distL="0" distR="0" simplePos="0" relativeHeight="251658241" behindDoc="0" locked="0" layoutInCell="1" allowOverlap="1" wp14:anchorId="54D41009" wp14:editId="667801FC">
              <wp:simplePos x="0" y="0"/>
              <wp:positionH relativeFrom="page">
                <wp:align>left</wp:align>
              </wp:positionH>
              <wp:positionV relativeFrom="page">
                <wp:align>bottom</wp:align>
              </wp:positionV>
              <wp:extent cx="443865" cy="443865"/>
              <wp:effectExtent l="0" t="0" r="4445" b="0"/>
              <wp:wrapNone/>
              <wp:docPr id="6" name="Tekstvak 562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5916A4" w14:textId="77777777" w:rsidR="00231E07" w:rsidRPr="00231E07" w:rsidRDefault="00D13AF1"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D41009" id="_x0000_t202" coordsize="21600,21600" o:spt="202" path="m,l,21600r21600,l21600,xe">
              <v:stroke joinstyle="miter"/>
              <v:path gradientshapeok="t" o:connecttype="rect"/>
            </v:shapetype>
            <v:shape id="Tekstvak 5625"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75916A4" w14:textId="77777777" w:rsidR="00231E07" w:rsidRPr="00231E07" w:rsidRDefault="00D13AF1"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8F5F" w14:textId="77777777" w:rsidR="00600B57" w:rsidRPr="00BC3B53" w:rsidRDefault="00D13AF1" w:rsidP="008C356D">
    <w:pPr>
      <w:pStyle w:val="Voettekst"/>
      <w:spacing w:line="240" w:lineRule="auto"/>
      <w:rPr>
        <w:sz w:val="2"/>
        <w:szCs w:val="2"/>
      </w:rPr>
    </w:pPr>
    <w:r>
      <w:rPr>
        <w:noProof/>
        <w:sz w:val="2"/>
        <w:szCs w:val="2"/>
      </w:rPr>
      <mc:AlternateContent>
        <mc:Choice Requires="wps">
          <w:drawing>
            <wp:anchor distT="0" distB="0" distL="0" distR="0" simplePos="0" relativeHeight="251658242" behindDoc="0" locked="0" layoutInCell="1" allowOverlap="1" wp14:anchorId="24F0FCC9" wp14:editId="4C1E757F">
              <wp:simplePos x="0" y="0"/>
              <wp:positionH relativeFrom="page">
                <wp:align>left</wp:align>
              </wp:positionH>
              <wp:positionV relativeFrom="page">
                <wp:align>bottom</wp:align>
              </wp:positionV>
              <wp:extent cx="443865" cy="443865"/>
              <wp:effectExtent l="0" t="0" r="4445" b="0"/>
              <wp:wrapNone/>
              <wp:docPr id="5" name="Tekstvak 5677"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FD3D1D" w14:textId="77777777" w:rsidR="00231E07" w:rsidRPr="00231E07" w:rsidRDefault="00D13AF1"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F0FCC9" id="_x0000_t202" coordsize="21600,21600" o:spt="202" path="m,l,21600r21600,l21600,xe">
              <v:stroke joinstyle="miter"/>
              <v:path gradientshapeok="t" o:connecttype="rect"/>
            </v:shapetype>
            <v:shape id="Tekstvak 5677" o:spid="_x0000_s1027" type="#_x0000_t202" alt="Intern gebruik"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6FD3D1D" w14:textId="77777777" w:rsidR="00231E07" w:rsidRPr="00231E07" w:rsidRDefault="00D13AF1"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E1ED4" w14:paraId="723F1678" w14:textId="77777777" w:rsidTr="001E4C6B">
      <w:trPr>
        <w:trHeight w:hRule="exact" w:val="240"/>
      </w:trPr>
      <w:tc>
        <w:tcPr>
          <w:tcW w:w="7601" w:type="dxa"/>
          <w:shd w:val="clear" w:color="auto" w:fill="auto"/>
        </w:tcPr>
        <w:p w14:paraId="37221DF5" w14:textId="77777777" w:rsidR="00600B57" w:rsidRDefault="00600B57" w:rsidP="003F1F6B">
          <w:pPr>
            <w:pStyle w:val="Huisstijl-Rubricering"/>
          </w:pPr>
        </w:p>
      </w:tc>
      <w:tc>
        <w:tcPr>
          <w:tcW w:w="2156" w:type="dxa"/>
        </w:tcPr>
        <w:p w14:paraId="32E40FCE" w14:textId="123E72F3" w:rsidR="00600B57" w:rsidRPr="00236CFE" w:rsidRDefault="00D13AF1"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265D9">
            <w:t>2</w:t>
          </w:r>
          <w:r w:rsidRPr="00CB7ABA">
            <w:fldChar w:fldCharType="end"/>
          </w:r>
          <w:r w:rsidRPr="00CB7ABA">
            <w:t xml:space="preserve"> van </w:t>
          </w:r>
          <w:r w:rsidR="00FD315B">
            <w:fldChar w:fldCharType="begin"/>
          </w:r>
          <w:r>
            <w:instrText xml:space="preserve"> SECTIONPAGES   \* MERGEFORMAT </w:instrText>
          </w:r>
          <w:r w:rsidR="00FD315B">
            <w:fldChar w:fldCharType="separate"/>
          </w:r>
          <w:r w:rsidR="008F1DE2">
            <w:t>6</w:t>
          </w:r>
          <w:r w:rsidR="00FD315B">
            <w:fldChar w:fldCharType="end"/>
          </w:r>
        </w:p>
      </w:tc>
    </w:tr>
  </w:tbl>
  <w:p w14:paraId="794DE21E" w14:textId="77777777" w:rsidR="00600B57" w:rsidRPr="00BC3B53" w:rsidRDefault="00600B57"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E1ED4" w14:paraId="05441578" w14:textId="77777777" w:rsidTr="001E4C6B">
      <w:trPr>
        <w:trHeight w:hRule="exact" w:val="240"/>
      </w:trPr>
      <w:tc>
        <w:tcPr>
          <w:tcW w:w="7601" w:type="dxa"/>
          <w:shd w:val="clear" w:color="auto" w:fill="auto"/>
        </w:tcPr>
        <w:p w14:paraId="60DBCECF" w14:textId="77777777" w:rsidR="00600B57" w:rsidRDefault="00D13AF1" w:rsidP="008C356D">
          <w:pPr>
            <w:pStyle w:val="Huisstijl-Rubricering"/>
          </w:pPr>
          <w:r>
            <mc:AlternateContent>
              <mc:Choice Requires="wps">
                <w:drawing>
                  <wp:anchor distT="0" distB="0" distL="0" distR="0" simplePos="0" relativeHeight="251658240" behindDoc="0" locked="0" layoutInCell="1" allowOverlap="1" wp14:anchorId="11E37E38" wp14:editId="5F6DEE3A">
                    <wp:simplePos x="0" y="0"/>
                    <wp:positionH relativeFrom="page">
                      <wp:align>left</wp:align>
                    </wp:positionH>
                    <wp:positionV relativeFrom="page">
                      <wp:align>bottom</wp:align>
                    </wp:positionV>
                    <wp:extent cx="443865" cy="443865"/>
                    <wp:effectExtent l="0" t="0" r="4445" b="0"/>
                    <wp:wrapNone/>
                    <wp:docPr id="4" name="Tekstvak 557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2FC4ED" w14:textId="77777777" w:rsidR="00231E07" w:rsidRPr="00231E07" w:rsidRDefault="00D13AF1"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E37E38" id="_x0000_t202" coordsize="21600,21600" o:spt="202" path="m,l,21600r21600,l21600,xe">
                    <v:stroke joinstyle="miter"/>
                    <v:path gradientshapeok="t" o:connecttype="rect"/>
                  </v:shapetype>
                  <v:shape id="Tekstvak 5573"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2FC4ED" w14:textId="77777777" w:rsidR="00231E07" w:rsidRPr="00231E07" w:rsidRDefault="00D13AF1" w:rsidP="00231E07">
                          <w:pPr>
                            <w:rPr>
                              <w:rFonts w:ascii="Calibri" w:eastAsia="Calibri" w:hAnsi="Calibri" w:cs="Calibri"/>
                              <w:noProof/>
                              <w:color w:val="000000"/>
                              <w:sz w:val="20"/>
                              <w:szCs w:val="20"/>
                            </w:rPr>
                          </w:pPr>
                          <w:r w:rsidRPr="00231E07">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6B99C5BF" w14:textId="5D34F6F0" w:rsidR="00600B57" w:rsidRPr="00CB7ABA" w:rsidRDefault="00D13AF1"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E650EA">
            <w:t>1</w:t>
          </w:r>
          <w:r w:rsidRPr="00CB7ABA">
            <w:fldChar w:fldCharType="end"/>
          </w:r>
          <w:r w:rsidRPr="00CB7ABA">
            <w:t xml:space="preserve"> van</w:t>
          </w:r>
          <w:r w:rsidRPr="00CB7ABA">
            <w:rPr>
              <w:rStyle w:val="Huisstijl-GegevenCharChar"/>
            </w:rPr>
            <w:t xml:space="preserve"> </w:t>
          </w:r>
          <w:r w:rsidR="00FD315B">
            <w:fldChar w:fldCharType="begin"/>
          </w:r>
          <w:r>
            <w:instrText xml:space="preserve"> SECTIONPAGES   \* MERGEFORMAT </w:instrText>
          </w:r>
          <w:r w:rsidR="00FD315B">
            <w:fldChar w:fldCharType="separate"/>
          </w:r>
          <w:r w:rsidR="008F1DE2">
            <w:t>6</w:t>
          </w:r>
          <w:r w:rsidR="00FD315B">
            <w:fldChar w:fldCharType="end"/>
          </w:r>
        </w:p>
      </w:tc>
    </w:tr>
  </w:tbl>
  <w:p w14:paraId="1FF8516C" w14:textId="77777777" w:rsidR="00600B57" w:rsidRPr="00BC3B53" w:rsidRDefault="00600B57" w:rsidP="008C356D">
    <w:pPr>
      <w:pStyle w:val="Voettekst"/>
      <w:spacing w:line="240" w:lineRule="auto"/>
      <w:rPr>
        <w:sz w:val="2"/>
        <w:szCs w:val="2"/>
      </w:rPr>
    </w:pPr>
  </w:p>
  <w:p w14:paraId="145851E3" w14:textId="77777777" w:rsidR="00600B57" w:rsidRPr="00BC3B53" w:rsidRDefault="00600B57"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5FAB" w14:textId="77777777" w:rsidR="002F3997" w:rsidRDefault="002F3997">
      <w:r>
        <w:separator/>
      </w:r>
    </w:p>
    <w:p w14:paraId="0702F279" w14:textId="77777777" w:rsidR="002F3997" w:rsidRDefault="002F3997"/>
  </w:footnote>
  <w:footnote w:type="continuationSeparator" w:id="0">
    <w:p w14:paraId="46F6DF54" w14:textId="77777777" w:rsidR="002F3997" w:rsidRDefault="002F3997">
      <w:r>
        <w:continuationSeparator/>
      </w:r>
    </w:p>
    <w:p w14:paraId="07E28005" w14:textId="77777777" w:rsidR="002F3997" w:rsidRDefault="002F3997"/>
  </w:footnote>
  <w:footnote w:id="1">
    <w:p w14:paraId="4AEF23C3" w14:textId="77777777" w:rsidR="00E350B1" w:rsidRPr="005C10D4" w:rsidRDefault="00E350B1" w:rsidP="00E350B1">
      <w:pPr>
        <w:pStyle w:val="Voetnoottekst"/>
        <w:rPr>
          <w:sz w:val="14"/>
          <w:szCs w:val="14"/>
        </w:rPr>
      </w:pPr>
      <w:r w:rsidRPr="005C10D4">
        <w:rPr>
          <w:rStyle w:val="Voetnootmarkering"/>
          <w:sz w:val="14"/>
          <w:szCs w:val="14"/>
        </w:rPr>
        <w:footnoteRef/>
      </w:r>
      <w:r w:rsidRPr="005C10D4">
        <w:rPr>
          <w:sz w:val="14"/>
          <w:szCs w:val="14"/>
        </w:rPr>
        <w:t xml:space="preserve"> KEV24 emissies (VV ): 38,5 Mton</w:t>
      </w:r>
      <w:r w:rsidRPr="005C10D4">
        <w:rPr>
          <w:rFonts w:ascii="Arial" w:hAnsi="Arial" w:cs="Arial"/>
          <w:sz w:val="14"/>
          <w:szCs w:val="14"/>
        </w:rPr>
        <w:t>​</w:t>
      </w:r>
      <w:r w:rsidRPr="005C10D4">
        <w:rPr>
          <w:sz w:val="14"/>
          <w:szCs w:val="14"/>
        </w:rPr>
        <w:t xml:space="preserve"> (32,1 – 41,3)</w:t>
      </w:r>
      <w:r w:rsidRPr="005C10D4">
        <w:rPr>
          <w:rFonts w:ascii="Arial" w:hAnsi="Arial" w:cs="Arial"/>
          <w:sz w:val="14"/>
          <w:szCs w:val="14"/>
        </w:rPr>
        <w:t>​</w:t>
      </w:r>
      <w:r w:rsidRPr="005C10D4">
        <w:rPr>
          <w:rFonts w:cs="Arial"/>
          <w:sz w:val="14"/>
          <w:szCs w:val="14"/>
        </w:rPr>
        <w:t>. Doelstelling 2030: 29,1mton</w:t>
      </w:r>
    </w:p>
  </w:footnote>
  <w:footnote w:id="2">
    <w:p w14:paraId="533BD119" w14:textId="77777777" w:rsidR="00E350B1" w:rsidRPr="005C10D4" w:rsidRDefault="00E350B1" w:rsidP="00E350B1">
      <w:pPr>
        <w:rPr>
          <w:sz w:val="14"/>
          <w:szCs w:val="14"/>
        </w:rPr>
      </w:pPr>
      <w:r w:rsidRPr="005C10D4">
        <w:rPr>
          <w:rStyle w:val="Voetnootmarkering"/>
          <w:sz w:val="14"/>
          <w:szCs w:val="14"/>
        </w:rPr>
        <w:footnoteRef/>
      </w:r>
      <w:r w:rsidRPr="005C10D4">
        <w:rPr>
          <w:sz w:val="14"/>
          <w:szCs w:val="14"/>
        </w:rPr>
        <w:t xml:space="preserve"> Gezien de beleidsverantwoordelijkheid van de AVI’s bij sI&amp;W zal dit voorstel besproken worden in BWO CE.</w:t>
      </w:r>
    </w:p>
    <w:p w14:paraId="38D17D15" w14:textId="77777777" w:rsidR="00E350B1" w:rsidRPr="00CC076F" w:rsidRDefault="00E350B1" w:rsidP="00E350B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8B36" w14:textId="77777777" w:rsidR="00600B57" w:rsidRDefault="00600B57"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E1ED4" w14:paraId="2499DB82" w14:textId="77777777" w:rsidTr="005558E0">
      <w:tc>
        <w:tcPr>
          <w:tcW w:w="2160" w:type="dxa"/>
          <w:shd w:val="clear" w:color="auto" w:fill="auto"/>
        </w:tcPr>
        <w:p w14:paraId="57C4666A" w14:textId="77777777" w:rsidR="00600B57" w:rsidRPr="00044613" w:rsidRDefault="00D13AF1" w:rsidP="005558E0">
          <w:pPr>
            <w:pStyle w:val="Huisstijl-Adres"/>
          </w:pPr>
          <w:r>
            <w:rPr>
              <w:b/>
            </w:rPr>
            <w:t>Klimaat en groene Groei</w:t>
          </w:r>
          <w:r>
            <w:rPr>
              <w:b/>
            </w:rPr>
            <w:br/>
          </w:r>
        </w:p>
      </w:tc>
    </w:tr>
    <w:tr w:rsidR="007E1ED4" w14:paraId="775BDAB6" w14:textId="77777777" w:rsidTr="005558E0">
      <w:trPr>
        <w:trHeight w:hRule="exact" w:val="200"/>
      </w:trPr>
      <w:tc>
        <w:tcPr>
          <w:tcW w:w="2160" w:type="dxa"/>
          <w:shd w:val="clear" w:color="auto" w:fill="auto"/>
        </w:tcPr>
        <w:p w14:paraId="3D86CC64" w14:textId="77777777" w:rsidR="00600B57" w:rsidRPr="005819CE" w:rsidRDefault="00600B57" w:rsidP="005558E0"/>
      </w:tc>
    </w:tr>
    <w:tr w:rsidR="007E1ED4" w14:paraId="15505ED9" w14:textId="77777777" w:rsidTr="005558E0">
      <w:tc>
        <w:tcPr>
          <w:tcW w:w="2160" w:type="dxa"/>
          <w:shd w:val="clear" w:color="auto" w:fill="auto"/>
        </w:tcPr>
        <w:p w14:paraId="19E275C6" w14:textId="77777777" w:rsidR="00600B57" w:rsidRPr="005819CE" w:rsidRDefault="00D13AF1" w:rsidP="005558E0">
          <w:pPr>
            <w:pStyle w:val="Huisstijl-Kopje"/>
          </w:pPr>
          <w:r>
            <w:t>Ons kenmerk</w:t>
          </w:r>
        </w:p>
        <w:p w14:paraId="1FCCF7EF" w14:textId="77777777" w:rsidR="00600B57" w:rsidRPr="005819CE" w:rsidRDefault="00D13AF1" w:rsidP="007075B1">
          <w:pPr>
            <w:pStyle w:val="Huisstijl-Gegeven"/>
          </w:pPr>
          <w:r>
            <w:t>KGG / 96858802</w:t>
          </w:r>
        </w:p>
      </w:tc>
    </w:tr>
  </w:tbl>
  <w:p w14:paraId="47536833" w14:textId="77777777" w:rsidR="00600B57" w:rsidRPr="00740712" w:rsidRDefault="00600B57" w:rsidP="00FD315B">
    <w:pPr>
      <w:tabs>
        <w:tab w:val="left" w:pos="1200"/>
      </w:tabs>
    </w:pPr>
  </w:p>
  <w:p w14:paraId="65D13D4C" w14:textId="77777777" w:rsidR="00600B57" w:rsidRPr="00217880" w:rsidRDefault="00600B57" w:rsidP="008C356D">
    <w:pPr>
      <w:spacing w:line="0" w:lineRule="atLeast"/>
      <w:rPr>
        <w:sz w:val="2"/>
        <w:szCs w:val="2"/>
      </w:rPr>
    </w:pPr>
  </w:p>
  <w:p w14:paraId="27298578" w14:textId="77777777" w:rsidR="00600B57" w:rsidRDefault="00600B57" w:rsidP="004F44C2">
    <w:pPr>
      <w:pStyle w:val="Koptekst"/>
      <w:rPr>
        <w:rFonts w:cs="Verdana-Bold"/>
        <w:b/>
        <w:bCs/>
        <w:smallCaps/>
        <w:szCs w:val="18"/>
      </w:rPr>
    </w:pPr>
  </w:p>
  <w:p w14:paraId="7EF225E8" w14:textId="77777777" w:rsidR="00600B57" w:rsidRDefault="00600B57" w:rsidP="004F44C2"/>
  <w:p w14:paraId="2AA522E7" w14:textId="77777777" w:rsidR="00600B57" w:rsidRPr="00740712" w:rsidRDefault="00600B57" w:rsidP="004F44C2"/>
  <w:p w14:paraId="1C38C7DE" w14:textId="77777777" w:rsidR="00600B57" w:rsidRPr="00217880" w:rsidRDefault="00600B57"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E1ED4" w14:paraId="0B0733BD" w14:textId="77777777" w:rsidTr="003B7675">
      <w:trPr>
        <w:trHeight w:val="2636"/>
      </w:trPr>
      <w:tc>
        <w:tcPr>
          <w:tcW w:w="737" w:type="dxa"/>
          <w:shd w:val="clear" w:color="auto" w:fill="auto"/>
        </w:tcPr>
        <w:p w14:paraId="61C5748A" w14:textId="77777777" w:rsidR="00600B57" w:rsidRDefault="00D13AF1" w:rsidP="00044613">
          <w:pPr>
            <w:framePr w:w="6340" w:h="2750" w:hRule="exact" w:hSpace="180" w:wrap="around" w:vAnchor="page" w:hAnchor="text" w:x="3873" w:y="-70"/>
            <w:spacing w:line="240" w:lineRule="auto"/>
          </w:pPr>
          <w:r>
            <w:rPr>
              <w:noProof/>
              <w:lang w:val="en-US" w:eastAsia="en-US"/>
            </w:rPr>
            <w:drawing>
              <wp:inline distT="0" distB="0" distL="0" distR="0" wp14:anchorId="478E781B" wp14:editId="3FA27E06">
                <wp:extent cx="466725" cy="1581150"/>
                <wp:effectExtent l="0" t="0" r="0" b="0"/>
                <wp:docPr id="1" name="Picture 9"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Rijkslint Zwa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156" w:type="dxa"/>
          <w:shd w:val="clear" w:color="auto" w:fill="auto"/>
        </w:tcPr>
        <w:p w14:paraId="6F14C645" w14:textId="77777777" w:rsidR="00600B57" w:rsidRPr="00DB5138" w:rsidRDefault="00D13AF1" w:rsidP="00044613">
          <w:pPr>
            <w:framePr w:w="6340" w:h="2750" w:hRule="exact" w:hSpace="180" w:wrap="around" w:vAnchor="page" w:hAnchor="text" w:x="3873" w:y="-70"/>
            <w:spacing w:line="240" w:lineRule="auto"/>
          </w:pPr>
          <w:r>
            <w:rPr>
              <w:noProof/>
            </w:rPr>
            <w:drawing>
              <wp:inline distT="0" distB="0" distL="0" distR="0" wp14:anchorId="57C97A54" wp14:editId="6766D3A9">
                <wp:extent cx="2343150" cy="15811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2E589814" w14:textId="77777777" w:rsidR="00600B57" w:rsidRDefault="00600B57" w:rsidP="00044613">
    <w:pPr>
      <w:framePr w:w="6340" w:h="2750" w:hRule="exact" w:hSpace="180" w:wrap="around" w:vAnchor="page" w:hAnchor="text" w:x="3873" w:y="-70"/>
    </w:pPr>
  </w:p>
  <w:p w14:paraId="17CEF682" w14:textId="77777777" w:rsidR="00600B57" w:rsidRDefault="00600B57"/>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E1ED4" w:rsidRPr="00631C71" w14:paraId="681E3A7D" w14:textId="77777777" w:rsidTr="005558E0">
      <w:tc>
        <w:tcPr>
          <w:tcW w:w="2160" w:type="dxa"/>
          <w:shd w:val="clear" w:color="auto" w:fill="auto"/>
        </w:tcPr>
        <w:p w14:paraId="79D39863" w14:textId="77777777" w:rsidR="00600B57" w:rsidRPr="00F9751C" w:rsidRDefault="00D13AF1" w:rsidP="005558E0">
          <w:pPr>
            <w:pStyle w:val="Huisstijl-Adres"/>
          </w:pPr>
          <w:r>
            <w:rPr>
              <w:b/>
            </w:rPr>
            <w:t>Klimaat en groene Groei</w:t>
          </w:r>
          <w:r w:rsidRPr="00F9751C">
            <w:rPr>
              <w:b/>
            </w:rPr>
            <w:br/>
          </w:r>
          <w:r w:rsidR="008C46DF" w:rsidRPr="00F9751C">
            <w:t xml:space="preserve"> </w:t>
          </w:r>
        </w:p>
        <w:p w14:paraId="458A12E3" w14:textId="55061AF0" w:rsidR="00631C71" w:rsidRPr="003F7B69" w:rsidRDefault="00D13AF1" w:rsidP="00631C71">
          <w:pPr>
            <w:pStyle w:val="Huisstijl-Adres"/>
          </w:pPr>
          <w:r>
            <w:rPr>
              <w:b/>
            </w:rPr>
            <w:t>Behandeld door</w:t>
          </w:r>
          <w:r w:rsidRPr="00F9751C">
            <w:rPr>
              <w:b/>
            </w:rPr>
            <w:br/>
          </w:r>
        </w:p>
        <w:p w14:paraId="5D03714B" w14:textId="3E48E7C4" w:rsidR="00600B57" w:rsidRPr="003F7B69" w:rsidRDefault="00600B57" w:rsidP="005558E0">
          <w:pPr>
            <w:pStyle w:val="Huisstijl-Adres"/>
          </w:pPr>
        </w:p>
      </w:tc>
    </w:tr>
    <w:tr w:rsidR="007E1ED4" w:rsidRPr="00631C71" w14:paraId="7CCACD74" w14:textId="77777777" w:rsidTr="005558E0">
      <w:trPr>
        <w:trHeight w:hRule="exact" w:val="200"/>
      </w:trPr>
      <w:tc>
        <w:tcPr>
          <w:tcW w:w="2160" w:type="dxa"/>
          <w:shd w:val="clear" w:color="auto" w:fill="auto"/>
        </w:tcPr>
        <w:p w14:paraId="6AB6AAFE" w14:textId="77777777" w:rsidR="00600B57" w:rsidRPr="003F7B69" w:rsidRDefault="00600B57" w:rsidP="005558E0"/>
      </w:tc>
    </w:tr>
    <w:tr w:rsidR="007E1ED4" w14:paraId="17D3188D" w14:textId="77777777" w:rsidTr="005558E0">
      <w:tc>
        <w:tcPr>
          <w:tcW w:w="2160" w:type="dxa"/>
          <w:shd w:val="clear" w:color="auto" w:fill="auto"/>
        </w:tcPr>
        <w:p w14:paraId="0B38CCA9" w14:textId="77777777" w:rsidR="00600B57" w:rsidRPr="00F9751C" w:rsidRDefault="00D13AF1" w:rsidP="005558E0">
          <w:pPr>
            <w:pStyle w:val="Huisstijl-Kopje"/>
          </w:pPr>
          <w:r>
            <w:t>Datum</w:t>
          </w:r>
        </w:p>
        <w:p w14:paraId="1D102A11" w14:textId="77777777" w:rsidR="00600B57" w:rsidRPr="00F9751C" w:rsidRDefault="00D13AF1" w:rsidP="005558E0">
          <w:pPr>
            <w:pStyle w:val="Huisstijl-Gegeven"/>
          </w:pPr>
          <w:r>
            <w:t>6 februari 2025</w:t>
          </w:r>
        </w:p>
        <w:p w14:paraId="102A8A46" w14:textId="77777777" w:rsidR="00600B57" w:rsidRPr="00F9751C" w:rsidRDefault="00D13AF1" w:rsidP="005558E0">
          <w:pPr>
            <w:pStyle w:val="Huisstijl-Kopje"/>
          </w:pPr>
          <w:r>
            <w:t>Kenmerk</w:t>
          </w:r>
        </w:p>
        <w:p w14:paraId="4B074678" w14:textId="77777777" w:rsidR="00600B57" w:rsidRPr="00F9751C" w:rsidRDefault="00D13AF1" w:rsidP="005558E0">
          <w:pPr>
            <w:pStyle w:val="Huisstijl-Gegeven"/>
          </w:pPr>
          <w:r>
            <w:t>KGG / 96858802</w:t>
          </w:r>
        </w:p>
        <w:p w14:paraId="7127356B" w14:textId="77777777" w:rsidR="00600B57" w:rsidRPr="00F9751C" w:rsidRDefault="00D13AF1" w:rsidP="005558E0">
          <w:pPr>
            <w:pStyle w:val="Huisstijl-Kopje"/>
          </w:pPr>
          <w:r w:rsidRPr="00F9751C">
            <w:t>Bijlage</w:t>
          </w:r>
          <w:r>
            <w:t>(</w:t>
          </w:r>
          <w:r w:rsidRPr="00F9751C">
            <w:t>n</w:t>
          </w:r>
          <w:r>
            <w:t>)</w:t>
          </w:r>
        </w:p>
        <w:p w14:paraId="0839432F" w14:textId="2091CEC2" w:rsidR="00600B57" w:rsidRPr="00F0379C" w:rsidRDefault="00E350B1" w:rsidP="005558E0">
          <w:pPr>
            <w:pStyle w:val="Huisstijl-Gegeven"/>
          </w:pPr>
          <w:r>
            <w:t>1</w:t>
          </w:r>
        </w:p>
      </w:tc>
    </w:tr>
  </w:tbl>
  <w:p w14:paraId="18618EB9" w14:textId="77777777" w:rsidR="00604CD1" w:rsidRPr="00604CD1" w:rsidRDefault="00604CD1" w:rsidP="00604CD1">
    <w:pPr>
      <w:rPr>
        <w:vanish/>
      </w:rPr>
    </w:pPr>
  </w:p>
  <w:tbl>
    <w:tblPr>
      <w:tblW w:w="7461" w:type="dxa"/>
      <w:tblLayout w:type="fixed"/>
      <w:tblCellMar>
        <w:left w:w="0" w:type="dxa"/>
        <w:right w:w="0" w:type="dxa"/>
      </w:tblCellMar>
      <w:tblLook w:val="0000" w:firstRow="0" w:lastRow="0" w:firstColumn="0" w:lastColumn="0" w:noHBand="0" w:noVBand="0"/>
    </w:tblPr>
    <w:tblGrid>
      <w:gridCol w:w="2201"/>
      <w:gridCol w:w="5260"/>
    </w:tblGrid>
    <w:tr w:rsidR="007E1ED4" w14:paraId="19465778" w14:textId="77777777" w:rsidTr="000B69A9">
      <w:trPr>
        <w:trHeight w:val="323"/>
      </w:trPr>
      <w:tc>
        <w:tcPr>
          <w:tcW w:w="7461" w:type="dxa"/>
          <w:gridSpan w:val="2"/>
          <w:shd w:val="clear" w:color="auto" w:fill="auto"/>
        </w:tcPr>
        <w:p w14:paraId="71AD1D34" w14:textId="77777777" w:rsidR="00600B57" w:rsidRPr="00B349FA" w:rsidRDefault="00600B57" w:rsidP="009D5D50"/>
      </w:tc>
    </w:tr>
    <w:tr w:rsidR="007E1ED4" w14:paraId="326AE8CC" w14:textId="77777777" w:rsidTr="000B69A9">
      <w:trPr>
        <w:trHeight w:hRule="exact" w:val="1520"/>
      </w:trPr>
      <w:tc>
        <w:tcPr>
          <w:tcW w:w="7461" w:type="dxa"/>
          <w:gridSpan w:val="2"/>
          <w:shd w:val="clear" w:color="auto" w:fill="auto"/>
        </w:tcPr>
        <w:p w14:paraId="3A964892" w14:textId="77777777" w:rsidR="00600B57" w:rsidRDefault="00600B57" w:rsidP="00925121">
          <w:pPr>
            <w:pStyle w:val="Huisstijl-NAW"/>
          </w:pPr>
        </w:p>
      </w:tc>
    </w:tr>
    <w:tr w:rsidR="007E1ED4" w14:paraId="63833203" w14:textId="77777777" w:rsidTr="000B69A9">
      <w:trPr>
        <w:trHeight w:val="371"/>
      </w:trPr>
      <w:tc>
        <w:tcPr>
          <w:tcW w:w="2201" w:type="dxa"/>
          <w:vMerge w:val="restart"/>
          <w:shd w:val="clear" w:color="auto" w:fill="auto"/>
        </w:tcPr>
        <w:p w14:paraId="4A71B931" w14:textId="77777777" w:rsidR="00600B57" w:rsidRDefault="00D13AF1" w:rsidP="009D5D50">
          <w:r>
            <w:rPr>
              <w:noProof/>
              <w:lang w:val="en-US" w:eastAsia="en-US"/>
            </w:rPr>
            <w:drawing>
              <wp:inline distT="0" distB="0" distL="0" distR="0" wp14:anchorId="6ED2F0DB" wp14:editId="2D6EE211">
                <wp:extent cx="1238250" cy="533400"/>
                <wp:effectExtent l="0" t="0" r="0" b="0"/>
                <wp:docPr id="3" name="Picture 38" descr="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descr="Agend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38250" cy="533400"/>
                        </a:xfrm>
                        <a:prstGeom prst="rect">
                          <a:avLst/>
                        </a:prstGeom>
                        <a:noFill/>
                        <a:ln>
                          <a:noFill/>
                        </a:ln>
                      </pic:spPr>
                    </pic:pic>
                  </a:graphicData>
                </a:graphic>
              </wp:inline>
            </w:drawing>
          </w:r>
        </w:p>
      </w:tc>
      <w:tc>
        <w:tcPr>
          <w:tcW w:w="5260" w:type="dxa"/>
          <w:shd w:val="clear" w:color="auto" w:fill="auto"/>
        </w:tcPr>
        <w:p w14:paraId="07DA79E6" w14:textId="77777777" w:rsidR="00600B57" w:rsidRDefault="00600B57" w:rsidP="009D5D50"/>
      </w:tc>
    </w:tr>
    <w:tr w:rsidR="007E1ED4" w14:paraId="16E64C6C" w14:textId="77777777" w:rsidTr="000B69A9">
      <w:trPr>
        <w:trHeight w:val="452"/>
      </w:trPr>
      <w:tc>
        <w:tcPr>
          <w:tcW w:w="2201" w:type="dxa"/>
          <w:vMerge/>
          <w:tcBorders>
            <w:bottom w:val="dotted" w:sz="4" w:space="0" w:color="auto"/>
          </w:tcBorders>
          <w:shd w:val="clear" w:color="auto" w:fill="auto"/>
        </w:tcPr>
        <w:p w14:paraId="3B22858A" w14:textId="77777777" w:rsidR="00600B57" w:rsidRDefault="00600B57" w:rsidP="009D5D50"/>
      </w:tc>
      <w:tc>
        <w:tcPr>
          <w:tcW w:w="5260" w:type="dxa"/>
          <w:tcBorders>
            <w:bottom w:val="dotted" w:sz="4" w:space="0" w:color="auto"/>
          </w:tcBorders>
          <w:shd w:val="clear" w:color="auto" w:fill="auto"/>
        </w:tcPr>
        <w:p w14:paraId="3669E0EA" w14:textId="7A2D056D" w:rsidR="00600B57" w:rsidRPr="007402E0" w:rsidRDefault="00E350B1" w:rsidP="009D5D50">
          <w:r>
            <w:t>Klimaat en Energiebeleid</w:t>
          </w:r>
          <w:r w:rsidR="000B69A9">
            <w:t xml:space="preserve"> Industrie</w:t>
          </w:r>
          <w:r>
            <w:t xml:space="preserve"> V</w:t>
          </w:r>
          <w:r w:rsidR="000B69A9">
            <w:t>JB</w:t>
          </w:r>
          <w:r>
            <w:t xml:space="preserve">25 </w:t>
          </w:r>
        </w:p>
      </w:tc>
    </w:tr>
    <w:tr w:rsidR="007E1ED4" w14:paraId="5543CE18" w14:textId="77777777" w:rsidTr="000B69A9">
      <w:trPr>
        <w:trHeight w:hRule="exact" w:val="192"/>
      </w:trPr>
      <w:tc>
        <w:tcPr>
          <w:tcW w:w="2201" w:type="dxa"/>
          <w:tcBorders>
            <w:top w:val="dotted" w:sz="4" w:space="0" w:color="auto"/>
          </w:tcBorders>
          <w:shd w:val="clear" w:color="auto" w:fill="auto"/>
        </w:tcPr>
        <w:p w14:paraId="1C0E95CA" w14:textId="77777777" w:rsidR="00863AA8" w:rsidRDefault="00863AA8" w:rsidP="00925121">
          <w:pPr>
            <w:pStyle w:val="Huisstijl-Gegeven"/>
            <w:rPr>
              <w:noProof w:val="0"/>
            </w:rPr>
          </w:pPr>
        </w:p>
      </w:tc>
      <w:tc>
        <w:tcPr>
          <w:tcW w:w="5260" w:type="dxa"/>
          <w:tcBorders>
            <w:top w:val="dotted" w:sz="4" w:space="0" w:color="auto"/>
          </w:tcBorders>
          <w:shd w:val="clear" w:color="auto" w:fill="auto"/>
        </w:tcPr>
        <w:p w14:paraId="769535F4" w14:textId="77777777" w:rsidR="00863AA8" w:rsidRPr="00863AA8" w:rsidRDefault="00863AA8" w:rsidP="00863AA8">
          <w:pPr>
            <w:spacing w:line="120" w:lineRule="exact"/>
            <w:rPr>
              <w:sz w:val="9"/>
              <w:szCs w:val="9"/>
            </w:rPr>
          </w:pPr>
        </w:p>
      </w:tc>
    </w:tr>
    <w:tr w:rsidR="00855599" w14:paraId="5AD7D492" w14:textId="77777777" w:rsidTr="000B69A9">
      <w:trPr>
        <w:trHeight w:val="192"/>
      </w:trPr>
      <w:tc>
        <w:tcPr>
          <w:tcW w:w="2201" w:type="dxa"/>
          <w:shd w:val="clear" w:color="auto" w:fill="auto"/>
        </w:tcPr>
        <w:p w14:paraId="254663AF" w14:textId="77777777" w:rsidR="00855599" w:rsidRDefault="00855599" w:rsidP="00855599">
          <w:pPr>
            <w:pStyle w:val="Huisstijl-Gegeven"/>
            <w:rPr>
              <w:noProof w:val="0"/>
            </w:rPr>
          </w:pPr>
          <w:r>
            <w:rPr>
              <w:noProof w:val="0"/>
            </w:rPr>
            <w:t>Omschrijving</w:t>
          </w:r>
        </w:p>
      </w:tc>
      <w:tc>
        <w:tcPr>
          <w:tcW w:w="5260" w:type="dxa"/>
          <w:shd w:val="clear" w:color="auto" w:fill="auto"/>
        </w:tcPr>
        <w:p w14:paraId="186AF8CF" w14:textId="6508A6BD" w:rsidR="00855599" w:rsidRDefault="000B69A9" w:rsidP="00855599">
          <w:r>
            <w:t>BWO - SFIN en MKGG</w:t>
          </w:r>
        </w:p>
      </w:tc>
    </w:tr>
    <w:tr w:rsidR="00855599" w14:paraId="7D82C185" w14:textId="77777777" w:rsidTr="000B69A9">
      <w:trPr>
        <w:trHeight w:val="192"/>
      </w:trPr>
      <w:tc>
        <w:tcPr>
          <w:tcW w:w="2201" w:type="dxa"/>
          <w:shd w:val="clear" w:color="auto" w:fill="auto"/>
        </w:tcPr>
        <w:p w14:paraId="2502C7CC" w14:textId="77777777" w:rsidR="00855599" w:rsidRDefault="00855599" w:rsidP="00855599">
          <w:pPr>
            <w:pStyle w:val="Huisstijl-Gegeven"/>
            <w:rPr>
              <w:noProof w:val="0"/>
            </w:rPr>
          </w:pPr>
          <w:r>
            <w:rPr>
              <w:noProof w:val="0"/>
            </w:rPr>
            <w:t>Voorzitter</w:t>
          </w:r>
        </w:p>
      </w:tc>
      <w:tc>
        <w:tcPr>
          <w:tcW w:w="5260" w:type="dxa"/>
          <w:shd w:val="clear" w:color="auto" w:fill="auto"/>
        </w:tcPr>
        <w:p w14:paraId="76B7A004" w14:textId="5931A310" w:rsidR="00855599" w:rsidRDefault="00855599" w:rsidP="00855599">
          <w:r>
            <w:t xml:space="preserve">Staatssecretaris van </w:t>
          </w:r>
          <w:r w:rsidRPr="00774448">
            <w:t>Fiscaliteit, Belastingdienst en Douane</w:t>
          </w:r>
          <w:r>
            <w:t xml:space="preserve"> </w:t>
          </w:r>
        </w:p>
      </w:tc>
    </w:tr>
    <w:tr w:rsidR="00855599" w14:paraId="2A8DE10B" w14:textId="77777777" w:rsidTr="000B69A9">
      <w:trPr>
        <w:trHeight w:val="192"/>
      </w:trPr>
      <w:tc>
        <w:tcPr>
          <w:tcW w:w="2201" w:type="dxa"/>
          <w:shd w:val="clear" w:color="auto" w:fill="auto"/>
        </w:tcPr>
        <w:p w14:paraId="1C470620" w14:textId="77777777" w:rsidR="00855599" w:rsidRDefault="00855599" w:rsidP="00855599">
          <w:pPr>
            <w:pStyle w:val="Huisstijl-Gegeven"/>
            <w:rPr>
              <w:noProof w:val="0"/>
            </w:rPr>
          </w:pPr>
          <w:r>
            <w:rPr>
              <w:noProof w:val="0"/>
            </w:rPr>
            <w:t>Notulist</w:t>
          </w:r>
        </w:p>
      </w:tc>
      <w:tc>
        <w:tcPr>
          <w:tcW w:w="5260" w:type="dxa"/>
          <w:shd w:val="clear" w:color="auto" w:fill="auto"/>
        </w:tcPr>
        <w:p w14:paraId="6BC2C85F" w14:textId="77777777" w:rsidR="00855599" w:rsidRDefault="00855599" w:rsidP="00855599"/>
      </w:tc>
    </w:tr>
    <w:tr w:rsidR="00855599" w14:paraId="57682505" w14:textId="77777777" w:rsidTr="000B69A9">
      <w:trPr>
        <w:trHeight w:val="192"/>
      </w:trPr>
      <w:tc>
        <w:tcPr>
          <w:tcW w:w="2201" w:type="dxa"/>
          <w:shd w:val="clear" w:color="auto" w:fill="auto"/>
        </w:tcPr>
        <w:p w14:paraId="1FFF38A4" w14:textId="77777777" w:rsidR="00855599" w:rsidRDefault="00855599" w:rsidP="00855599">
          <w:pPr>
            <w:pStyle w:val="Huisstijl-Gegeven"/>
            <w:rPr>
              <w:noProof w:val="0"/>
            </w:rPr>
          </w:pPr>
          <w:r>
            <w:rPr>
              <w:noProof w:val="0"/>
            </w:rPr>
            <w:t>Vergaderdatum en -tijd</w:t>
          </w:r>
        </w:p>
      </w:tc>
      <w:tc>
        <w:tcPr>
          <w:tcW w:w="5260" w:type="dxa"/>
          <w:shd w:val="clear" w:color="auto" w:fill="auto"/>
        </w:tcPr>
        <w:p w14:paraId="1D2CB6A9" w14:textId="77777777" w:rsidR="00855599" w:rsidRDefault="00855599" w:rsidP="00855599">
          <w:r>
            <w:t>6 februari 2025, . uur - . uur</w:t>
          </w:r>
        </w:p>
      </w:tc>
    </w:tr>
    <w:tr w:rsidR="00855599" w14:paraId="4669CC5C" w14:textId="77777777" w:rsidTr="000B69A9">
      <w:trPr>
        <w:trHeight w:val="192"/>
      </w:trPr>
      <w:tc>
        <w:tcPr>
          <w:tcW w:w="2201" w:type="dxa"/>
          <w:shd w:val="clear" w:color="auto" w:fill="auto"/>
        </w:tcPr>
        <w:p w14:paraId="5161106D" w14:textId="77777777" w:rsidR="00855599" w:rsidRDefault="00855599" w:rsidP="00855599">
          <w:pPr>
            <w:pStyle w:val="Huisstijl-Gegeven"/>
            <w:rPr>
              <w:noProof w:val="0"/>
            </w:rPr>
          </w:pPr>
          <w:r>
            <w:rPr>
              <w:noProof w:val="0"/>
            </w:rPr>
            <w:t>Locatie</w:t>
          </w:r>
        </w:p>
      </w:tc>
      <w:tc>
        <w:tcPr>
          <w:tcW w:w="5260" w:type="dxa"/>
          <w:shd w:val="clear" w:color="auto" w:fill="auto"/>
        </w:tcPr>
        <w:p w14:paraId="13BFF6BF" w14:textId="77777777" w:rsidR="00855599" w:rsidRDefault="00855599" w:rsidP="00855599"/>
      </w:tc>
    </w:tr>
    <w:tr w:rsidR="00855599" w14:paraId="24F85255" w14:textId="77777777" w:rsidTr="000B69A9">
      <w:trPr>
        <w:trHeight w:hRule="exact" w:val="80"/>
      </w:trPr>
      <w:tc>
        <w:tcPr>
          <w:tcW w:w="2201" w:type="dxa"/>
          <w:tcBorders>
            <w:bottom w:val="dotted" w:sz="4" w:space="0" w:color="auto"/>
          </w:tcBorders>
          <w:shd w:val="clear" w:color="auto" w:fill="auto"/>
        </w:tcPr>
        <w:p w14:paraId="63D1D07E" w14:textId="77777777" w:rsidR="00855599" w:rsidRDefault="00855599" w:rsidP="00855599">
          <w:pPr>
            <w:pStyle w:val="Huisstijl-Gegeven"/>
            <w:rPr>
              <w:noProof w:val="0"/>
            </w:rPr>
          </w:pPr>
        </w:p>
      </w:tc>
      <w:tc>
        <w:tcPr>
          <w:tcW w:w="5260" w:type="dxa"/>
          <w:tcBorders>
            <w:bottom w:val="dotted" w:sz="4" w:space="0" w:color="auto"/>
          </w:tcBorders>
          <w:shd w:val="clear" w:color="auto" w:fill="auto"/>
        </w:tcPr>
        <w:p w14:paraId="03386145" w14:textId="77777777" w:rsidR="00855599" w:rsidRDefault="00855599" w:rsidP="00855599">
          <w:pPr>
            <w:spacing w:line="240" w:lineRule="exact"/>
          </w:pPr>
        </w:p>
      </w:tc>
    </w:tr>
  </w:tbl>
  <w:p w14:paraId="657B5E8C" w14:textId="77777777" w:rsidR="00600B57" w:rsidRPr="00BC4AE3" w:rsidRDefault="00600B57"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742"/>
    <w:multiLevelType w:val="hybridMultilevel"/>
    <w:tmpl w:val="80441196"/>
    <w:lvl w:ilvl="0" w:tplc="0413000F">
      <w:start w:val="1"/>
      <w:numFmt w:val="decimal"/>
      <w:lvlText w:val="%1."/>
      <w:lvlJc w:val="left"/>
      <w:pPr>
        <w:ind w:left="371" w:hanging="360"/>
      </w:pPr>
      <w:rPr>
        <w:rFonts w:hint="default"/>
      </w:rPr>
    </w:lvl>
    <w:lvl w:ilvl="1" w:tplc="04130019" w:tentative="1">
      <w:start w:val="1"/>
      <w:numFmt w:val="lowerLetter"/>
      <w:lvlText w:val="%2."/>
      <w:lvlJc w:val="left"/>
      <w:pPr>
        <w:ind w:left="1091" w:hanging="360"/>
      </w:pPr>
    </w:lvl>
    <w:lvl w:ilvl="2" w:tplc="0413001B" w:tentative="1">
      <w:start w:val="1"/>
      <w:numFmt w:val="lowerRoman"/>
      <w:lvlText w:val="%3."/>
      <w:lvlJc w:val="right"/>
      <w:pPr>
        <w:ind w:left="1811" w:hanging="180"/>
      </w:pPr>
    </w:lvl>
    <w:lvl w:ilvl="3" w:tplc="0413000F" w:tentative="1">
      <w:start w:val="1"/>
      <w:numFmt w:val="decimal"/>
      <w:lvlText w:val="%4."/>
      <w:lvlJc w:val="left"/>
      <w:pPr>
        <w:ind w:left="2531" w:hanging="360"/>
      </w:pPr>
    </w:lvl>
    <w:lvl w:ilvl="4" w:tplc="04130019" w:tentative="1">
      <w:start w:val="1"/>
      <w:numFmt w:val="lowerLetter"/>
      <w:lvlText w:val="%5."/>
      <w:lvlJc w:val="left"/>
      <w:pPr>
        <w:ind w:left="3251" w:hanging="360"/>
      </w:pPr>
    </w:lvl>
    <w:lvl w:ilvl="5" w:tplc="0413001B" w:tentative="1">
      <w:start w:val="1"/>
      <w:numFmt w:val="lowerRoman"/>
      <w:lvlText w:val="%6."/>
      <w:lvlJc w:val="right"/>
      <w:pPr>
        <w:ind w:left="3971" w:hanging="180"/>
      </w:pPr>
    </w:lvl>
    <w:lvl w:ilvl="6" w:tplc="0413000F" w:tentative="1">
      <w:start w:val="1"/>
      <w:numFmt w:val="decimal"/>
      <w:lvlText w:val="%7."/>
      <w:lvlJc w:val="left"/>
      <w:pPr>
        <w:ind w:left="4691" w:hanging="360"/>
      </w:pPr>
    </w:lvl>
    <w:lvl w:ilvl="7" w:tplc="04130019" w:tentative="1">
      <w:start w:val="1"/>
      <w:numFmt w:val="lowerLetter"/>
      <w:lvlText w:val="%8."/>
      <w:lvlJc w:val="left"/>
      <w:pPr>
        <w:ind w:left="5411" w:hanging="360"/>
      </w:pPr>
    </w:lvl>
    <w:lvl w:ilvl="8" w:tplc="0413001B" w:tentative="1">
      <w:start w:val="1"/>
      <w:numFmt w:val="lowerRoman"/>
      <w:lvlText w:val="%9."/>
      <w:lvlJc w:val="right"/>
      <w:pPr>
        <w:ind w:left="6131" w:hanging="180"/>
      </w:pPr>
    </w:lvl>
  </w:abstractNum>
  <w:abstractNum w:abstractNumId="1" w15:restartNumberingAfterBreak="0">
    <w:nsid w:val="0A4120A4"/>
    <w:multiLevelType w:val="hybridMultilevel"/>
    <w:tmpl w:val="1D8E1FCE"/>
    <w:lvl w:ilvl="0" w:tplc="182C90E2">
      <w:start w:val="1"/>
      <w:numFmt w:val="bullet"/>
      <w:pStyle w:val="Lijstopsomteken"/>
      <w:lvlText w:val="•"/>
      <w:lvlJc w:val="left"/>
      <w:pPr>
        <w:tabs>
          <w:tab w:val="num" w:pos="227"/>
        </w:tabs>
        <w:ind w:left="227" w:hanging="227"/>
      </w:pPr>
      <w:rPr>
        <w:rFonts w:ascii="Verdana" w:hAnsi="Verdana" w:hint="default"/>
        <w:sz w:val="18"/>
        <w:szCs w:val="18"/>
      </w:rPr>
    </w:lvl>
    <w:lvl w:ilvl="1" w:tplc="AED802D2" w:tentative="1">
      <w:start w:val="1"/>
      <w:numFmt w:val="bullet"/>
      <w:lvlText w:val="o"/>
      <w:lvlJc w:val="left"/>
      <w:pPr>
        <w:tabs>
          <w:tab w:val="num" w:pos="1440"/>
        </w:tabs>
        <w:ind w:left="1440" w:hanging="360"/>
      </w:pPr>
      <w:rPr>
        <w:rFonts w:ascii="Courier New" w:hAnsi="Courier New" w:cs="Courier New" w:hint="default"/>
      </w:rPr>
    </w:lvl>
    <w:lvl w:ilvl="2" w:tplc="8A02D030" w:tentative="1">
      <w:start w:val="1"/>
      <w:numFmt w:val="bullet"/>
      <w:lvlText w:val=""/>
      <w:lvlJc w:val="left"/>
      <w:pPr>
        <w:tabs>
          <w:tab w:val="num" w:pos="2160"/>
        </w:tabs>
        <w:ind w:left="2160" w:hanging="360"/>
      </w:pPr>
      <w:rPr>
        <w:rFonts w:ascii="Wingdings" w:hAnsi="Wingdings" w:hint="default"/>
      </w:rPr>
    </w:lvl>
    <w:lvl w:ilvl="3" w:tplc="7862D2DE" w:tentative="1">
      <w:start w:val="1"/>
      <w:numFmt w:val="bullet"/>
      <w:lvlText w:val=""/>
      <w:lvlJc w:val="left"/>
      <w:pPr>
        <w:tabs>
          <w:tab w:val="num" w:pos="2880"/>
        </w:tabs>
        <w:ind w:left="2880" w:hanging="360"/>
      </w:pPr>
      <w:rPr>
        <w:rFonts w:ascii="Symbol" w:hAnsi="Symbol" w:hint="default"/>
      </w:rPr>
    </w:lvl>
    <w:lvl w:ilvl="4" w:tplc="215E58EE" w:tentative="1">
      <w:start w:val="1"/>
      <w:numFmt w:val="bullet"/>
      <w:lvlText w:val="o"/>
      <w:lvlJc w:val="left"/>
      <w:pPr>
        <w:tabs>
          <w:tab w:val="num" w:pos="3600"/>
        </w:tabs>
        <w:ind w:left="3600" w:hanging="360"/>
      </w:pPr>
      <w:rPr>
        <w:rFonts w:ascii="Courier New" w:hAnsi="Courier New" w:cs="Courier New" w:hint="default"/>
      </w:rPr>
    </w:lvl>
    <w:lvl w:ilvl="5" w:tplc="2242916A" w:tentative="1">
      <w:start w:val="1"/>
      <w:numFmt w:val="bullet"/>
      <w:lvlText w:val=""/>
      <w:lvlJc w:val="left"/>
      <w:pPr>
        <w:tabs>
          <w:tab w:val="num" w:pos="4320"/>
        </w:tabs>
        <w:ind w:left="4320" w:hanging="360"/>
      </w:pPr>
      <w:rPr>
        <w:rFonts w:ascii="Wingdings" w:hAnsi="Wingdings" w:hint="default"/>
      </w:rPr>
    </w:lvl>
    <w:lvl w:ilvl="6" w:tplc="003A084C" w:tentative="1">
      <w:start w:val="1"/>
      <w:numFmt w:val="bullet"/>
      <w:lvlText w:val=""/>
      <w:lvlJc w:val="left"/>
      <w:pPr>
        <w:tabs>
          <w:tab w:val="num" w:pos="5040"/>
        </w:tabs>
        <w:ind w:left="5040" w:hanging="360"/>
      </w:pPr>
      <w:rPr>
        <w:rFonts w:ascii="Symbol" w:hAnsi="Symbol" w:hint="default"/>
      </w:rPr>
    </w:lvl>
    <w:lvl w:ilvl="7" w:tplc="AFB8C418" w:tentative="1">
      <w:start w:val="1"/>
      <w:numFmt w:val="bullet"/>
      <w:lvlText w:val="o"/>
      <w:lvlJc w:val="left"/>
      <w:pPr>
        <w:tabs>
          <w:tab w:val="num" w:pos="5760"/>
        </w:tabs>
        <w:ind w:left="5760" w:hanging="360"/>
      </w:pPr>
      <w:rPr>
        <w:rFonts w:ascii="Courier New" w:hAnsi="Courier New" w:cs="Courier New" w:hint="default"/>
      </w:rPr>
    </w:lvl>
    <w:lvl w:ilvl="8" w:tplc="7ADA76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03050"/>
    <w:multiLevelType w:val="hybridMultilevel"/>
    <w:tmpl w:val="4E0A3A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706393"/>
    <w:multiLevelType w:val="multilevel"/>
    <w:tmpl w:val="EE4C9750"/>
    <w:styleLink w:val="Nummeringagenda"/>
    <w:lvl w:ilvl="0">
      <w:start w:val="1"/>
      <w:numFmt w:val="decimal"/>
      <w:lvlText w:val="%1."/>
      <w:lvlJc w:val="left"/>
      <w:pPr>
        <w:tabs>
          <w:tab w:val="num" w:pos="720"/>
        </w:tabs>
        <w:ind w:left="720" w:hanging="360"/>
      </w:pPr>
      <w:rPr>
        <w:rFonts w:ascii="Verdana" w:hAnsi="Verdana" w:cs="Times New Roman" w:hint="default"/>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9632ED0"/>
    <w:multiLevelType w:val="hybridMultilevel"/>
    <w:tmpl w:val="AF12E9CE"/>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113ADB"/>
    <w:multiLevelType w:val="hybridMultilevel"/>
    <w:tmpl w:val="5232C0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DCD6CA2"/>
    <w:multiLevelType w:val="hybridMultilevel"/>
    <w:tmpl w:val="941EBB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E112BA6"/>
    <w:multiLevelType w:val="hybridMultilevel"/>
    <w:tmpl w:val="3DC4D57E"/>
    <w:lvl w:ilvl="0" w:tplc="FFFFFFFF">
      <w:start w:val="1"/>
      <w:numFmt w:val="bullet"/>
      <w:lvlText w:val="·"/>
      <w:lvlJc w:val="left"/>
      <w:pPr>
        <w:ind w:left="371" w:hanging="360"/>
      </w:pPr>
      <w:rPr>
        <w:rFonts w:ascii="Symbol" w:hAnsi="Symbol" w:hint="default"/>
      </w:rPr>
    </w:lvl>
    <w:lvl w:ilvl="1" w:tplc="04130003" w:tentative="1">
      <w:start w:val="1"/>
      <w:numFmt w:val="bullet"/>
      <w:lvlText w:val="o"/>
      <w:lvlJc w:val="left"/>
      <w:pPr>
        <w:ind w:left="1091" w:hanging="360"/>
      </w:pPr>
      <w:rPr>
        <w:rFonts w:ascii="Courier New" w:hAnsi="Courier New" w:cs="Courier New" w:hint="default"/>
      </w:rPr>
    </w:lvl>
    <w:lvl w:ilvl="2" w:tplc="04130005" w:tentative="1">
      <w:start w:val="1"/>
      <w:numFmt w:val="bullet"/>
      <w:lvlText w:val=""/>
      <w:lvlJc w:val="left"/>
      <w:pPr>
        <w:ind w:left="1811" w:hanging="360"/>
      </w:pPr>
      <w:rPr>
        <w:rFonts w:ascii="Wingdings" w:hAnsi="Wingdings" w:hint="default"/>
      </w:rPr>
    </w:lvl>
    <w:lvl w:ilvl="3" w:tplc="04130001" w:tentative="1">
      <w:start w:val="1"/>
      <w:numFmt w:val="bullet"/>
      <w:lvlText w:val=""/>
      <w:lvlJc w:val="left"/>
      <w:pPr>
        <w:ind w:left="2531" w:hanging="360"/>
      </w:pPr>
      <w:rPr>
        <w:rFonts w:ascii="Symbol" w:hAnsi="Symbol" w:hint="default"/>
      </w:rPr>
    </w:lvl>
    <w:lvl w:ilvl="4" w:tplc="04130003" w:tentative="1">
      <w:start w:val="1"/>
      <w:numFmt w:val="bullet"/>
      <w:lvlText w:val="o"/>
      <w:lvlJc w:val="left"/>
      <w:pPr>
        <w:ind w:left="3251" w:hanging="360"/>
      </w:pPr>
      <w:rPr>
        <w:rFonts w:ascii="Courier New" w:hAnsi="Courier New" w:cs="Courier New" w:hint="default"/>
      </w:rPr>
    </w:lvl>
    <w:lvl w:ilvl="5" w:tplc="04130005" w:tentative="1">
      <w:start w:val="1"/>
      <w:numFmt w:val="bullet"/>
      <w:lvlText w:val=""/>
      <w:lvlJc w:val="left"/>
      <w:pPr>
        <w:ind w:left="3971" w:hanging="360"/>
      </w:pPr>
      <w:rPr>
        <w:rFonts w:ascii="Wingdings" w:hAnsi="Wingdings" w:hint="default"/>
      </w:rPr>
    </w:lvl>
    <w:lvl w:ilvl="6" w:tplc="04130001" w:tentative="1">
      <w:start w:val="1"/>
      <w:numFmt w:val="bullet"/>
      <w:lvlText w:val=""/>
      <w:lvlJc w:val="left"/>
      <w:pPr>
        <w:ind w:left="4691" w:hanging="360"/>
      </w:pPr>
      <w:rPr>
        <w:rFonts w:ascii="Symbol" w:hAnsi="Symbol" w:hint="default"/>
      </w:rPr>
    </w:lvl>
    <w:lvl w:ilvl="7" w:tplc="04130003" w:tentative="1">
      <w:start w:val="1"/>
      <w:numFmt w:val="bullet"/>
      <w:lvlText w:val="o"/>
      <w:lvlJc w:val="left"/>
      <w:pPr>
        <w:ind w:left="5411" w:hanging="360"/>
      </w:pPr>
      <w:rPr>
        <w:rFonts w:ascii="Courier New" w:hAnsi="Courier New" w:cs="Courier New" w:hint="default"/>
      </w:rPr>
    </w:lvl>
    <w:lvl w:ilvl="8" w:tplc="04130005" w:tentative="1">
      <w:start w:val="1"/>
      <w:numFmt w:val="bullet"/>
      <w:lvlText w:val=""/>
      <w:lvlJc w:val="left"/>
      <w:pPr>
        <w:ind w:left="6131" w:hanging="360"/>
      </w:pPr>
      <w:rPr>
        <w:rFonts w:ascii="Wingdings" w:hAnsi="Wingdings" w:hint="default"/>
      </w:rPr>
    </w:lvl>
  </w:abstractNum>
  <w:abstractNum w:abstractNumId="8" w15:restartNumberingAfterBreak="0">
    <w:nsid w:val="1E166F12"/>
    <w:multiLevelType w:val="hybridMultilevel"/>
    <w:tmpl w:val="B2DEA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E555FEF"/>
    <w:multiLevelType w:val="hybridMultilevel"/>
    <w:tmpl w:val="50F0923E"/>
    <w:lvl w:ilvl="0" w:tplc="B9662FF8">
      <w:start w:val="1"/>
      <w:numFmt w:val="bullet"/>
      <w:pStyle w:val="Lijstopsomteken2"/>
      <w:lvlText w:val="–"/>
      <w:lvlJc w:val="left"/>
      <w:pPr>
        <w:tabs>
          <w:tab w:val="num" w:pos="227"/>
        </w:tabs>
        <w:ind w:left="227" w:firstLine="0"/>
      </w:pPr>
      <w:rPr>
        <w:rFonts w:ascii="Verdana" w:hAnsi="Verdana" w:hint="default"/>
      </w:rPr>
    </w:lvl>
    <w:lvl w:ilvl="1" w:tplc="CC2A2680" w:tentative="1">
      <w:start w:val="1"/>
      <w:numFmt w:val="bullet"/>
      <w:lvlText w:val="o"/>
      <w:lvlJc w:val="left"/>
      <w:pPr>
        <w:tabs>
          <w:tab w:val="num" w:pos="1440"/>
        </w:tabs>
        <w:ind w:left="1440" w:hanging="360"/>
      </w:pPr>
      <w:rPr>
        <w:rFonts w:ascii="Courier New" w:hAnsi="Courier New" w:cs="Courier New" w:hint="default"/>
      </w:rPr>
    </w:lvl>
    <w:lvl w:ilvl="2" w:tplc="472CC19C" w:tentative="1">
      <w:start w:val="1"/>
      <w:numFmt w:val="bullet"/>
      <w:lvlText w:val=""/>
      <w:lvlJc w:val="left"/>
      <w:pPr>
        <w:tabs>
          <w:tab w:val="num" w:pos="2160"/>
        </w:tabs>
        <w:ind w:left="2160" w:hanging="360"/>
      </w:pPr>
      <w:rPr>
        <w:rFonts w:ascii="Wingdings" w:hAnsi="Wingdings" w:hint="default"/>
      </w:rPr>
    </w:lvl>
    <w:lvl w:ilvl="3" w:tplc="1602C70A" w:tentative="1">
      <w:start w:val="1"/>
      <w:numFmt w:val="bullet"/>
      <w:lvlText w:val=""/>
      <w:lvlJc w:val="left"/>
      <w:pPr>
        <w:tabs>
          <w:tab w:val="num" w:pos="2880"/>
        </w:tabs>
        <w:ind w:left="2880" w:hanging="360"/>
      </w:pPr>
      <w:rPr>
        <w:rFonts w:ascii="Symbol" w:hAnsi="Symbol" w:hint="default"/>
      </w:rPr>
    </w:lvl>
    <w:lvl w:ilvl="4" w:tplc="601C90F4" w:tentative="1">
      <w:start w:val="1"/>
      <w:numFmt w:val="bullet"/>
      <w:lvlText w:val="o"/>
      <w:lvlJc w:val="left"/>
      <w:pPr>
        <w:tabs>
          <w:tab w:val="num" w:pos="3600"/>
        </w:tabs>
        <w:ind w:left="3600" w:hanging="360"/>
      </w:pPr>
      <w:rPr>
        <w:rFonts w:ascii="Courier New" w:hAnsi="Courier New" w:cs="Courier New" w:hint="default"/>
      </w:rPr>
    </w:lvl>
    <w:lvl w:ilvl="5" w:tplc="48C4D48E" w:tentative="1">
      <w:start w:val="1"/>
      <w:numFmt w:val="bullet"/>
      <w:lvlText w:val=""/>
      <w:lvlJc w:val="left"/>
      <w:pPr>
        <w:tabs>
          <w:tab w:val="num" w:pos="4320"/>
        </w:tabs>
        <w:ind w:left="4320" w:hanging="360"/>
      </w:pPr>
      <w:rPr>
        <w:rFonts w:ascii="Wingdings" w:hAnsi="Wingdings" w:hint="default"/>
      </w:rPr>
    </w:lvl>
    <w:lvl w:ilvl="6" w:tplc="C804C1DC" w:tentative="1">
      <w:start w:val="1"/>
      <w:numFmt w:val="bullet"/>
      <w:lvlText w:val=""/>
      <w:lvlJc w:val="left"/>
      <w:pPr>
        <w:tabs>
          <w:tab w:val="num" w:pos="5040"/>
        </w:tabs>
        <w:ind w:left="5040" w:hanging="360"/>
      </w:pPr>
      <w:rPr>
        <w:rFonts w:ascii="Symbol" w:hAnsi="Symbol" w:hint="default"/>
      </w:rPr>
    </w:lvl>
    <w:lvl w:ilvl="7" w:tplc="CA18825A" w:tentative="1">
      <w:start w:val="1"/>
      <w:numFmt w:val="bullet"/>
      <w:lvlText w:val="o"/>
      <w:lvlJc w:val="left"/>
      <w:pPr>
        <w:tabs>
          <w:tab w:val="num" w:pos="5760"/>
        </w:tabs>
        <w:ind w:left="5760" w:hanging="360"/>
      </w:pPr>
      <w:rPr>
        <w:rFonts w:ascii="Courier New" w:hAnsi="Courier New" w:cs="Courier New" w:hint="default"/>
      </w:rPr>
    </w:lvl>
    <w:lvl w:ilvl="8" w:tplc="539615F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40E4A"/>
    <w:multiLevelType w:val="hybridMultilevel"/>
    <w:tmpl w:val="2E98EF02"/>
    <w:lvl w:ilvl="0" w:tplc="041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DFC4095E">
      <w:start w:val="1"/>
      <w:numFmt w:val="bullet"/>
      <w:lvlText w:val=""/>
      <w:lvlJc w:val="left"/>
      <w:pPr>
        <w:ind w:left="2509" w:hanging="360"/>
      </w:pPr>
      <w:rPr>
        <w:rFonts w:ascii="Symbol" w:hAnsi="Symbol" w:hint="default"/>
      </w:rPr>
    </w:lvl>
    <w:lvl w:ilvl="3" w:tplc="FFFFFFFF">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21574FEF"/>
    <w:multiLevelType w:val="multilevel"/>
    <w:tmpl w:val="B83A31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D8F134E"/>
    <w:multiLevelType w:val="hybridMultilevel"/>
    <w:tmpl w:val="DF3EFDE2"/>
    <w:lvl w:ilvl="0" w:tplc="5EFA102C">
      <w:start w:val="1"/>
      <w:numFmt w:val="decimal"/>
      <w:lvlText w:val="%1."/>
      <w:lvlJc w:val="left"/>
      <w:pPr>
        <w:ind w:left="371" w:hanging="360"/>
      </w:pPr>
      <w:rPr>
        <w:rFonts w:hint="default"/>
      </w:rPr>
    </w:lvl>
    <w:lvl w:ilvl="1" w:tplc="04130019" w:tentative="1">
      <w:start w:val="1"/>
      <w:numFmt w:val="lowerLetter"/>
      <w:lvlText w:val="%2."/>
      <w:lvlJc w:val="left"/>
      <w:pPr>
        <w:ind w:left="1091" w:hanging="360"/>
      </w:pPr>
    </w:lvl>
    <w:lvl w:ilvl="2" w:tplc="0413001B" w:tentative="1">
      <w:start w:val="1"/>
      <w:numFmt w:val="lowerRoman"/>
      <w:lvlText w:val="%3."/>
      <w:lvlJc w:val="right"/>
      <w:pPr>
        <w:ind w:left="1811" w:hanging="180"/>
      </w:pPr>
    </w:lvl>
    <w:lvl w:ilvl="3" w:tplc="0413000F" w:tentative="1">
      <w:start w:val="1"/>
      <w:numFmt w:val="decimal"/>
      <w:lvlText w:val="%4."/>
      <w:lvlJc w:val="left"/>
      <w:pPr>
        <w:ind w:left="2531" w:hanging="360"/>
      </w:pPr>
    </w:lvl>
    <w:lvl w:ilvl="4" w:tplc="04130019" w:tentative="1">
      <w:start w:val="1"/>
      <w:numFmt w:val="lowerLetter"/>
      <w:lvlText w:val="%5."/>
      <w:lvlJc w:val="left"/>
      <w:pPr>
        <w:ind w:left="3251" w:hanging="360"/>
      </w:pPr>
    </w:lvl>
    <w:lvl w:ilvl="5" w:tplc="0413001B" w:tentative="1">
      <w:start w:val="1"/>
      <w:numFmt w:val="lowerRoman"/>
      <w:lvlText w:val="%6."/>
      <w:lvlJc w:val="right"/>
      <w:pPr>
        <w:ind w:left="3971" w:hanging="180"/>
      </w:pPr>
    </w:lvl>
    <w:lvl w:ilvl="6" w:tplc="0413000F" w:tentative="1">
      <w:start w:val="1"/>
      <w:numFmt w:val="decimal"/>
      <w:lvlText w:val="%7."/>
      <w:lvlJc w:val="left"/>
      <w:pPr>
        <w:ind w:left="4691" w:hanging="360"/>
      </w:pPr>
    </w:lvl>
    <w:lvl w:ilvl="7" w:tplc="04130019" w:tentative="1">
      <w:start w:val="1"/>
      <w:numFmt w:val="lowerLetter"/>
      <w:lvlText w:val="%8."/>
      <w:lvlJc w:val="left"/>
      <w:pPr>
        <w:ind w:left="5411" w:hanging="360"/>
      </w:pPr>
    </w:lvl>
    <w:lvl w:ilvl="8" w:tplc="0413001B" w:tentative="1">
      <w:start w:val="1"/>
      <w:numFmt w:val="lowerRoman"/>
      <w:lvlText w:val="%9."/>
      <w:lvlJc w:val="right"/>
      <w:pPr>
        <w:ind w:left="6131" w:hanging="180"/>
      </w:pPr>
    </w:lvl>
  </w:abstractNum>
  <w:abstractNum w:abstractNumId="13" w15:restartNumberingAfterBreak="0">
    <w:nsid w:val="322B5255"/>
    <w:multiLevelType w:val="hybridMultilevel"/>
    <w:tmpl w:val="9ADC93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DF221BD"/>
    <w:multiLevelType w:val="multilevel"/>
    <w:tmpl w:val="2CFE57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2671C97"/>
    <w:multiLevelType w:val="hybridMultilevel"/>
    <w:tmpl w:val="68A852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3E6644A"/>
    <w:multiLevelType w:val="hybridMultilevel"/>
    <w:tmpl w:val="6CAA3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3824A8"/>
    <w:multiLevelType w:val="hybridMultilevel"/>
    <w:tmpl w:val="8332A8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505A88"/>
    <w:multiLevelType w:val="hybridMultilevel"/>
    <w:tmpl w:val="8C0404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B63548"/>
    <w:multiLevelType w:val="hybridMultilevel"/>
    <w:tmpl w:val="23D06B00"/>
    <w:lvl w:ilvl="0" w:tplc="0413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7B0751"/>
    <w:multiLevelType w:val="hybridMultilevel"/>
    <w:tmpl w:val="2D1033A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531465A"/>
    <w:multiLevelType w:val="hybridMultilevel"/>
    <w:tmpl w:val="C7266E98"/>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6DA0F6D"/>
    <w:multiLevelType w:val="hybridMultilevel"/>
    <w:tmpl w:val="EEE8F7FC"/>
    <w:lvl w:ilvl="0" w:tplc="04130001">
      <w:start w:val="1"/>
      <w:numFmt w:val="bullet"/>
      <w:lvlText w:val=""/>
      <w:lvlJc w:val="left"/>
      <w:pPr>
        <w:ind w:left="371" w:hanging="360"/>
      </w:pPr>
      <w:rPr>
        <w:rFonts w:ascii="Symbol" w:hAnsi="Symbol" w:hint="default"/>
      </w:rPr>
    </w:lvl>
    <w:lvl w:ilvl="1" w:tplc="04130003">
      <w:start w:val="1"/>
      <w:numFmt w:val="bullet"/>
      <w:lvlText w:val="o"/>
      <w:lvlJc w:val="left"/>
      <w:pPr>
        <w:ind w:left="1091" w:hanging="360"/>
      </w:pPr>
      <w:rPr>
        <w:rFonts w:ascii="Courier New" w:hAnsi="Courier New" w:cs="Courier New" w:hint="default"/>
      </w:rPr>
    </w:lvl>
    <w:lvl w:ilvl="2" w:tplc="04130005" w:tentative="1">
      <w:start w:val="1"/>
      <w:numFmt w:val="bullet"/>
      <w:lvlText w:val=""/>
      <w:lvlJc w:val="left"/>
      <w:pPr>
        <w:ind w:left="1811" w:hanging="360"/>
      </w:pPr>
      <w:rPr>
        <w:rFonts w:ascii="Wingdings" w:hAnsi="Wingdings" w:hint="default"/>
      </w:rPr>
    </w:lvl>
    <w:lvl w:ilvl="3" w:tplc="04130001" w:tentative="1">
      <w:start w:val="1"/>
      <w:numFmt w:val="bullet"/>
      <w:lvlText w:val=""/>
      <w:lvlJc w:val="left"/>
      <w:pPr>
        <w:ind w:left="2531" w:hanging="360"/>
      </w:pPr>
      <w:rPr>
        <w:rFonts w:ascii="Symbol" w:hAnsi="Symbol" w:hint="default"/>
      </w:rPr>
    </w:lvl>
    <w:lvl w:ilvl="4" w:tplc="04130003" w:tentative="1">
      <w:start w:val="1"/>
      <w:numFmt w:val="bullet"/>
      <w:lvlText w:val="o"/>
      <w:lvlJc w:val="left"/>
      <w:pPr>
        <w:ind w:left="3251" w:hanging="360"/>
      </w:pPr>
      <w:rPr>
        <w:rFonts w:ascii="Courier New" w:hAnsi="Courier New" w:cs="Courier New" w:hint="default"/>
      </w:rPr>
    </w:lvl>
    <w:lvl w:ilvl="5" w:tplc="04130005" w:tentative="1">
      <w:start w:val="1"/>
      <w:numFmt w:val="bullet"/>
      <w:lvlText w:val=""/>
      <w:lvlJc w:val="left"/>
      <w:pPr>
        <w:ind w:left="3971" w:hanging="360"/>
      </w:pPr>
      <w:rPr>
        <w:rFonts w:ascii="Wingdings" w:hAnsi="Wingdings" w:hint="default"/>
      </w:rPr>
    </w:lvl>
    <w:lvl w:ilvl="6" w:tplc="04130001" w:tentative="1">
      <w:start w:val="1"/>
      <w:numFmt w:val="bullet"/>
      <w:lvlText w:val=""/>
      <w:lvlJc w:val="left"/>
      <w:pPr>
        <w:ind w:left="4691" w:hanging="360"/>
      </w:pPr>
      <w:rPr>
        <w:rFonts w:ascii="Symbol" w:hAnsi="Symbol" w:hint="default"/>
      </w:rPr>
    </w:lvl>
    <w:lvl w:ilvl="7" w:tplc="04130003" w:tentative="1">
      <w:start w:val="1"/>
      <w:numFmt w:val="bullet"/>
      <w:lvlText w:val="o"/>
      <w:lvlJc w:val="left"/>
      <w:pPr>
        <w:ind w:left="5411" w:hanging="360"/>
      </w:pPr>
      <w:rPr>
        <w:rFonts w:ascii="Courier New" w:hAnsi="Courier New" w:cs="Courier New" w:hint="default"/>
      </w:rPr>
    </w:lvl>
    <w:lvl w:ilvl="8" w:tplc="04130005" w:tentative="1">
      <w:start w:val="1"/>
      <w:numFmt w:val="bullet"/>
      <w:lvlText w:val=""/>
      <w:lvlJc w:val="left"/>
      <w:pPr>
        <w:ind w:left="6131" w:hanging="360"/>
      </w:pPr>
      <w:rPr>
        <w:rFonts w:ascii="Wingdings" w:hAnsi="Wingdings" w:hint="default"/>
      </w:rPr>
    </w:lvl>
  </w:abstractNum>
  <w:abstractNum w:abstractNumId="23" w15:restartNumberingAfterBreak="0">
    <w:nsid w:val="760C7894"/>
    <w:multiLevelType w:val="hybridMultilevel"/>
    <w:tmpl w:val="11C622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AC41513"/>
    <w:multiLevelType w:val="hybridMultilevel"/>
    <w:tmpl w:val="77323B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17657">
    <w:abstractNumId w:val="1"/>
  </w:num>
  <w:num w:numId="2" w16cid:durableId="105348773">
    <w:abstractNumId w:val="9"/>
  </w:num>
  <w:num w:numId="3" w16cid:durableId="943536186">
    <w:abstractNumId w:val="3"/>
  </w:num>
  <w:num w:numId="4" w16cid:durableId="913471975">
    <w:abstractNumId w:val="19"/>
  </w:num>
  <w:num w:numId="5" w16cid:durableId="1256594227">
    <w:abstractNumId w:val="12"/>
  </w:num>
  <w:num w:numId="6" w16cid:durableId="204370263">
    <w:abstractNumId w:val="18"/>
  </w:num>
  <w:num w:numId="7" w16cid:durableId="1597783823">
    <w:abstractNumId w:val="21"/>
  </w:num>
  <w:num w:numId="8" w16cid:durableId="1748452631">
    <w:abstractNumId w:val="0"/>
  </w:num>
  <w:num w:numId="9" w16cid:durableId="49302897">
    <w:abstractNumId w:val="7"/>
  </w:num>
  <w:num w:numId="10" w16cid:durableId="958101020">
    <w:abstractNumId w:val="14"/>
  </w:num>
  <w:num w:numId="11" w16cid:durableId="1743721235">
    <w:abstractNumId w:val="11"/>
  </w:num>
  <w:num w:numId="12" w16cid:durableId="1362125899">
    <w:abstractNumId w:val="17"/>
  </w:num>
  <w:num w:numId="13" w16cid:durableId="1374386442">
    <w:abstractNumId w:val="16"/>
  </w:num>
  <w:num w:numId="14" w16cid:durableId="36397593">
    <w:abstractNumId w:val="8"/>
  </w:num>
  <w:num w:numId="15" w16cid:durableId="1288513422">
    <w:abstractNumId w:val="5"/>
  </w:num>
  <w:num w:numId="16" w16cid:durableId="1404836775">
    <w:abstractNumId w:val="20"/>
  </w:num>
  <w:num w:numId="17" w16cid:durableId="956253229">
    <w:abstractNumId w:val="15"/>
  </w:num>
  <w:num w:numId="18" w16cid:durableId="1547645068">
    <w:abstractNumId w:val="10"/>
  </w:num>
  <w:num w:numId="19" w16cid:durableId="335882501">
    <w:abstractNumId w:val="4"/>
  </w:num>
  <w:num w:numId="20" w16cid:durableId="1034581036">
    <w:abstractNumId w:val="2"/>
  </w:num>
  <w:num w:numId="21" w16cid:durableId="1981419319">
    <w:abstractNumId w:val="22"/>
  </w:num>
  <w:num w:numId="22" w16cid:durableId="1752504917">
    <w:abstractNumId w:val="23"/>
  </w:num>
  <w:num w:numId="23" w16cid:durableId="593785477">
    <w:abstractNumId w:val="6"/>
  </w:num>
  <w:num w:numId="24" w16cid:durableId="1961911660">
    <w:abstractNumId w:val="13"/>
  </w:num>
  <w:num w:numId="25" w16cid:durableId="20290914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D6"/>
    <w:rsid w:val="000104C9"/>
    <w:rsid w:val="00013862"/>
    <w:rsid w:val="00016012"/>
    <w:rsid w:val="00020189"/>
    <w:rsid w:val="00020EE4"/>
    <w:rsid w:val="00023E9A"/>
    <w:rsid w:val="00034A84"/>
    <w:rsid w:val="0003586B"/>
    <w:rsid w:val="00035E67"/>
    <w:rsid w:val="000366F3"/>
    <w:rsid w:val="00044613"/>
    <w:rsid w:val="00071F28"/>
    <w:rsid w:val="0007250C"/>
    <w:rsid w:val="00074079"/>
    <w:rsid w:val="00076D1B"/>
    <w:rsid w:val="00092799"/>
    <w:rsid w:val="00092BA7"/>
    <w:rsid w:val="00092C5F"/>
    <w:rsid w:val="00096680"/>
    <w:rsid w:val="000A174A"/>
    <w:rsid w:val="000A3E0A"/>
    <w:rsid w:val="000A4AD7"/>
    <w:rsid w:val="000A65AC"/>
    <w:rsid w:val="000B16A1"/>
    <w:rsid w:val="000B2698"/>
    <w:rsid w:val="000B69A9"/>
    <w:rsid w:val="000B7281"/>
    <w:rsid w:val="000B7FAB"/>
    <w:rsid w:val="000C3EA9"/>
    <w:rsid w:val="000D0225"/>
    <w:rsid w:val="000D119D"/>
    <w:rsid w:val="000F161D"/>
    <w:rsid w:val="000F51CD"/>
    <w:rsid w:val="00123704"/>
    <w:rsid w:val="001270C7"/>
    <w:rsid w:val="00132540"/>
    <w:rsid w:val="00132C6D"/>
    <w:rsid w:val="001379E5"/>
    <w:rsid w:val="00142A3D"/>
    <w:rsid w:val="0014786A"/>
    <w:rsid w:val="001516A4"/>
    <w:rsid w:val="00151E5F"/>
    <w:rsid w:val="001569AB"/>
    <w:rsid w:val="001612F5"/>
    <w:rsid w:val="0016624A"/>
    <w:rsid w:val="001678FF"/>
    <w:rsid w:val="001726F3"/>
    <w:rsid w:val="00174CC2"/>
    <w:rsid w:val="00176CC6"/>
    <w:rsid w:val="00181BE4"/>
    <w:rsid w:val="00184454"/>
    <w:rsid w:val="00185576"/>
    <w:rsid w:val="00185951"/>
    <w:rsid w:val="00196B8B"/>
    <w:rsid w:val="001A2BEA"/>
    <w:rsid w:val="001A6D93"/>
    <w:rsid w:val="001B3E9E"/>
    <w:rsid w:val="001C32EC"/>
    <w:rsid w:val="001C4D5A"/>
    <w:rsid w:val="001C6250"/>
    <w:rsid w:val="001D085E"/>
    <w:rsid w:val="001D69B0"/>
    <w:rsid w:val="001E0A39"/>
    <w:rsid w:val="001E34C6"/>
    <w:rsid w:val="001E4C6B"/>
    <w:rsid w:val="001E5581"/>
    <w:rsid w:val="001F3C70"/>
    <w:rsid w:val="00200D88"/>
    <w:rsid w:val="00201F68"/>
    <w:rsid w:val="0020542F"/>
    <w:rsid w:val="0021116F"/>
    <w:rsid w:val="00212F2A"/>
    <w:rsid w:val="002134BF"/>
    <w:rsid w:val="00214F2B"/>
    <w:rsid w:val="00216BC2"/>
    <w:rsid w:val="00217880"/>
    <w:rsid w:val="002309A8"/>
    <w:rsid w:val="00231D93"/>
    <w:rsid w:val="00231E07"/>
    <w:rsid w:val="00236CFE"/>
    <w:rsid w:val="00237AA0"/>
    <w:rsid w:val="00237C0C"/>
    <w:rsid w:val="00241498"/>
    <w:rsid w:val="002428E3"/>
    <w:rsid w:val="0024588C"/>
    <w:rsid w:val="00260BAF"/>
    <w:rsid w:val="0026208B"/>
    <w:rsid w:val="0026395E"/>
    <w:rsid w:val="002650F7"/>
    <w:rsid w:val="00273F3B"/>
    <w:rsid w:val="00274DB7"/>
    <w:rsid w:val="00275984"/>
    <w:rsid w:val="00280F74"/>
    <w:rsid w:val="0028628B"/>
    <w:rsid w:val="00286998"/>
    <w:rsid w:val="00291AB7"/>
    <w:rsid w:val="0029422B"/>
    <w:rsid w:val="002A0384"/>
    <w:rsid w:val="002A4E76"/>
    <w:rsid w:val="002A5D8F"/>
    <w:rsid w:val="002B153C"/>
    <w:rsid w:val="002B1D01"/>
    <w:rsid w:val="002C1738"/>
    <w:rsid w:val="002C2830"/>
    <w:rsid w:val="002C2CFD"/>
    <w:rsid w:val="002C533C"/>
    <w:rsid w:val="002C6965"/>
    <w:rsid w:val="002D001A"/>
    <w:rsid w:val="002D317B"/>
    <w:rsid w:val="002D3587"/>
    <w:rsid w:val="002D502D"/>
    <w:rsid w:val="002D71E2"/>
    <w:rsid w:val="002E0F69"/>
    <w:rsid w:val="002E1A63"/>
    <w:rsid w:val="002E2E5B"/>
    <w:rsid w:val="002F3997"/>
    <w:rsid w:val="002F39A6"/>
    <w:rsid w:val="002F5147"/>
    <w:rsid w:val="002F69E3"/>
    <w:rsid w:val="002F7084"/>
    <w:rsid w:val="00300A1B"/>
    <w:rsid w:val="00312597"/>
    <w:rsid w:val="00314870"/>
    <w:rsid w:val="003211AD"/>
    <w:rsid w:val="00334154"/>
    <w:rsid w:val="00334F55"/>
    <w:rsid w:val="00341FA0"/>
    <w:rsid w:val="00343F51"/>
    <w:rsid w:val="00352BCF"/>
    <w:rsid w:val="00353932"/>
    <w:rsid w:val="0035464B"/>
    <w:rsid w:val="00356B39"/>
    <w:rsid w:val="0036252A"/>
    <w:rsid w:val="00364D9D"/>
    <w:rsid w:val="00367454"/>
    <w:rsid w:val="003709A1"/>
    <w:rsid w:val="0037421D"/>
    <w:rsid w:val="00383DA1"/>
    <w:rsid w:val="0039361F"/>
    <w:rsid w:val="00393963"/>
    <w:rsid w:val="00395575"/>
    <w:rsid w:val="00395672"/>
    <w:rsid w:val="003A06C8"/>
    <w:rsid w:val="003A0D7C"/>
    <w:rsid w:val="003A5288"/>
    <w:rsid w:val="003B02CD"/>
    <w:rsid w:val="003B7675"/>
    <w:rsid w:val="003B7EE7"/>
    <w:rsid w:val="003C2CCB"/>
    <w:rsid w:val="003C6804"/>
    <w:rsid w:val="003D39EC"/>
    <w:rsid w:val="003D421D"/>
    <w:rsid w:val="003E3DD5"/>
    <w:rsid w:val="003F07C6"/>
    <w:rsid w:val="003F1F6B"/>
    <w:rsid w:val="003F3757"/>
    <w:rsid w:val="003F44B7"/>
    <w:rsid w:val="003F6262"/>
    <w:rsid w:val="003F6572"/>
    <w:rsid w:val="003F7B69"/>
    <w:rsid w:val="004001A4"/>
    <w:rsid w:val="0040329B"/>
    <w:rsid w:val="00404AFF"/>
    <w:rsid w:val="00413D48"/>
    <w:rsid w:val="00441AC2"/>
    <w:rsid w:val="0044249B"/>
    <w:rsid w:val="0045023C"/>
    <w:rsid w:val="00451A5B"/>
    <w:rsid w:val="00452BCD"/>
    <w:rsid w:val="00452CEA"/>
    <w:rsid w:val="00465B52"/>
    <w:rsid w:val="0046708E"/>
    <w:rsid w:val="00474463"/>
    <w:rsid w:val="00474B75"/>
    <w:rsid w:val="00483F0B"/>
    <w:rsid w:val="004846FE"/>
    <w:rsid w:val="00484957"/>
    <w:rsid w:val="00485395"/>
    <w:rsid w:val="004869B2"/>
    <w:rsid w:val="00496319"/>
    <w:rsid w:val="004A52B1"/>
    <w:rsid w:val="004B5465"/>
    <w:rsid w:val="004C2ACE"/>
    <w:rsid w:val="004C5FEA"/>
    <w:rsid w:val="004C686B"/>
    <w:rsid w:val="004D505E"/>
    <w:rsid w:val="004D72CA"/>
    <w:rsid w:val="004E2242"/>
    <w:rsid w:val="004E3E57"/>
    <w:rsid w:val="004F0877"/>
    <w:rsid w:val="004F42FF"/>
    <w:rsid w:val="004F44C2"/>
    <w:rsid w:val="00500049"/>
    <w:rsid w:val="00505874"/>
    <w:rsid w:val="00507E34"/>
    <w:rsid w:val="00516022"/>
    <w:rsid w:val="00521CEE"/>
    <w:rsid w:val="00523F46"/>
    <w:rsid w:val="005265D9"/>
    <w:rsid w:val="005306D3"/>
    <w:rsid w:val="00533FB9"/>
    <w:rsid w:val="00541FE7"/>
    <w:rsid w:val="005429DC"/>
    <w:rsid w:val="00551C3A"/>
    <w:rsid w:val="00554E13"/>
    <w:rsid w:val="005558E0"/>
    <w:rsid w:val="00573041"/>
    <w:rsid w:val="005736A6"/>
    <w:rsid w:val="00575B80"/>
    <w:rsid w:val="005819CE"/>
    <w:rsid w:val="0058298D"/>
    <w:rsid w:val="0059136E"/>
    <w:rsid w:val="00592F9F"/>
    <w:rsid w:val="00593C2B"/>
    <w:rsid w:val="00596166"/>
    <w:rsid w:val="005C10D4"/>
    <w:rsid w:val="005C3F39"/>
    <w:rsid w:val="005C3FE0"/>
    <w:rsid w:val="005C4A05"/>
    <w:rsid w:val="005C740C"/>
    <w:rsid w:val="005D2E9E"/>
    <w:rsid w:val="005D625B"/>
    <w:rsid w:val="005E27A3"/>
    <w:rsid w:val="005F1DBC"/>
    <w:rsid w:val="005F5B49"/>
    <w:rsid w:val="005F6D11"/>
    <w:rsid w:val="00600B57"/>
    <w:rsid w:val="00600CF0"/>
    <w:rsid w:val="006022BA"/>
    <w:rsid w:val="006048F4"/>
    <w:rsid w:val="00604CD1"/>
    <w:rsid w:val="0060660A"/>
    <w:rsid w:val="00607B70"/>
    <w:rsid w:val="00612276"/>
    <w:rsid w:val="00617A44"/>
    <w:rsid w:val="006202B6"/>
    <w:rsid w:val="00622291"/>
    <w:rsid w:val="00625CD0"/>
    <w:rsid w:val="00627432"/>
    <w:rsid w:val="006300AE"/>
    <w:rsid w:val="00631090"/>
    <w:rsid w:val="00631C71"/>
    <w:rsid w:val="006425CB"/>
    <w:rsid w:val="006448E4"/>
    <w:rsid w:val="0064767E"/>
    <w:rsid w:val="0065066C"/>
    <w:rsid w:val="00653606"/>
    <w:rsid w:val="00661591"/>
    <w:rsid w:val="0066195F"/>
    <w:rsid w:val="0066632F"/>
    <w:rsid w:val="00674A89"/>
    <w:rsid w:val="00681F34"/>
    <w:rsid w:val="00685545"/>
    <w:rsid w:val="006864B3"/>
    <w:rsid w:val="006A10F8"/>
    <w:rsid w:val="006A2100"/>
    <w:rsid w:val="006A7295"/>
    <w:rsid w:val="006B0209"/>
    <w:rsid w:val="006B0BF3"/>
    <w:rsid w:val="006B1D6E"/>
    <w:rsid w:val="006B775E"/>
    <w:rsid w:val="006C2535"/>
    <w:rsid w:val="006C441E"/>
    <w:rsid w:val="006C4B90"/>
    <w:rsid w:val="006C713E"/>
    <w:rsid w:val="006D1016"/>
    <w:rsid w:val="006D17F2"/>
    <w:rsid w:val="006E3546"/>
    <w:rsid w:val="006E3FA9"/>
    <w:rsid w:val="006E4FDB"/>
    <w:rsid w:val="006E7A44"/>
    <w:rsid w:val="006E7D82"/>
    <w:rsid w:val="006F0F93"/>
    <w:rsid w:val="006F31F2"/>
    <w:rsid w:val="00703FD6"/>
    <w:rsid w:val="007075B1"/>
    <w:rsid w:val="007111DD"/>
    <w:rsid w:val="00711DF6"/>
    <w:rsid w:val="00714DC5"/>
    <w:rsid w:val="00715237"/>
    <w:rsid w:val="0072232C"/>
    <w:rsid w:val="00722CA6"/>
    <w:rsid w:val="007254A5"/>
    <w:rsid w:val="00725748"/>
    <w:rsid w:val="00732028"/>
    <w:rsid w:val="00735D88"/>
    <w:rsid w:val="0073720D"/>
    <w:rsid w:val="00737507"/>
    <w:rsid w:val="007402E0"/>
    <w:rsid w:val="00740712"/>
    <w:rsid w:val="00742AB9"/>
    <w:rsid w:val="00743023"/>
    <w:rsid w:val="007454D4"/>
    <w:rsid w:val="00745AC1"/>
    <w:rsid w:val="00746233"/>
    <w:rsid w:val="00754FBF"/>
    <w:rsid w:val="0075648C"/>
    <w:rsid w:val="00761538"/>
    <w:rsid w:val="0077006F"/>
    <w:rsid w:val="007709EF"/>
    <w:rsid w:val="00774448"/>
    <w:rsid w:val="00783559"/>
    <w:rsid w:val="007952D9"/>
    <w:rsid w:val="00797AA5"/>
    <w:rsid w:val="007A4105"/>
    <w:rsid w:val="007A7DA3"/>
    <w:rsid w:val="007B3CE1"/>
    <w:rsid w:val="007B4503"/>
    <w:rsid w:val="007C406E"/>
    <w:rsid w:val="007C5183"/>
    <w:rsid w:val="007D0050"/>
    <w:rsid w:val="007D0A6B"/>
    <w:rsid w:val="007D1311"/>
    <w:rsid w:val="007D21B7"/>
    <w:rsid w:val="007E1ED4"/>
    <w:rsid w:val="007E2B20"/>
    <w:rsid w:val="007F2868"/>
    <w:rsid w:val="007F5331"/>
    <w:rsid w:val="007F7E17"/>
    <w:rsid w:val="00800CCA"/>
    <w:rsid w:val="00802763"/>
    <w:rsid w:val="00806120"/>
    <w:rsid w:val="00812028"/>
    <w:rsid w:val="00813082"/>
    <w:rsid w:val="00813FDA"/>
    <w:rsid w:val="00814D03"/>
    <w:rsid w:val="0081547C"/>
    <w:rsid w:val="00816D33"/>
    <w:rsid w:val="00823AE2"/>
    <w:rsid w:val="0083178B"/>
    <w:rsid w:val="00833246"/>
    <w:rsid w:val="00833695"/>
    <w:rsid w:val="008336B7"/>
    <w:rsid w:val="00833872"/>
    <w:rsid w:val="00833A8E"/>
    <w:rsid w:val="00834CAD"/>
    <w:rsid w:val="008426EA"/>
    <w:rsid w:val="00842CD8"/>
    <w:rsid w:val="008431FA"/>
    <w:rsid w:val="00853234"/>
    <w:rsid w:val="008547BA"/>
    <w:rsid w:val="008553C7"/>
    <w:rsid w:val="00855599"/>
    <w:rsid w:val="00857FEB"/>
    <w:rsid w:val="008601AF"/>
    <w:rsid w:val="00861833"/>
    <w:rsid w:val="00863AA8"/>
    <w:rsid w:val="00866C6B"/>
    <w:rsid w:val="00867556"/>
    <w:rsid w:val="00872271"/>
    <w:rsid w:val="00881F19"/>
    <w:rsid w:val="00882623"/>
    <w:rsid w:val="00890FB6"/>
    <w:rsid w:val="008A28F5"/>
    <w:rsid w:val="008B3929"/>
    <w:rsid w:val="008B4CB3"/>
    <w:rsid w:val="008B7B24"/>
    <w:rsid w:val="008C356D"/>
    <w:rsid w:val="008C46DF"/>
    <w:rsid w:val="008D15A5"/>
    <w:rsid w:val="008D6C99"/>
    <w:rsid w:val="008E3B63"/>
    <w:rsid w:val="008E49AD"/>
    <w:rsid w:val="008F1DE2"/>
    <w:rsid w:val="008F2731"/>
    <w:rsid w:val="008F3246"/>
    <w:rsid w:val="008F3C1B"/>
    <w:rsid w:val="008F41D7"/>
    <w:rsid w:val="008F4A6B"/>
    <w:rsid w:val="008F508C"/>
    <w:rsid w:val="0090271B"/>
    <w:rsid w:val="009032AA"/>
    <w:rsid w:val="00910642"/>
    <w:rsid w:val="00910DDF"/>
    <w:rsid w:val="00916B2E"/>
    <w:rsid w:val="00925121"/>
    <w:rsid w:val="009311C8"/>
    <w:rsid w:val="00933376"/>
    <w:rsid w:val="00933A2F"/>
    <w:rsid w:val="00943D63"/>
    <w:rsid w:val="009517CD"/>
    <w:rsid w:val="009718F9"/>
    <w:rsid w:val="00972FB9"/>
    <w:rsid w:val="00973727"/>
    <w:rsid w:val="00975112"/>
    <w:rsid w:val="009809C0"/>
    <w:rsid w:val="00981768"/>
    <w:rsid w:val="009839D2"/>
    <w:rsid w:val="00983E8F"/>
    <w:rsid w:val="00986B43"/>
    <w:rsid w:val="00994FDA"/>
    <w:rsid w:val="009A2586"/>
    <w:rsid w:val="009A2FD7"/>
    <w:rsid w:val="009A3B71"/>
    <w:rsid w:val="009A61BC"/>
    <w:rsid w:val="009B0138"/>
    <w:rsid w:val="009B0FE9"/>
    <w:rsid w:val="009C3F20"/>
    <w:rsid w:val="009C7CA1"/>
    <w:rsid w:val="009D043D"/>
    <w:rsid w:val="009D58AC"/>
    <w:rsid w:val="009D5D50"/>
    <w:rsid w:val="009F3259"/>
    <w:rsid w:val="00A0295A"/>
    <w:rsid w:val="00A128AD"/>
    <w:rsid w:val="00A12A4D"/>
    <w:rsid w:val="00A149E2"/>
    <w:rsid w:val="00A15D93"/>
    <w:rsid w:val="00A165F6"/>
    <w:rsid w:val="00A21E76"/>
    <w:rsid w:val="00A22FA9"/>
    <w:rsid w:val="00A23BC8"/>
    <w:rsid w:val="00A2457A"/>
    <w:rsid w:val="00A24F15"/>
    <w:rsid w:val="00A27CE4"/>
    <w:rsid w:val="00A30E68"/>
    <w:rsid w:val="00A31933"/>
    <w:rsid w:val="00A34AA0"/>
    <w:rsid w:val="00A34B31"/>
    <w:rsid w:val="00A41FE2"/>
    <w:rsid w:val="00A47948"/>
    <w:rsid w:val="00A50824"/>
    <w:rsid w:val="00A547F6"/>
    <w:rsid w:val="00A56946"/>
    <w:rsid w:val="00A63B8C"/>
    <w:rsid w:val="00A76080"/>
    <w:rsid w:val="00A77F6F"/>
    <w:rsid w:val="00A831FD"/>
    <w:rsid w:val="00A9016E"/>
    <w:rsid w:val="00A919EE"/>
    <w:rsid w:val="00A91FA3"/>
    <w:rsid w:val="00AA7FC9"/>
    <w:rsid w:val="00AB237D"/>
    <w:rsid w:val="00AB34C4"/>
    <w:rsid w:val="00AB5933"/>
    <w:rsid w:val="00AE013D"/>
    <w:rsid w:val="00AE0D4B"/>
    <w:rsid w:val="00AE11B7"/>
    <w:rsid w:val="00AE2171"/>
    <w:rsid w:val="00AF070B"/>
    <w:rsid w:val="00AF13DA"/>
    <w:rsid w:val="00AF52F6"/>
    <w:rsid w:val="00AF7237"/>
    <w:rsid w:val="00AF78B4"/>
    <w:rsid w:val="00B0043A"/>
    <w:rsid w:val="00B00D75"/>
    <w:rsid w:val="00B03C09"/>
    <w:rsid w:val="00B05FCD"/>
    <w:rsid w:val="00B070CB"/>
    <w:rsid w:val="00B1021F"/>
    <w:rsid w:val="00B259C8"/>
    <w:rsid w:val="00B25E64"/>
    <w:rsid w:val="00B26CCF"/>
    <w:rsid w:val="00B349FA"/>
    <w:rsid w:val="00B34C10"/>
    <w:rsid w:val="00B421C6"/>
    <w:rsid w:val="00B425F0"/>
    <w:rsid w:val="00B42DFA"/>
    <w:rsid w:val="00B44934"/>
    <w:rsid w:val="00B531DD"/>
    <w:rsid w:val="00B55014"/>
    <w:rsid w:val="00B62232"/>
    <w:rsid w:val="00B71DC2"/>
    <w:rsid w:val="00B8065E"/>
    <w:rsid w:val="00B832B9"/>
    <w:rsid w:val="00B93893"/>
    <w:rsid w:val="00B95BDB"/>
    <w:rsid w:val="00BA5903"/>
    <w:rsid w:val="00BC164E"/>
    <w:rsid w:val="00BC3B53"/>
    <w:rsid w:val="00BC3B96"/>
    <w:rsid w:val="00BC4AE3"/>
    <w:rsid w:val="00BE3F88"/>
    <w:rsid w:val="00BE4756"/>
    <w:rsid w:val="00BE5ED9"/>
    <w:rsid w:val="00BE77D3"/>
    <w:rsid w:val="00BE7B41"/>
    <w:rsid w:val="00C06B73"/>
    <w:rsid w:val="00C07AAE"/>
    <w:rsid w:val="00C1212C"/>
    <w:rsid w:val="00C206F1"/>
    <w:rsid w:val="00C20B57"/>
    <w:rsid w:val="00C217E1"/>
    <w:rsid w:val="00C40C60"/>
    <w:rsid w:val="00C47047"/>
    <w:rsid w:val="00C50B53"/>
    <w:rsid w:val="00C5258E"/>
    <w:rsid w:val="00C60224"/>
    <w:rsid w:val="00C72038"/>
    <w:rsid w:val="00C97C80"/>
    <w:rsid w:val="00CA47D3"/>
    <w:rsid w:val="00CA6A3F"/>
    <w:rsid w:val="00CA7C99"/>
    <w:rsid w:val="00CB7ABA"/>
    <w:rsid w:val="00CC789F"/>
    <w:rsid w:val="00CD362D"/>
    <w:rsid w:val="00CD6935"/>
    <w:rsid w:val="00CE1C84"/>
    <w:rsid w:val="00CF053F"/>
    <w:rsid w:val="00CF2777"/>
    <w:rsid w:val="00D0609E"/>
    <w:rsid w:val="00D078E1"/>
    <w:rsid w:val="00D100E9"/>
    <w:rsid w:val="00D11C1E"/>
    <w:rsid w:val="00D13AF1"/>
    <w:rsid w:val="00D166D6"/>
    <w:rsid w:val="00D21E4B"/>
    <w:rsid w:val="00D23522"/>
    <w:rsid w:val="00D264D6"/>
    <w:rsid w:val="00D27A8B"/>
    <w:rsid w:val="00D33BF0"/>
    <w:rsid w:val="00D516BE"/>
    <w:rsid w:val="00D5423B"/>
    <w:rsid w:val="00D54F4E"/>
    <w:rsid w:val="00D56B22"/>
    <w:rsid w:val="00D60BA4"/>
    <w:rsid w:val="00D62419"/>
    <w:rsid w:val="00D6443D"/>
    <w:rsid w:val="00D65A9F"/>
    <w:rsid w:val="00D77870"/>
    <w:rsid w:val="00D80CCE"/>
    <w:rsid w:val="00D87D03"/>
    <w:rsid w:val="00D95C88"/>
    <w:rsid w:val="00D96747"/>
    <w:rsid w:val="00D97B2E"/>
    <w:rsid w:val="00DB06C5"/>
    <w:rsid w:val="00DB36FE"/>
    <w:rsid w:val="00DB5138"/>
    <w:rsid w:val="00DB533A"/>
    <w:rsid w:val="00DB7811"/>
    <w:rsid w:val="00DD66F2"/>
    <w:rsid w:val="00DE3FE0"/>
    <w:rsid w:val="00DE578A"/>
    <w:rsid w:val="00DF2583"/>
    <w:rsid w:val="00DF33EA"/>
    <w:rsid w:val="00DF5450"/>
    <w:rsid w:val="00DF54D9"/>
    <w:rsid w:val="00E01A59"/>
    <w:rsid w:val="00E0640A"/>
    <w:rsid w:val="00E10DC6"/>
    <w:rsid w:val="00E11F8E"/>
    <w:rsid w:val="00E21DE3"/>
    <w:rsid w:val="00E22F2D"/>
    <w:rsid w:val="00E350B1"/>
    <w:rsid w:val="00E3731D"/>
    <w:rsid w:val="00E50E7A"/>
    <w:rsid w:val="00E51469"/>
    <w:rsid w:val="00E634E3"/>
    <w:rsid w:val="00E650EA"/>
    <w:rsid w:val="00E7650D"/>
    <w:rsid w:val="00E77F89"/>
    <w:rsid w:val="00E77FBA"/>
    <w:rsid w:val="00E80E71"/>
    <w:rsid w:val="00E850D3"/>
    <w:rsid w:val="00E876B9"/>
    <w:rsid w:val="00EB458F"/>
    <w:rsid w:val="00EC0DFF"/>
    <w:rsid w:val="00EC219F"/>
    <w:rsid w:val="00EC237D"/>
    <w:rsid w:val="00EC4AA5"/>
    <w:rsid w:val="00EC4D0E"/>
    <w:rsid w:val="00ED072A"/>
    <w:rsid w:val="00EE4A1F"/>
    <w:rsid w:val="00EE4C2D"/>
    <w:rsid w:val="00EE61E4"/>
    <w:rsid w:val="00EF1B5A"/>
    <w:rsid w:val="00EF24FB"/>
    <w:rsid w:val="00EF2CCA"/>
    <w:rsid w:val="00F0379C"/>
    <w:rsid w:val="00F03963"/>
    <w:rsid w:val="00F11068"/>
    <w:rsid w:val="00F1256D"/>
    <w:rsid w:val="00F13A4E"/>
    <w:rsid w:val="00F15714"/>
    <w:rsid w:val="00F172BB"/>
    <w:rsid w:val="00F17B10"/>
    <w:rsid w:val="00F21BEF"/>
    <w:rsid w:val="00F3105E"/>
    <w:rsid w:val="00F35E47"/>
    <w:rsid w:val="00F432DA"/>
    <w:rsid w:val="00F4370A"/>
    <w:rsid w:val="00F44D1B"/>
    <w:rsid w:val="00F45A25"/>
    <w:rsid w:val="00F50F86"/>
    <w:rsid w:val="00F52AB0"/>
    <w:rsid w:val="00F53F91"/>
    <w:rsid w:val="00F542F3"/>
    <w:rsid w:val="00F61610"/>
    <w:rsid w:val="00F61A72"/>
    <w:rsid w:val="00F62B67"/>
    <w:rsid w:val="00F66F13"/>
    <w:rsid w:val="00F74073"/>
    <w:rsid w:val="00F75603"/>
    <w:rsid w:val="00F75C21"/>
    <w:rsid w:val="00F845B4"/>
    <w:rsid w:val="00F86AA4"/>
    <w:rsid w:val="00F8713B"/>
    <w:rsid w:val="00F93F9E"/>
    <w:rsid w:val="00F9751C"/>
    <w:rsid w:val="00FA2CD7"/>
    <w:rsid w:val="00FB06ED"/>
    <w:rsid w:val="00FB44E8"/>
    <w:rsid w:val="00FC3165"/>
    <w:rsid w:val="00FC36AB"/>
    <w:rsid w:val="00FC7913"/>
    <w:rsid w:val="00FC7F66"/>
    <w:rsid w:val="00FD315B"/>
    <w:rsid w:val="00FE1CB6"/>
    <w:rsid w:val="00FE486B"/>
    <w:rsid w:val="00FE4F08"/>
    <w:rsid w:val="00FF2ECD"/>
    <w:rsid w:val="00FF5E4B"/>
    <w:rsid w:val="49F9560A"/>
    <w:rsid w:val="5877C489"/>
    <w:rsid w:val="78032366"/>
    <w:rsid w:val="7872E312"/>
    <w:rsid w:val="79055F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6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numbering" w:customStyle="1" w:styleId="Nummeringagenda">
    <w:name w:val="Nummering agenda"/>
    <w:basedOn w:val="Geenlijst"/>
    <w:rsid w:val="008426EA"/>
    <w:pPr>
      <w:numPr>
        <w:numId w:val="3"/>
      </w:numPr>
    </w:pPr>
  </w:style>
  <w:style w:type="character" w:styleId="Tekstvantijdelijkeaanduiding">
    <w:name w:val="Placeholder Text"/>
    <w:basedOn w:val="Standaardalinea-lettertype"/>
    <w:uiPriority w:val="99"/>
    <w:semiHidden/>
    <w:rsid w:val="007A7DA3"/>
    <w:rPr>
      <w:color w:val="808080"/>
    </w:rPr>
  </w:style>
  <w:style w:type="paragraph" w:styleId="Ballontekst">
    <w:name w:val="Balloon Text"/>
    <w:basedOn w:val="Standaard"/>
    <w:link w:val="BallontekstChar"/>
    <w:rsid w:val="007F7E17"/>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7F7E17"/>
    <w:rPr>
      <w:rFonts w:ascii="Segoe UI" w:hAnsi="Segoe UI" w:cs="Segoe UI"/>
      <w:sz w:val="18"/>
      <w:szCs w:val="18"/>
      <w:lang w:val="nl-NL" w:eastAsia="nl-NL"/>
    </w:rPr>
  </w:style>
  <w:style w:type="character" w:customStyle="1" w:styleId="HeaderChar">
    <w:name w:val="Header Char"/>
    <w:basedOn w:val="Standaardalinea-lettertype"/>
    <w:rsid w:val="00841CD9"/>
    <w:rPr>
      <w:rFonts w:ascii="Verdana" w:eastAsia="Times New Roman" w:hAnsi="Verdana" w:cs="Times New Roman"/>
      <w:sz w:val="18"/>
      <w:szCs w:val="24"/>
      <w:lang w:val="nl-NL" w:eastAsia="nl-NL"/>
    </w:rPr>
  </w:style>
  <w:style w:type="character" w:customStyle="1" w:styleId="Heading1Char">
    <w:name w:val="Heading 1 Char"/>
    <w:basedOn w:val="Standaardalinea-lettertype"/>
    <w:rsid w:val="00841CD9"/>
    <w:rPr>
      <w:rFonts w:ascii="Verdana" w:eastAsia="Times New Roman" w:hAnsi="Verdana" w:cs="Arial"/>
      <w:b/>
      <w:bCs/>
      <w:kern w:val="32"/>
      <w:sz w:val="32"/>
      <w:szCs w:val="32"/>
      <w:lang w:val="nl-NL" w:eastAsia="nl-NL"/>
    </w:rPr>
  </w:style>
  <w:style w:type="character" w:customStyle="1" w:styleId="Heading2Char">
    <w:name w:val="Heading 2 Char"/>
    <w:basedOn w:val="Standaardalinea-lettertype"/>
    <w:rsid w:val="00841CD9"/>
    <w:rPr>
      <w:rFonts w:ascii="Verdana" w:eastAsia="Times New Roman" w:hAnsi="Verdana" w:cs="Arial"/>
      <w:b/>
      <w:bCs/>
      <w:i/>
      <w:iCs/>
      <w:sz w:val="28"/>
      <w:szCs w:val="28"/>
      <w:lang w:val="nl-NL" w:eastAsia="nl-NL"/>
    </w:rPr>
  </w:style>
  <w:style w:type="character" w:customStyle="1" w:styleId="Heading3Char">
    <w:name w:val="Heading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FooterChar">
    <w:name w:val="Footer Char"/>
    <w:basedOn w:val="Standaardalinea-lettertype"/>
    <w:rsid w:val="00DE555F"/>
    <w:rPr>
      <w:rFonts w:ascii="Verdana" w:eastAsia="Times New Roman" w:hAnsi="Verdana" w:cs="Times New Roman"/>
      <w:sz w:val="18"/>
      <w:szCs w:val="24"/>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E350B1"/>
    <w:pPr>
      <w:ind w:left="720"/>
      <w:contextualSpacing/>
    </w:pPr>
  </w:style>
  <w:style w:type="paragraph" w:styleId="Voetnoottekst">
    <w:name w:val="footnote text"/>
    <w:basedOn w:val="Standaard"/>
    <w:link w:val="VoetnoottekstChar"/>
    <w:semiHidden/>
    <w:unhideWhenUsed/>
    <w:rsid w:val="00E350B1"/>
    <w:pPr>
      <w:spacing w:line="240" w:lineRule="auto"/>
    </w:pPr>
    <w:rPr>
      <w:sz w:val="20"/>
      <w:szCs w:val="20"/>
    </w:rPr>
  </w:style>
  <w:style w:type="character" w:customStyle="1" w:styleId="VoetnoottekstChar">
    <w:name w:val="Voetnoottekst Char"/>
    <w:basedOn w:val="Standaardalinea-lettertype"/>
    <w:link w:val="Voetnoottekst"/>
    <w:semiHidden/>
    <w:rsid w:val="00E350B1"/>
    <w:rPr>
      <w:rFonts w:ascii="Verdana" w:hAnsi="Verdana"/>
      <w:lang w:val="nl-NL" w:eastAsia="nl-NL"/>
    </w:rPr>
  </w:style>
  <w:style w:type="character" w:styleId="Voetnootmarkering">
    <w:name w:val="footnote reference"/>
    <w:basedOn w:val="Standaardalinea-lettertype"/>
    <w:semiHidden/>
    <w:unhideWhenUsed/>
    <w:rsid w:val="00E350B1"/>
    <w:rPr>
      <w:vertAlign w:val="superscript"/>
    </w:rPr>
  </w:style>
  <w:style w:type="paragraph" w:styleId="Geenafstand">
    <w:name w:val="No Spacing"/>
    <w:uiPriority w:val="1"/>
    <w:qFormat/>
    <w:rsid w:val="00E350B1"/>
    <w:rPr>
      <w:rFonts w:ascii="Verdana" w:hAnsi="Verdana"/>
      <w:sz w:val="18"/>
      <w:szCs w:val="24"/>
      <w:lang w:val="nl-NL" w:eastAsia="nl-NL"/>
    </w:rPr>
  </w:style>
  <w:style w:type="character" w:styleId="Verwijzingopmerking">
    <w:name w:val="annotation reference"/>
    <w:basedOn w:val="Standaardalinea-lettertype"/>
    <w:semiHidden/>
    <w:unhideWhenUsed/>
    <w:rsid w:val="005F5B49"/>
    <w:rPr>
      <w:sz w:val="16"/>
      <w:szCs w:val="16"/>
    </w:rPr>
  </w:style>
  <w:style w:type="paragraph" w:styleId="Tekstopmerking">
    <w:name w:val="annotation text"/>
    <w:basedOn w:val="Standaard"/>
    <w:link w:val="TekstopmerkingChar"/>
    <w:unhideWhenUsed/>
    <w:rsid w:val="005F5B49"/>
    <w:pPr>
      <w:spacing w:line="240" w:lineRule="auto"/>
    </w:pPr>
    <w:rPr>
      <w:sz w:val="20"/>
      <w:szCs w:val="20"/>
    </w:rPr>
  </w:style>
  <w:style w:type="character" w:customStyle="1" w:styleId="TekstopmerkingChar">
    <w:name w:val="Tekst opmerking Char"/>
    <w:basedOn w:val="Standaardalinea-lettertype"/>
    <w:link w:val="Tekstopmerking"/>
    <w:rsid w:val="005F5B49"/>
    <w:rPr>
      <w:rFonts w:ascii="Verdana" w:hAnsi="Verdana"/>
      <w:lang w:val="nl-NL" w:eastAsia="nl-NL"/>
    </w:rPr>
  </w:style>
  <w:style w:type="table" w:styleId="Tabelrasterlicht">
    <w:name w:val="Grid Table Light"/>
    <w:basedOn w:val="Standaardtabel"/>
    <w:uiPriority w:val="40"/>
    <w:rsid w:val="005F5B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melding">
    <w:name w:val="Mention"/>
    <w:basedOn w:val="Standaardalinea-lettertype"/>
    <w:uiPriority w:val="99"/>
    <w:unhideWhenUsed/>
    <w:rsid w:val="005F5B49"/>
    <w:rPr>
      <w:color w:val="2B579A"/>
      <w:shd w:val="clear" w:color="auto" w:fill="E1DFDD"/>
    </w:rPr>
  </w:style>
  <w:style w:type="paragraph" w:styleId="Onderwerpvanopmerking">
    <w:name w:val="annotation subject"/>
    <w:basedOn w:val="Tekstopmerking"/>
    <w:next w:val="Tekstopmerking"/>
    <w:link w:val="OnderwerpvanopmerkingChar"/>
    <w:semiHidden/>
    <w:unhideWhenUsed/>
    <w:rsid w:val="00986B43"/>
    <w:rPr>
      <w:b/>
      <w:bCs/>
    </w:rPr>
  </w:style>
  <w:style w:type="character" w:customStyle="1" w:styleId="OnderwerpvanopmerkingChar">
    <w:name w:val="Onderwerp van opmerking Char"/>
    <w:basedOn w:val="TekstopmerkingChar"/>
    <w:link w:val="Onderwerpvanopmerking"/>
    <w:semiHidden/>
    <w:rsid w:val="00986B4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1927</ap:Words>
  <ap:Characters>10601</ap:Characters>
  <ap:DocSecurity>0</ap:DocSecurity>
  <ap:Lines>88</ap:Lines>
  <ap:Paragraphs>25</ap:Paragraphs>
  <ap:ScaleCrop>false</ap:ScaleCrop>
  <ap:LinksUpToDate>false</ap:LinksUpToDate>
  <ap:CharactersWithSpaces>12503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2025-06-02T14:23:00.0000000Z</dcterms:created>
  <dcterms:modified xsi:type="dcterms:W3CDTF">2025-06-02T14:23:00.0000000Z</dcterms:modified>
  <dc:description>------------------------</dc:description>
  <version/>
  <category/>
</coreProperties>
</file>