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2A0E" w:rsidP="0016016B" w:rsidRDefault="00822A0E" w14:paraId="6CA07206" w14:textId="496468E3">
      <w:pPr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>Stuk 15A</w:t>
      </w:r>
    </w:p>
    <w:p w:rsidRPr="00D047C6" w:rsidR="0016016B" w:rsidP="0016016B" w:rsidRDefault="00E21932" w14:paraId="1C0DE7B4" w14:textId="1C907335">
      <w:pPr>
        <w:rPr>
          <w:b/>
          <w:bCs/>
          <w:sz w:val="20"/>
          <w:szCs w:val="28"/>
        </w:rPr>
      </w:pPr>
      <w:r w:rsidRPr="00D047C6">
        <w:rPr>
          <w:b/>
          <w:bCs/>
          <w:sz w:val="20"/>
          <w:szCs w:val="28"/>
        </w:rPr>
        <w:t xml:space="preserve">Bijlage 1: </w:t>
      </w:r>
      <w:r w:rsidRPr="00D047C6" w:rsidR="0016016B">
        <w:rPr>
          <w:b/>
          <w:bCs/>
          <w:sz w:val="20"/>
          <w:szCs w:val="28"/>
        </w:rPr>
        <w:t>Toelichting C</w:t>
      </w:r>
      <w:r w:rsidRPr="00D047C6" w:rsidR="007A5013">
        <w:rPr>
          <w:b/>
          <w:bCs/>
          <w:sz w:val="20"/>
          <w:szCs w:val="28"/>
        </w:rPr>
        <w:t>O</w:t>
      </w:r>
      <w:r w:rsidRPr="00D047C6" w:rsidR="0016016B">
        <w:rPr>
          <w:b/>
          <w:bCs/>
          <w:sz w:val="20"/>
          <w:szCs w:val="28"/>
        </w:rPr>
        <w:t>2-heffing</w:t>
      </w:r>
      <w:r w:rsidRPr="00D047C6" w:rsidR="007F0878">
        <w:rPr>
          <w:b/>
          <w:bCs/>
          <w:sz w:val="20"/>
          <w:szCs w:val="28"/>
        </w:rPr>
        <w:t xml:space="preserve"> – fiches voor BWO</w:t>
      </w:r>
      <w:r w:rsidR="00D047C6">
        <w:rPr>
          <w:b/>
          <w:bCs/>
          <w:sz w:val="20"/>
          <w:szCs w:val="28"/>
        </w:rPr>
        <w:t xml:space="preserve"> Industrie</w:t>
      </w:r>
      <w:r w:rsidRPr="00D047C6" w:rsidR="007F0878">
        <w:rPr>
          <w:b/>
          <w:bCs/>
          <w:sz w:val="20"/>
          <w:szCs w:val="28"/>
        </w:rPr>
        <w:t xml:space="preserve"> 6 feb</w:t>
      </w:r>
    </w:p>
    <w:p w:rsidRPr="003F3C4D" w:rsidR="00AF6B0F" w:rsidP="0CC08879" w:rsidRDefault="00AF6B0F" w14:paraId="3D710AE2" w14:textId="442ACEA9">
      <w:pPr>
        <w:rPr>
          <w:b/>
          <w:bCs/>
        </w:rPr>
      </w:pPr>
      <w:r w:rsidRPr="003F3C4D">
        <w:t xml:space="preserve">(Gezamenlijk opgesteld </w:t>
      </w:r>
      <w:r w:rsidRPr="003F3C4D" w:rsidR="007F0878">
        <w:t>–</w:t>
      </w:r>
      <w:r w:rsidRPr="003F3C4D">
        <w:t xml:space="preserve"> </w:t>
      </w:r>
      <w:r w:rsidRPr="003F3C4D" w:rsidR="007F0878">
        <w:t xml:space="preserve">FIN, </w:t>
      </w:r>
      <w:r w:rsidRPr="003F3C4D">
        <w:t xml:space="preserve">KGG/industrie en </w:t>
      </w:r>
      <w:r w:rsidRPr="003F3C4D" w:rsidR="007F0878">
        <w:t>KGG/Klimaat</w:t>
      </w:r>
      <w:r w:rsidRPr="003F3C4D">
        <w:t>)</w:t>
      </w:r>
    </w:p>
    <w:p w:rsidR="00E21932" w:rsidP="0016016B" w:rsidRDefault="00E21932" w14:paraId="06274B7A" w14:textId="77777777">
      <w:pPr>
        <w:rPr>
          <w:b/>
          <w:bCs/>
        </w:rPr>
      </w:pPr>
    </w:p>
    <w:p w:rsidRPr="00B95EAF" w:rsidR="00E21932" w:rsidP="004E3056" w:rsidRDefault="00E21932" w14:paraId="4F6629EE" w14:textId="1B523A34">
      <w:pPr>
        <w:rPr>
          <w:b/>
          <w:bCs/>
          <w:szCs w:val="18"/>
        </w:rPr>
      </w:pPr>
      <w:r w:rsidRPr="00B95EAF">
        <w:rPr>
          <w:b/>
          <w:bCs/>
          <w:szCs w:val="18"/>
        </w:rPr>
        <w:t>Aanleiding:</w:t>
      </w:r>
    </w:p>
    <w:p w:rsidRPr="00B95EAF" w:rsidR="00AF6B0F" w:rsidP="00AF6B0F" w:rsidRDefault="00AF6B0F" w14:paraId="52574D96" w14:textId="394703E9">
      <w:pPr>
        <w:pStyle w:val="Lijstalinea"/>
        <w:numPr>
          <w:ilvl w:val="0"/>
          <w:numId w:val="1"/>
        </w:numPr>
        <w:spacing w:after="160" w:line="259" w:lineRule="auto"/>
        <w:rPr>
          <w:szCs w:val="18"/>
        </w:rPr>
      </w:pPr>
      <w:bookmarkStart w:name="_Hlk189035616" w:id="0"/>
      <w:r w:rsidRPr="00B95EAF">
        <w:rPr>
          <w:szCs w:val="18"/>
        </w:rPr>
        <w:t xml:space="preserve">Afgelopen najaar (nov ’24) is in het BWO industrie afgesproken om breed opties voor de CO2-heffing industrie uit te werken, zodat het kabinet in het voorjaar een politieke keuze kan maken. </w:t>
      </w:r>
    </w:p>
    <w:bookmarkEnd w:id="0"/>
    <w:p w:rsidRPr="00B95EAF" w:rsidR="00AF6B0F" w:rsidP="00AF6B0F" w:rsidRDefault="00AF6B0F" w14:paraId="34E531DF" w14:textId="6167317D">
      <w:pPr>
        <w:pStyle w:val="Lijstalinea"/>
        <w:numPr>
          <w:ilvl w:val="0"/>
          <w:numId w:val="1"/>
        </w:numPr>
        <w:spacing w:after="160" w:line="259" w:lineRule="auto"/>
        <w:rPr>
          <w:szCs w:val="18"/>
        </w:rPr>
      </w:pPr>
      <w:r w:rsidRPr="00B95EAF">
        <w:rPr>
          <w:szCs w:val="18"/>
        </w:rPr>
        <w:t xml:space="preserve">Een drietal </w:t>
      </w:r>
      <w:r w:rsidRPr="00B95EAF" w:rsidR="00E77198">
        <w:rPr>
          <w:szCs w:val="18"/>
        </w:rPr>
        <w:t>varianten zijn uitgewerkt</w:t>
      </w:r>
      <w:r w:rsidRPr="00B95EAF">
        <w:rPr>
          <w:szCs w:val="18"/>
        </w:rPr>
        <w:t>: 1.</w:t>
      </w:r>
      <w:r w:rsidRPr="00B95EAF" w:rsidR="00DC6A18">
        <w:rPr>
          <w:szCs w:val="18"/>
        </w:rPr>
        <w:t xml:space="preserve"> </w:t>
      </w:r>
      <w:r w:rsidRPr="00B95EAF">
        <w:rPr>
          <w:szCs w:val="18"/>
        </w:rPr>
        <w:t>Aanscherping van de heffing tot 2030, 2.</w:t>
      </w:r>
      <w:r w:rsidRPr="00B95EAF" w:rsidR="008273D2">
        <w:rPr>
          <w:szCs w:val="18"/>
        </w:rPr>
        <w:t xml:space="preserve"> </w:t>
      </w:r>
      <w:r w:rsidRPr="00B95EAF">
        <w:rPr>
          <w:szCs w:val="18"/>
        </w:rPr>
        <w:t xml:space="preserve">Aanscherping van de heffing in 2030-2035, 3. Afschaffing van de heffing na 2033/2035. </w:t>
      </w:r>
    </w:p>
    <w:p w:rsidRPr="00B95EAF" w:rsidR="00D77BB9" w:rsidP="00D77BB9" w:rsidRDefault="0016016B" w14:paraId="40EC8BB7" w14:textId="2A8E6C80">
      <w:pPr>
        <w:pStyle w:val="Lijstalinea"/>
        <w:numPr>
          <w:ilvl w:val="0"/>
          <w:numId w:val="1"/>
        </w:numPr>
        <w:spacing w:after="160" w:line="259" w:lineRule="auto"/>
        <w:rPr>
          <w:szCs w:val="18"/>
        </w:rPr>
      </w:pPr>
      <w:r w:rsidRPr="00B95EAF">
        <w:rPr>
          <w:szCs w:val="18"/>
        </w:rPr>
        <w:t>De CO2-heffing is een belangrijk instrument om bedrijven te prikkelen om te verduurzamen en voor het behalen van de klimaatdoelen voor de sector Industrie.</w:t>
      </w:r>
      <w:r w:rsidRPr="00B95EAF" w:rsidR="00D77BB9">
        <w:rPr>
          <w:szCs w:val="18"/>
        </w:rPr>
        <w:t xml:space="preserve"> Het is een marginale heffing bovenop de ETS1</w:t>
      </w:r>
      <w:r w:rsidRPr="00B95EAF" w:rsidR="00E21932">
        <w:rPr>
          <w:szCs w:val="18"/>
        </w:rPr>
        <w:t xml:space="preserve"> (een bedrijf betaalt alleen het verschil). </w:t>
      </w:r>
    </w:p>
    <w:p w:rsidRPr="00B95EAF" w:rsidR="00D77BB9" w:rsidP="0016016B" w:rsidRDefault="007A5013" w14:paraId="667ED5A0" w14:textId="3803E679">
      <w:pPr>
        <w:pStyle w:val="Lijstalinea"/>
        <w:numPr>
          <w:ilvl w:val="0"/>
          <w:numId w:val="1"/>
        </w:numPr>
        <w:spacing w:after="160" w:line="259" w:lineRule="auto"/>
        <w:rPr>
          <w:szCs w:val="18"/>
        </w:rPr>
      </w:pPr>
      <w:r w:rsidRPr="00B95EAF">
        <w:rPr>
          <w:szCs w:val="18"/>
        </w:rPr>
        <w:t xml:space="preserve">Het huidige tarief van de CO2-heffing loopt op tot 152 EUR in 2030. Hierna blijft deze gelijk. De vrijgestelde emissies nemen jaarlijks af, in 2039 betalen bedrijven over hun volledige uitstoot.  </w:t>
      </w:r>
    </w:p>
    <w:p w:rsidR="00E21932" w:rsidP="0016016B" w:rsidRDefault="00E21932" w14:paraId="202A3ED0" w14:textId="44F3E229">
      <w:pPr>
        <w:pStyle w:val="Lijstalinea"/>
        <w:numPr>
          <w:ilvl w:val="0"/>
          <w:numId w:val="1"/>
        </w:numPr>
        <w:spacing w:after="160" w:line="259" w:lineRule="auto"/>
        <w:rPr>
          <w:szCs w:val="18"/>
        </w:rPr>
      </w:pPr>
      <w:r w:rsidRPr="00B95EAF">
        <w:rPr>
          <w:szCs w:val="18"/>
        </w:rPr>
        <w:t xml:space="preserve">Uit de tariefstudie van PBL blijkt dat het huidig heffingstarief te laag is </w:t>
      </w:r>
      <w:r w:rsidRPr="00B95EAF" w:rsidR="002B03E0">
        <w:rPr>
          <w:szCs w:val="18"/>
        </w:rPr>
        <w:t xml:space="preserve">voor volledig doelbereik. Vorig voorjaar is daarom besloten om het tarief te verhogen. Deze </w:t>
      </w:r>
      <w:r w:rsidRPr="00B95EAF" w:rsidR="006E3296">
        <w:rPr>
          <w:szCs w:val="18"/>
        </w:rPr>
        <w:t xml:space="preserve">aangekondigde </w:t>
      </w:r>
      <w:r w:rsidRPr="00B95EAF" w:rsidR="002B03E0">
        <w:rPr>
          <w:szCs w:val="18"/>
        </w:rPr>
        <w:t>verhoging is in het Hoofdlijnenakkoord teruggedraaid</w:t>
      </w:r>
      <w:r w:rsidRPr="00B95EAF" w:rsidR="006E3296">
        <w:rPr>
          <w:szCs w:val="18"/>
        </w:rPr>
        <w:t xml:space="preserve"> en niet geïmplementeerd</w:t>
      </w:r>
      <w:r w:rsidRPr="00B95EAF" w:rsidR="002B03E0">
        <w:rPr>
          <w:szCs w:val="18"/>
        </w:rPr>
        <w:t xml:space="preserve">. </w:t>
      </w:r>
      <w:r w:rsidRPr="00B95EAF">
        <w:rPr>
          <w:szCs w:val="18"/>
        </w:rPr>
        <w:t xml:space="preserve"> </w:t>
      </w:r>
    </w:p>
    <w:p w:rsidRPr="00B95EAF" w:rsidR="00F05F26" w:rsidP="0016016B" w:rsidRDefault="00F05F26" w14:paraId="7A275F11" w14:textId="284CA658">
      <w:pPr>
        <w:pStyle w:val="Lijstalinea"/>
        <w:numPr>
          <w:ilvl w:val="0"/>
          <w:numId w:val="1"/>
        </w:numPr>
        <w:spacing w:after="160" w:line="259" w:lineRule="auto"/>
        <w:rPr>
          <w:szCs w:val="18"/>
        </w:rPr>
      </w:pPr>
      <w:r>
        <w:rPr>
          <w:szCs w:val="18"/>
        </w:rPr>
        <w:t xml:space="preserve">In deze fiches is een ambtelijke inschatting gemaakt van de verwachtte CO2-effecten op basis van de modelberekening van het PBL in de tariefstudie. </w:t>
      </w:r>
    </w:p>
    <w:p w:rsidRPr="00B95EAF" w:rsidR="006E3296" w:rsidP="002B03E0" w:rsidRDefault="0016016B" w14:paraId="0694A6DB" w14:textId="00904EED">
      <w:pPr>
        <w:pStyle w:val="Lijstalinea"/>
        <w:numPr>
          <w:ilvl w:val="0"/>
          <w:numId w:val="1"/>
        </w:numPr>
        <w:spacing w:after="160" w:line="259" w:lineRule="auto"/>
        <w:rPr>
          <w:szCs w:val="18"/>
        </w:rPr>
      </w:pPr>
      <w:r w:rsidRPr="00B95EAF">
        <w:rPr>
          <w:szCs w:val="18"/>
        </w:rPr>
        <w:t xml:space="preserve">De ophoging van de CO2 heffing </w:t>
      </w:r>
      <w:r w:rsidRPr="00B95EAF" w:rsidR="00E21932">
        <w:rPr>
          <w:szCs w:val="18"/>
        </w:rPr>
        <w:t xml:space="preserve">is </w:t>
      </w:r>
      <w:r w:rsidRPr="00B95EAF">
        <w:rPr>
          <w:szCs w:val="18"/>
        </w:rPr>
        <w:t>een voorwaarde voor Klimaatfondsmiddelen</w:t>
      </w:r>
      <w:r w:rsidRPr="00B95EAF" w:rsidR="002B03E0">
        <w:rPr>
          <w:szCs w:val="18"/>
        </w:rPr>
        <w:t xml:space="preserve"> voor de DEI+ en </w:t>
      </w:r>
      <w:r w:rsidR="00806B7E">
        <w:rPr>
          <w:szCs w:val="18"/>
        </w:rPr>
        <w:t>ophoging</w:t>
      </w:r>
      <w:r w:rsidRPr="00B95EAF" w:rsidR="00806B7E">
        <w:rPr>
          <w:szCs w:val="18"/>
        </w:rPr>
        <w:t xml:space="preserve"> </w:t>
      </w:r>
      <w:r w:rsidRPr="00B95EAF" w:rsidR="002B03E0">
        <w:rPr>
          <w:szCs w:val="18"/>
        </w:rPr>
        <w:t>maatwerk.</w:t>
      </w:r>
    </w:p>
    <w:p w:rsidRPr="00B95EAF" w:rsidR="002B03E0" w:rsidP="002B03E0" w:rsidRDefault="002B03E0" w14:paraId="1FB43DE9" w14:textId="1AD417E5">
      <w:pPr>
        <w:pStyle w:val="Lijstalinea"/>
        <w:numPr>
          <w:ilvl w:val="0"/>
          <w:numId w:val="1"/>
        </w:numPr>
        <w:spacing w:after="160" w:line="259" w:lineRule="auto"/>
        <w:rPr>
          <w:szCs w:val="18"/>
        </w:rPr>
      </w:pPr>
      <w:r w:rsidRPr="00B95EAF">
        <w:rPr>
          <w:szCs w:val="18"/>
        </w:rPr>
        <w:t>Motie Erkens (oktober 2023) vraagt om een hardheidsclausule binnen de CO2-heffing</w:t>
      </w:r>
      <w:r w:rsidRPr="00B95EAF" w:rsidR="004E3056">
        <w:rPr>
          <w:rStyle w:val="Voetnootmarkering"/>
          <w:szCs w:val="18"/>
        </w:rPr>
        <w:footnoteReference w:id="1"/>
      </w:r>
      <w:r w:rsidRPr="00B95EAF">
        <w:rPr>
          <w:szCs w:val="18"/>
        </w:rPr>
        <w:t xml:space="preserve">. Het versterken van de </w:t>
      </w:r>
      <w:proofErr w:type="spellStart"/>
      <w:r w:rsidRPr="00B95EAF">
        <w:rPr>
          <w:szCs w:val="18"/>
        </w:rPr>
        <w:t>carry</w:t>
      </w:r>
      <w:proofErr w:type="spellEnd"/>
      <w:r w:rsidRPr="00B95EAF">
        <w:rPr>
          <w:szCs w:val="18"/>
        </w:rPr>
        <w:t>-back is geïdentificeerd als een uitvoerbare optie om aan deze motie tegemoet te komen. Daarnaast wordt er een handelsplatform voor vrije rechten ontwikkeld.</w:t>
      </w:r>
      <w:r w:rsidR="00806B7E">
        <w:rPr>
          <w:szCs w:val="18"/>
        </w:rPr>
        <w:t xml:space="preserve"> Hiermee kan gedeeltelijk tegemoet gekomen worden aan de vraag uit de motie.</w:t>
      </w:r>
    </w:p>
    <w:p w:rsidR="00A53935" w:rsidP="00D047C6" w:rsidRDefault="002B1553" w14:paraId="1F10FCED" w14:textId="7981485D">
      <w:pPr>
        <w:pStyle w:val="Geenafstand"/>
      </w:pPr>
      <w:r>
        <w:rPr>
          <w:b/>
          <w:bCs/>
        </w:rPr>
        <w:t xml:space="preserve">Overzicht uitgewerkte varianten van de CO2-heffing </w:t>
      </w:r>
    </w:p>
    <w:p w:rsidRPr="00D047C6" w:rsidR="00EE78E5" w:rsidP="00D047C6" w:rsidRDefault="004E3056" w14:paraId="71455235" w14:textId="040A3D91">
      <w:pPr>
        <w:pStyle w:val="Lijstalinea"/>
        <w:numPr>
          <w:ilvl w:val="0"/>
          <w:numId w:val="16"/>
        </w:numPr>
        <w:spacing w:after="160" w:line="259" w:lineRule="auto"/>
      </w:pPr>
      <w:r>
        <w:t>O</w:t>
      </w:r>
      <w:r w:rsidR="00074ECA">
        <w:t xml:space="preserve">nderstaande tabel bevat een overzicht van </w:t>
      </w:r>
      <w:r>
        <w:t>de uitgewerkte opties</w:t>
      </w:r>
      <w:r w:rsidR="00A53935">
        <w:t>:</w:t>
      </w:r>
    </w:p>
    <w:tbl>
      <w:tblPr>
        <w:tblpPr w:leftFromText="141" w:rightFromText="141" w:vertAnchor="text" w:horzAnchor="margin" w:tblpY="41"/>
        <w:tblW w:w="5000" w:type="pct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3"/>
        <w:gridCol w:w="2546"/>
        <w:gridCol w:w="1856"/>
        <w:gridCol w:w="2201"/>
      </w:tblGrid>
      <w:tr w:rsidRPr="00AF6B0F" w:rsidR="009E231F" w:rsidTr="009E231F" w14:paraId="48527F0D" w14:textId="2FF6A677">
        <w:trPr>
          <w:trHeight w:val="612"/>
        </w:trPr>
        <w:tc>
          <w:tcPr>
            <w:tcW w:w="538" w:type="pct"/>
            <w:tcBorders>
              <w:top w:val="single" w:color="FFFFFF" w:sz="4" w:space="0"/>
              <w:left w:val="single" w:color="FFFFFF" w:sz="2" w:space="0"/>
              <w:bottom w:val="single" w:color="auto" w:sz="12" w:space="0"/>
              <w:right w:val="single" w:color="FFFFFF" w:sz="2" w:space="0"/>
            </w:tcBorders>
            <w:shd w:val="clear" w:color="auto" w:fill="156082" w:themeFill="accent1"/>
            <w:hideMark/>
          </w:tcPr>
          <w:p w:rsidRPr="00074ECA" w:rsidR="009E231F" w:rsidP="00FC26ED" w:rsidRDefault="009E231F" w14:paraId="4C5AF345" w14:textId="77777777">
            <w:pPr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074ECA">
              <w:rPr>
                <w:b/>
                <w:bCs/>
                <w:color w:val="FFFFFF" w:themeColor="background1"/>
                <w:sz w:val="16"/>
                <w:szCs w:val="16"/>
              </w:rPr>
              <w:t>Maatregelen Co2-heffing Industrie</w:t>
            </w:r>
          </w:p>
        </w:tc>
        <w:tc>
          <w:tcPr>
            <w:tcW w:w="1487" w:type="pct"/>
            <w:tcBorders>
              <w:top w:val="single" w:color="FFFFFF" w:sz="4" w:space="0"/>
              <w:left w:val="single" w:color="FFFFFF" w:sz="2" w:space="0"/>
              <w:bottom w:val="single" w:color="auto" w:sz="12" w:space="0"/>
              <w:right w:val="single" w:color="FFFFFF" w:sz="2" w:space="0"/>
            </w:tcBorders>
            <w:shd w:val="clear" w:color="auto" w:fill="156082" w:themeFill="accent1"/>
            <w:hideMark/>
          </w:tcPr>
          <w:p w:rsidRPr="00074ECA" w:rsidR="009E231F" w:rsidP="00FC26ED" w:rsidRDefault="009E231F" w14:paraId="58336FBD" w14:textId="77777777">
            <w:pPr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074ECA">
              <w:rPr>
                <w:b/>
                <w:bCs/>
                <w:color w:val="FFFFFF" w:themeColor="background1"/>
                <w:sz w:val="16"/>
                <w:szCs w:val="16"/>
              </w:rPr>
              <w:t>Varianten binnen maatregel</w:t>
            </w:r>
          </w:p>
        </w:tc>
        <w:tc>
          <w:tcPr>
            <w:tcW w:w="1487" w:type="pct"/>
            <w:tcBorders>
              <w:top w:val="single" w:color="FFFFFF" w:sz="4" w:space="0"/>
              <w:left w:val="single" w:color="FFFFFF" w:sz="2" w:space="0"/>
              <w:bottom w:val="single" w:color="auto" w:sz="12" w:space="0"/>
              <w:right w:val="single" w:color="FFFFFF" w:sz="2" w:space="0"/>
            </w:tcBorders>
            <w:shd w:val="clear" w:color="auto" w:fill="156082" w:themeFill="accent1"/>
          </w:tcPr>
          <w:p w:rsidRPr="00074ECA" w:rsidR="009E231F" w:rsidP="00FC26ED" w:rsidRDefault="002404AC" w14:paraId="223716BE" w14:textId="584B18F0">
            <w:pPr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 w:themeColor="background1"/>
                <w:sz w:val="16"/>
                <w:szCs w:val="16"/>
              </w:rPr>
              <w:t xml:space="preserve">Impact </w:t>
            </w:r>
            <w:r w:rsidR="009E231F">
              <w:rPr>
                <w:b/>
                <w:bCs/>
                <w:color w:val="FFFFFF" w:themeColor="background1"/>
                <w:sz w:val="16"/>
                <w:szCs w:val="16"/>
              </w:rPr>
              <w:t>CO2-reductie</w:t>
            </w:r>
          </w:p>
        </w:tc>
        <w:tc>
          <w:tcPr>
            <w:tcW w:w="1487" w:type="pct"/>
            <w:tcBorders>
              <w:top w:val="single" w:color="FFFFFF" w:sz="4" w:space="0"/>
              <w:left w:val="single" w:color="FFFFFF" w:sz="2" w:space="0"/>
              <w:bottom w:val="single" w:color="auto" w:sz="12" w:space="0"/>
              <w:right w:val="single" w:color="FFFFFF" w:sz="2" w:space="0"/>
            </w:tcBorders>
            <w:shd w:val="clear" w:color="auto" w:fill="156082" w:themeFill="accent1"/>
          </w:tcPr>
          <w:p w:rsidR="009E231F" w:rsidP="00FC26ED" w:rsidRDefault="002404AC" w14:paraId="0C4ABE01" w14:textId="321CBE8D">
            <w:pPr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 w:themeColor="background1"/>
                <w:sz w:val="16"/>
                <w:szCs w:val="16"/>
              </w:rPr>
              <w:t xml:space="preserve">Impact </w:t>
            </w:r>
            <w:r w:rsidR="009E231F">
              <w:rPr>
                <w:b/>
                <w:bCs/>
                <w:color w:val="FFFFFF" w:themeColor="background1"/>
                <w:sz w:val="16"/>
                <w:szCs w:val="16"/>
              </w:rPr>
              <w:t>industrie</w:t>
            </w:r>
          </w:p>
          <w:p w:rsidRPr="00074ECA" w:rsidR="002404AC" w:rsidP="00FC26ED" w:rsidRDefault="002404AC" w14:paraId="245CFD5F" w14:textId="260CC3A2">
            <w:pPr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 w:themeColor="background1"/>
                <w:sz w:val="16"/>
                <w:szCs w:val="16"/>
              </w:rPr>
              <w:t>(lastenverzwaring – of lastenverlichting +)</w:t>
            </w:r>
          </w:p>
        </w:tc>
      </w:tr>
      <w:tr w:rsidRPr="00AF6B0F" w:rsidR="009E231F" w:rsidTr="009E231F" w14:paraId="6535D9FB" w14:textId="1E70ECB2">
        <w:trPr>
          <w:trHeight w:val="552"/>
        </w:trPr>
        <w:tc>
          <w:tcPr>
            <w:tcW w:w="538" w:type="pct"/>
            <w:vMerge w:val="restart"/>
            <w:tcBorders>
              <w:top w:val="single" w:color="auto" w:sz="12" w:space="0"/>
              <w:left w:val="single" w:color="FFFFFF" w:sz="2" w:space="0"/>
              <w:right w:val="single" w:color="FFFFFF" w:sz="2" w:space="0"/>
            </w:tcBorders>
            <w:shd w:val="clear" w:color="auto" w:fill="D9D9D9" w:themeFill="background1" w:themeFillShade="D9"/>
            <w:hideMark/>
          </w:tcPr>
          <w:p w:rsidRPr="00242DF9" w:rsidR="009E231F" w:rsidP="00FC26ED" w:rsidRDefault="009E231F" w14:paraId="1FE0E3F3" w14:textId="77777777">
            <w:pPr>
              <w:rPr>
                <w:b/>
                <w:bCs/>
                <w:sz w:val="16"/>
                <w:szCs w:val="16"/>
              </w:rPr>
            </w:pPr>
            <w:r w:rsidRPr="00242DF9">
              <w:rPr>
                <w:b/>
                <w:bCs/>
                <w:sz w:val="16"/>
                <w:szCs w:val="16"/>
              </w:rPr>
              <w:t>Aanscherping tot 2030</w:t>
            </w:r>
          </w:p>
        </w:tc>
        <w:tc>
          <w:tcPr>
            <w:tcW w:w="1487" w:type="pct"/>
            <w:tcBorders>
              <w:top w:val="single" w:color="auto" w:sz="1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shd w:val="clear" w:color="auto" w:fill="F2F2F2" w:themeFill="background1" w:themeFillShade="F2"/>
            <w:hideMark/>
          </w:tcPr>
          <w:p w:rsidR="009E231F" w:rsidP="00FC26ED" w:rsidRDefault="009E231F" w14:paraId="1195AD08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</w:t>
            </w:r>
            <w:r w:rsidRPr="00242DF9">
              <w:rPr>
                <w:sz w:val="16"/>
                <w:szCs w:val="16"/>
              </w:rPr>
              <w:t>Tariefophoging vanaf 2028 tot 2030 voor &gt;50kton</w:t>
            </w:r>
            <w:r>
              <w:rPr>
                <w:sz w:val="16"/>
                <w:szCs w:val="16"/>
              </w:rPr>
              <w:t xml:space="preserve"> (cf. VJN 2024)</w:t>
            </w:r>
          </w:p>
          <w:p w:rsidRPr="00242DF9" w:rsidR="009E231F" w:rsidP="00FC26ED" w:rsidRDefault="009E231F" w14:paraId="361BD7E2" w14:textId="77777777">
            <w:pPr>
              <w:rPr>
                <w:sz w:val="16"/>
                <w:szCs w:val="16"/>
              </w:rPr>
            </w:pPr>
          </w:p>
        </w:tc>
        <w:tc>
          <w:tcPr>
            <w:tcW w:w="1487" w:type="pct"/>
            <w:tcBorders>
              <w:top w:val="single" w:color="auto" w:sz="1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shd w:val="clear" w:color="auto" w:fill="F2F2F2" w:themeFill="background1" w:themeFillShade="F2"/>
          </w:tcPr>
          <w:p w:rsidR="009E231F" w:rsidP="009E231F" w:rsidRDefault="009E231F" w14:paraId="08DEB962" w14:textId="3A25D2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1487" w:type="pct"/>
            <w:tcBorders>
              <w:top w:val="single" w:color="auto" w:sz="1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shd w:val="clear" w:color="auto" w:fill="F2F2F2" w:themeFill="background1" w:themeFillShade="F2"/>
          </w:tcPr>
          <w:p w:rsidR="009E231F" w:rsidP="009E231F" w:rsidRDefault="009E231F" w14:paraId="6D353191" w14:textId="7EB2E8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Pr="00AF6B0F" w:rsidR="009E231F" w:rsidTr="009E231F" w14:paraId="3BAF155E" w14:textId="2CBB7DC4">
        <w:trPr>
          <w:trHeight w:val="552"/>
        </w:trPr>
        <w:tc>
          <w:tcPr>
            <w:tcW w:w="538" w:type="pct"/>
            <w:vMerge/>
            <w:tcBorders>
              <w:left w:val="single" w:color="FFFFFF" w:sz="2" w:space="0"/>
              <w:bottom w:val="single" w:color="auto" w:sz="12" w:space="0"/>
              <w:right w:val="single" w:color="FFFFFF" w:sz="2" w:space="0"/>
            </w:tcBorders>
            <w:shd w:val="clear" w:color="auto" w:fill="D9D9D9" w:themeFill="background1" w:themeFillShade="D9"/>
            <w:hideMark/>
          </w:tcPr>
          <w:p w:rsidRPr="00242DF9" w:rsidR="009E231F" w:rsidP="00FC26ED" w:rsidRDefault="009E231F" w14:paraId="5DF86D11" w14:textId="77777777">
            <w:pPr>
              <w:rPr>
                <w:sz w:val="16"/>
                <w:szCs w:val="16"/>
              </w:rPr>
            </w:pPr>
          </w:p>
        </w:tc>
        <w:tc>
          <w:tcPr>
            <w:tcW w:w="1487" w:type="pct"/>
            <w:tcBorders>
              <w:top w:val="single" w:color="FFFFFF" w:sz="2" w:space="0"/>
              <w:left w:val="single" w:color="FFFFFF" w:sz="2" w:space="0"/>
              <w:bottom w:val="single" w:color="auto" w:sz="12" w:space="0"/>
              <w:right w:val="single" w:color="FFFFFF" w:sz="2" w:space="0"/>
            </w:tcBorders>
            <w:shd w:val="clear" w:color="auto" w:fill="F2F2F2" w:themeFill="background1" w:themeFillShade="F2"/>
            <w:hideMark/>
          </w:tcPr>
          <w:p w:rsidRPr="00242DF9" w:rsidR="009E231F" w:rsidP="00FC26ED" w:rsidRDefault="009E231F" w14:paraId="1E7CFAD2" w14:textId="4D23AA06">
            <w:pPr>
              <w:rPr>
                <w:sz w:val="16"/>
                <w:szCs w:val="16"/>
              </w:rPr>
            </w:pPr>
            <w:r w:rsidRPr="00242DF9">
              <w:rPr>
                <w:sz w:val="16"/>
                <w:szCs w:val="16"/>
              </w:rPr>
              <w:t>2. Verbreding grondslag</w:t>
            </w:r>
            <w:r w:rsidR="007D316E">
              <w:rPr>
                <w:sz w:val="16"/>
                <w:szCs w:val="16"/>
              </w:rPr>
              <w:t xml:space="preserve"> (maatwerkopgave onder heffing)</w:t>
            </w:r>
          </w:p>
        </w:tc>
        <w:tc>
          <w:tcPr>
            <w:tcW w:w="1487" w:type="pct"/>
            <w:tcBorders>
              <w:top w:val="single" w:color="FFFFFF" w:sz="2" w:space="0"/>
              <w:left w:val="single" w:color="FFFFFF" w:sz="2" w:space="0"/>
              <w:bottom w:val="single" w:color="auto" w:sz="12" w:space="0"/>
              <w:right w:val="single" w:color="FFFFFF" w:sz="2" w:space="0"/>
            </w:tcBorders>
            <w:shd w:val="clear" w:color="auto" w:fill="F2F2F2" w:themeFill="background1" w:themeFillShade="F2"/>
          </w:tcPr>
          <w:p w:rsidRPr="00242DF9" w:rsidR="009E231F" w:rsidP="009E231F" w:rsidRDefault="009E231F" w14:paraId="6F575DE3" w14:textId="039159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87" w:type="pct"/>
            <w:tcBorders>
              <w:top w:val="single" w:color="FFFFFF" w:sz="2" w:space="0"/>
              <w:left w:val="single" w:color="FFFFFF" w:sz="2" w:space="0"/>
              <w:bottom w:val="single" w:color="auto" w:sz="12" w:space="0"/>
              <w:right w:val="single" w:color="FFFFFF" w:sz="2" w:space="0"/>
            </w:tcBorders>
            <w:shd w:val="clear" w:color="auto" w:fill="F2F2F2" w:themeFill="background1" w:themeFillShade="F2"/>
          </w:tcPr>
          <w:p w:rsidRPr="00242DF9" w:rsidR="009E231F" w:rsidP="009E231F" w:rsidRDefault="009E231F" w14:paraId="2FD485DF" w14:textId="186B1D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Pr="00AF6B0F" w:rsidR="009E231F" w:rsidTr="009E231F" w14:paraId="1E4C004D" w14:textId="0720824C">
        <w:trPr>
          <w:trHeight w:val="552"/>
        </w:trPr>
        <w:tc>
          <w:tcPr>
            <w:tcW w:w="538" w:type="pct"/>
            <w:vMerge w:val="restart"/>
            <w:tcBorders>
              <w:top w:val="single" w:color="auto" w:sz="12" w:space="0"/>
              <w:left w:val="single" w:color="FFFFFF" w:sz="2" w:space="0"/>
              <w:right w:val="single" w:color="FFFFFF" w:sz="2" w:space="0"/>
            </w:tcBorders>
            <w:shd w:val="clear" w:color="auto" w:fill="D9D9D9" w:themeFill="background1" w:themeFillShade="D9"/>
            <w:hideMark/>
          </w:tcPr>
          <w:p w:rsidRPr="00242DF9" w:rsidR="009E231F" w:rsidP="00FC26ED" w:rsidRDefault="009E231F" w14:paraId="46D39123" w14:textId="77777777">
            <w:pPr>
              <w:rPr>
                <w:b/>
                <w:bCs/>
                <w:sz w:val="16"/>
                <w:szCs w:val="16"/>
              </w:rPr>
            </w:pPr>
            <w:r w:rsidRPr="00242DF9">
              <w:rPr>
                <w:b/>
                <w:bCs/>
                <w:sz w:val="16"/>
                <w:szCs w:val="16"/>
              </w:rPr>
              <w:t xml:space="preserve">Aanscherping na 2030 </w:t>
            </w:r>
          </w:p>
        </w:tc>
        <w:tc>
          <w:tcPr>
            <w:tcW w:w="1487" w:type="pct"/>
            <w:tcBorders>
              <w:top w:val="single" w:color="auto" w:sz="1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shd w:val="clear" w:color="auto" w:fill="F2F2F2" w:themeFill="background1" w:themeFillShade="F2"/>
            <w:hideMark/>
          </w:tcPr>
          <w:p w:rsidRPr="00242DF9" w:rsidR="009E231F" w:rsidP="00FC26ED" w:rsidRDefault="009E231F" w14:paraId="3D73CB53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242DF9">
              <w:rPr>
                <w:sz w:val="16"/>
                <w:szCs w:val="16"/>
              </w:rPr>
              <w:t>oortrekken </w:t>
            </w:r>
            <w:r>
              <w:rPr>
                <w:sz w:val="16"/>
                <w:szCs w:val="16"/>
              </w:rPr>
              <w:t xml:space="preserve">jaarlijkse tariefstijging: van €152/ton in 2030 </w:t>
            </w:r>
            <w:r w:rsidRPr="00242DF9">
              <w:rPr>
                <w:sz w:val="16"/>
                <w:szCs w:val="16"/>
              </w:rPr>
              <w:t>naar </w:t>
            </w:r>
            <w:r>
              <w:rPr>
                <w:sz w:val="16"/>
                <w:szCs w:val="16"/>
              </w:rPr>
              <w:t>€</w:t>
            </w:r>
            <w:r w:rsidRPr="00242DF9">
              <w:rPr>
                <w:sz w:val="16"/>
                <w:szCs w:val="16"/>
              </w:rPr>
              <w:t>216</w:t>
            </w:r>
            <w:r>
              <w:rPr>
                <w:sz w:val="16"/>
                <w:szCs w:val="16"/>
              </w:rPr>
              <w:t>/ton in 2035</w:t>
            </w:r>
          </w:p>
        </w:tc>
        <w:tc>
          <w:tcPr>
            <w:tcW w:w="1487" w:type="pct"/>
            <w:tcBorders>
              <w:top w:val="single" w:color="auto" w:sz="1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shd w:val="clear" w:color="auto" w:fill="F2F2F2" w:themeFill="background1" w:themeFillShade="F2"/>
          </w:tcPr>
          <w:p w:rsidR="009E231F" w:rsidP="009E231F" w:rsidRDefault="009E231F" w14:paraId="40931338" w14:textId="7A2C81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1487" w:type="pct"/>
            <w:tcBorders>
              <w:top w:val="single" w:color="auto" w:sz="1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shd w:val="clear" w:color="auto" w:fill="F2F2F2" w:themeFill="background1" w:themeFillShade="F2"/>
          </w:tcPr>
          <w:p w:rsidR="009E231F" w:rsidP="009E231F" w:rsidRDefault="009E231F" w14:paraId="05335FA0" w14:textId="2B85F7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Pr="00AF6B0F" w:rsidR="009E231F" w:rsidTr="009E231F" w14:paraId="2775810B" w14:textId="1EE83194">
        <w:trPr>
          <w:trHeight w:val="552"/>
        </w:trPr>
        <w:tc>
          <w:tcPr>
            <w:tcW w:w="538" w:type="pct"/>
            <w:vMerge/>
            <w:tcBorders>
              <w:left w:val="single" w:color="FFFFFF" w:sz="2" w:space="0"/>
              <w:bottom w:val="single" w:color="auto" w:sz="12" w:space="0"/>
              <w:right w:val="single" w:color="FFFFFF" w:sz="2" w:space="0"/>
            </w:tcBorders>
            <w:shd w:val="clear" w:color="auto" w:fill="D9D9D9" w:themeFill="background1" w:themeFillShade="D9"/>
            <w:hideMark/>
          </w:tcPr>
          <w:p w:rsidRPr="00242DF9" w:rsidR="009E231F" w:rsidP="00FC26ED" w:rsidRDefault="009E231F" w14:paraId="64B458F2" w14:textId="77777777">
            <w:pPr>
              <w:rPr>
                <w:sz w:val="16"/>
                <w:szCs w:val="16"/>
              </w:rPr>
            </w:pPr>
          </w:p>
        </w:tc>
        <w:tc>
          <w:tcPr>
            <w:tcW w:w="1487" w:type="pct"/>
            <w:tcBorders>
              <w:top w:val="single" w:color="FFFFFF" w:sz="2" w:space="0"/>
              <w:left w:val="single" w:color="FFFFFF" w:sz="2" w:space="0"/>
              <w:bottom w:val="single" w:color="auto" w:sz="12" w:space="0"/>
              <w:right w:val="single" w:color="FFFFFF" w:sz="2" w:space="0"/>
            </w:tcBorders>
            <w:shd w:val="clear" w:color="auto" w:fill="F2F2F2" w:themeFill="background1" w:themeFillShade="F2"/>
            <w:hideMark/>
          </w:tcPr>
          <w:p w:rsidRPr="00242DF9" w:rsidR="009E231F" w:rsidP="00FC26ED" w:rsidRDefault="009E231F" w14:paraId="75C526FC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Lineaire toename van €152/ton in 2030 naar €196/ton</w:t>
            </w:r>
            <w:r w:rsidRPr="00242DF9" w:rsidDel="006E329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 2035</w:t>
            </w:r>
          </w:p>
        </w:tc>
        <w:tc>
          <w:tcPr>
            <w:tcW w:w="1487" w:type="pct"/>
            <w:tcBorders>
              <w:top w:val="single" w:color="FFFFFF" w:sz="2" w:space="0"/>
              <w:left w:val="single" w:color="FFFFFF" w:sz="2" w:space="0"/>
              <w:bottom w:val="single" w:color="auto" w:sz="12" w:space="0"/>
              <w:right w:val="single" w:color="FFFFFF" w:sz="2" w:space="0"/>
            </w:tcBorders>
            <w:shd w:val="clear" w:color="auto" w:fill="F2F2F2" w:themeFill="background1" w:themeFillShade="F2"/>
          </w:tcPr>
          <w:p w:rsidR="009E231F" w:rsidP="009E231F" w:rsidRDefault="009E231F" w14:paraId="0CB18292" w14:textId="26126A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1487" w:type="pct"/>
            <w:tcBorders>
              <w:top w:val="single" w:color="FFFFFF" w:sz="2" w:space="0"/>
              <w:left w:val="single" w:color="FFFFFF" w:sz="2" w:space="0"/>
              <w:bottom w:val="single" w:color="auto" w:sz="12" w:space="0"/>
              <w:right w:val="single" w:color="FFFFFF" w:sz="2" w:space="0"/>
            </w:tcBorders>
            <w:shd w:val="clear" w:color="auto" w:fill="F2F2F2" w:themeFill="background1" w:themeFillShade="F2"/>
          </w:tcPr>
          <w:p w:rsidR="009E231F" w:rsidP="009E231F" w:rsidRDefault="009E231F" w14:paraId="4CC2B3EF" w14:textId="4D6A36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Pr="00AF6B0F" w:rsidR="009E231F" w:rsidTr="009E231F" w14:paraId="371D3722" w14:textId="647DC85D">
        <w:trPr>
          <w:trHeight w:val="19"/>
        </w:trPr>
        <w:tc>
          <w:tcPr>
            <w:tcW w:w="538" w:type="pct"/>
            <w:vMerge w:val="restart"/>
            <w:tcBorders>
              <w:top w:val="single" w:color="auto" w:sz="12" w:space="0"/>
              <w:left w:val="single" w:color="FFFFFF" w:sz="2" w:space="0"/>
              <w:right w:val="single" w:color="FFFFFF" w:sz="2" w:space="0"/>
            </w:tcBorders>
            <w:shd w:val="clear" w:color="auto" w:fill="D9D9D9" w:themeFill="background1" w:themeFillShade="D9"/>
            <w:hideMark/>
          </w:tcPr>
          <w:p w:rsidRPr="00242DF9" w:rsidR="009E231F" w:rsidP="00FC26ED" w:rsidRDefault="009E231F" w14:paraId="61E44142" w14:textId="77777777">
            <w:pPr>
              <w:rPr>
                <w:b/>
                <w:bCs/>
                <w:sz w:val="16"/>
                <w:szCs w:val="16"/>
              </w:rPr>
            </w:pPr>
            <w:r w:rsidRPr="00242DF9">
              <w:rPr>
                <w:b/>
                <w:bCs/>
                <w:sz w:val="16"/>
                <w:szCs w:val="16"/>
              </w:rPr>
              <w:t>Afschaffen heffing na 2030</w:t>
            </w:r>
          </w:p>
        </w:tc>
        <w:tc>
          <w:tcPr>
            <w:tcW w:w="1487" w:type="pct"/>
            <w:tcBorders>
              <w:top w:val="single" w:color="auto" w:sz="1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shd w:val="clear" w:color="auto" w:fill="F2F2F2" w:themeFill="background1" w:themeFillShade="F2"/>
            <w:hideMark/>
          </w:tcPr>
          <w:p w:rsidRPr="00074ECA" w:rsidR="009E231F" w:rsidP="00FC26ED" w:rsidRDefault="009E231F" w14:paraId="0CA87F02" w14:textId="77777777">
            <w:pPr>
              <w:rPr>
                <w:sz w:val="16"/>
                <w:szCs w:val="16"/>
              </w:rPr>
            </w:pPr>
            <w:r w:rsidRPr="00074ECA">
              <w:rPr>
                <w:sz w:val="16"/>
                <w:szCs w:val="16"/>
              </w:rPr>
              <w:t>Afschaffen per 2033</w:t>
            </w:r>
          </w:p>
        </w:tc>
        <w:tc>
          <w:tcPr>
            <w:tcW w:w="1487" w:type="pct"/>
            <w:tcBorders>
              <w:top w:val="single" w:color="auto" w:sz="1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shd w:val="clear" w:color="auto" w:fill="F2F2F2" w:themeFill="background1" w:themeFillShade="F2"/>
          </w:tcPr>
          <w:p w:rsidRPr="00074ECA" w:rsidR="009E231F" w:rsidP="009E231F" w:rsidRDefault="009E231F" w14:paraId="1CA23CE0" w14:textId="2982D9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7" w:type="pct"/>
            <w:tcBorders>
              <w:top w:val="single" w:color="auto" w:sz="1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shd w:val="clear" w:color="auto" w:fill="F2F2F2" w:themeFill="background1" w:themeFillShade="F2"/>
          </w:tcPr>
          <w:p w:rsidRPr="00074ECA" w:rsidR="009E231F" w:rsidP="009E231F" w:rsidRDefault="009E231F" w14:paraId="487C913E" w14:textId="6054E6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Pr="00AF6B0F" w:rsidR="009E231F" w:rsidTr="009E231F" w14:paraId="0E66E1A1" w14:textId="6DDCE238">
        <w:trPr>
          <w:trHeight w:val="291"/>
        </w:trPr>
        <w:tc>
          <w:tcPr>
            <w:tcW w:w="538" w:type="pct"/>
            <w:vMerge/>
            <w:tcBorders>
              <w:left w:val="single" w:color="FFFFFF" w:sz="2" w:space="0"/>
              <w:bottom w:val="single" w:color="auto" w:sz="12" w:space="0"/>
              <w:right w:val="single" w:color="FFFFFF" w:sz="2" w:space="0"/>
            </w:tcBorders>
            <w:shd w:val="clear" w:color="auto" w:fill="D9D9D9" w:themeFill="background1" w:themeFillShade="D9"/>
          </w:tcPr>
          <w:p w:rsidRPr="00242DF9" w:rsidR="009E231F" w:rsidP="00FC26ED" w:rsidRDefault="009E231F" w14:paraId="76D8F129" w14:textId="7777777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87" w:type="pct"/>
            <w:tcBorders>
              <w:top w:val="single" w:color="FFFFFF" w:sz="2" w:space="0"/>
              <w:left w:val="single" w:color="FFFFFF" w:sz="2" w:space="0"/>
              <w:bottom w:val="single" w:color="auto" w:sz="12" w:space="0"/>
              <w:right w:val="single" w:color="FFFFFF" w:sz="2" w:space="0"/>
            </w:tcBorders>
            <w:shd w:val="clear" w:color="auto" w:fill="F2F2F2" w:themeFill="background1" w:themeFillShade="F2"/>
          </w:tcPr>
          <w:p w:rsidRPr="00074ECA" w:rsidR="009E231F" w:rsidP="00FC26ED" w:rsidRDefault="009E231F" w14:paraId="7BA89B9D" w14:textId="77777777">
            <w:pPr>
              <w:rPr>
                <w:sz w:val="16"/>
                <w:szCs w:val="16"/>
              </w:rPr>
            </w:pPr>
            <w:r w:rsidRPr="00074ECA">
              <w:rPr>
                <w:sz w:val="16"/>
                <w:szCs w:val="16"/>
              </w:rPr>
              <w:t>Afschaffen per 2036</w:t>
            </w:r>
          </w:p>
        </w:tc>
        <w:tc>
          <w:tcPr>
            <w:tcW w:w="1487" w:type="pct"/>
            <w:tcBorders>
              <w:top w:val="single" w:color="FFFFFF" w:sz="2" w:space="0"/>
              <w:left w:val="single" w:color="FFFFFF" w:sz="2" w:space="0"/>
              <w:bottom w:val="single" w:color="auto" w:sz="12" w:space="0"/>
              <w:right w:val="single" w:color="FFFFFF" w:sz="2" w:space="0"/>
            </w:tcBorders>
            <w:shd w:val="clear" w:color="auto" w:fill="F2F2F2" w:themeFill="background1" w:themeFillShade="F2"/>
          </w:tcPr>
          <w:p w:rsidRPr="00074ECA" w:rsidR="009E231F" w:rsidP="009E231F" w:rsidRDefault="009E231F" w14:paraId="611FD194" w14:textId="1BDD5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7" w:type="pct"/>
            <w:tcBorders>
              <w:top w:val="single" w:color="FFFFFF" w:sz="2" w:space="0"/>
              <w:left w:val="single" w:color="FFFFFF" w:sz="2" w:space="0"/>
              <w:bottom w:val="single" w:color="auto" w:sz="12" w:space="0"/>
              <w:right w:val="single" w:color="FFFFFF" w:sz="2" w:space="0"/>
            </w:tcBorders>
            <w:shd w:val="clear" w:color="auto" w:fill="F2F2F2" w:themeFill="background1" w:themeFillShade="F2"/>
          </w:tcPr>
          <w:p w:rsidRPr="00074ECA" w:rsidR="009E231F" w:rsidP="009E231F" w:rsidRDefault="009E231F" w14:paraId="4DDF715C" w14:textId="341F2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Pr="00AF6B0F" w:rsidR="009E231F" w:rsidTr="009E231F" w14:paraId="496C1B81" w14:textId="100CA95F">
        <w:trPr>
          <w:trHeight w:val="20"/>
        </w:trPr>
        <w:tc>
          <w:tcPr>
            <w:tcW w:w="538" w:type="pct"/>
            <w:tcBorders>
              <w:top w:val="single" w:color="auto" w:sz="12" w:space="0"/>
              <w:left w:val="single" w:color="FFFFFF" w:sz="2" w:space="0"/>
              <w:bottom w:val="single" w:color="FFFFFF" w:themeColor="background1" w:sz="12" w:space="0"/>
              <w:right w:val="single" w:color="FFFFFF" w:sz="2" w:space="0"/>
            </w:tcBorders>
            <w:shd w:val="clear" w:color="auto" w:fill="D9D9D9" w:themeFill="background1" w:themeFillShade="D9"/>
          </w:tcPr>
          <w:p w:rsidRPr="00242DF9" w:rsidR="009E231F" w:rsidP="00FC26ED" w:rsidRDefault="009E231F" w14:paraId="1BEAA040" w14:textId="7777777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Versterken van de </w:t>
            </w:r>
            <w:proofErr w:type="spellStart"/>
            <w:r>
              <w:rPr>
                <w:b/>
                <w:bCs/>
                <w:sz w:val="16"/>
                <w:szCs w:val="16"/>
              </w:rPr>
              <w:t>carry</w:t>
            </w:r>
            <w:proofErr w:type="spellEnd"/>
            <w:r>
              <w:rPr>
                <w:b/>
                <w:bCs/>
                <w:sz w:val="16"/>
                <w:szCs w:val="16"/>
              </w:rPr>
              <w:t>-back</w:t>
            </w:r>
          </w:p>
        </w:tc>
        <w:tc>
          <w:tcPr>
            <w:tcW w:w="1487" w:type="pct"/>
            <w:tcBorders>
              <w:top w:val="single" w:color="auto" w:sz="12" w:space="0"/>
              <w:left w:val="single" w:color="FFFFFF" w:sz="2" w:space="0"/>
              <w:bottom w:val="single" w:color="FFFFFF" w:themeColor="background1" w:sz="12" w:space="0"/>
              <w:right w:val="single" w:color="FFFFFF" w:sz="2" w:space="0"/>
            </w:tcBorders>
            <w:shd w:val="clear" w:color="auto" w:fill="F2F2F2" w:themeFill="background1" w:themeFillShade="F2"/>
          </w:tcPr>
          <w:p w:rsidRPr="00C52776" w:rsidR="009E231F" w:rsidP="00FC26ED" w:rsidRDefault="009E231F" w14:paraId="13128B06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Ook </w:t>
            </w:r>
            <w:proofErr w:type="spellStart"/>
            <w:r>
              <w:rPr>
                <w:sz w:val="16"/>
                <w:szCs w:val="16"/>
              </w:rPr>
              <w:t>carry</w:t>
            </w:r>
            <w:proofErr w:type="spellEnd"/>
            <w:r>
              <w:rPr>
                <w:sz w:val="16"/>
                <w:szCs w:val="16"/>
              </w:rPr>
              <w:t xml:space="preserve">-back mogelijk maken na 2029 + automatisch </w:t>
            </w:r>
            <w:r>
              <w:rPr>
                <w:sz w:val="16"/>
                <w:szCs w:val="16"/>
              </w:rPr>
              <w:lastRenderedPageBreak/>
              <w:t>verrekenen van de ‘waardevolste’ jaren voor het bedrijf</w:t>
            </w:r>
          </w:p>
        </w:tc>
        <w:tc>
          <w:tcPr>
            <w:tcW w:w="1487" w:type="pct"/>
            <w:tcBorders>
              <w:top w:val="single" w:color="auto" w:sz="12" w:space="0"/>
              <w:left w:val="single" w:color="FFFFFF" w:sz="2" w:space="0"/>
              <w:bottom w:val="single" w:color="FFFFFF" w:themeColor="background1" w:sz="12" w:space="0"/>
              <w:right w:val="single" w:color="FFFFFF" w:sz="2" w:space="0"/>
            </w:tcBorders>
            <w:shd w:val="clear" w:color="auto" w:fill="F2F2F2" w:themeFill="background1" w:themeFillShade="F2"/>
          </w:tcPr>
          <w:p w:rsidR="009E231F" w:rsidP="009E231F" w:rsidRDefault="009E231F" w14:paraId="5A09FAA4" w14:textId="456DF3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1487" w:type="pct"/>
            <w:tcBorders>
              <w:top w:val="single" w:color="auto" w:sz="12" w:space="0"/>
              <w:left w:val="single" w:color="FFFFFF" w:sz="2" w:space="0"/>
              <w:bottom w:val="single" w:color="FFFFFF" w:themeColor="background1" w:sz="12" w:space="0"/>
              <w:right w:val="single" w:color="FFFFFF" w:sz="2" w:space="0"/>
            </w:tcBorders>
            <w:shd w:val="clear" w:color="auto" w:fill="F2F2F2" w:themeFill="background1" w:themeFillShade="F2"/>
          </w:tcPr>
          <w:p w:rsidR="009E231F" w:rsidP="009E231F" w:rsidRDefault="009E231F" w14:paraId="50CA57E9" w14:textId="14BA2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</w:tbl>
    <w:p w:rsidRPr="009E231F" w:rsidR="00EE78E5" w:rsidP="009E231F" w:rsidRDefault="00EE78E5" w14:paraId="57E4AFC5" w14:textId="77777777">
      <w:pPr>
        <w:pStyle w:val="Lijstalinea"/>
        <w:spacing w:after="160" w:line="259" w:lineRule="auto"/>
        <w:ind w:left="0"/>
        <w:rPr>
          <w:b/>
          <w:bCs/>
        </w:rPr>
      </w:pPr>
    </w:p>
    <w:p w:rsidRPr="00D047C6" w:rsidR="0016016B" w:rsidP="00D047C6" w:rsidRDefault="00074ECA" w14:paraId="35BB9C86" w14:textId="2C0B700C">
      <w:pPr>
        <w:spacing w:after="160" w:line="259" w:lineRule="auto"/>
        <w:rPr>
          <w:b/>
          <w:bCs/>
          <w:szCs w:val="18"/>
        </w:rPr>
      </w:pPr>
      <w:r w:rsidRPr="00B95EAF">
        <w:rPr>
          <w:b/>
          <w:bCs/>
          <w:szCs w:val="18"/>
        </w:rPr>
        <w:t>Technische toelichting per maatregel</w:t>
      </w:r>
    </w:p>
    <w:p w:rsidRPr="00B95EAF" w:rsidR="009C50BE" w:rsidP="00242DF9" w:rsidRDefault="009C50BE" w14:paraId="56302D97" w14:textId="367F2DD7">
      <w:pPr>
        <w:pStyle w:val="Lijstalinea"/>
        <w:numPr>
          <w:ilvl w:val="0"/>
          <w:numId w:val="9"/>
        </w:numPr>
        <w:spacing w:after="160" w:line="259" w:lineRule="auto"/>
        <w:rPr>
          <w:b/>
          <w:bCs/>
          <w:szCs w:val="18"/>
        </w:rPr>
      </w:pPr>
      <w:r w:rsidRPr="00B95EAF">
        <w:rPr>
          <w:b/>
          <w:bCs/>
          <w:szCs w:val="18"/>
        </w:rPr>
        <w:t>Aanscherping van de CO2-heffing tot 2030</w:t>
      </w:r>
    </w:p>
    <w:p w:rsidRPr="00B95EAF" w:rsidR="00AF6B0F" w:rsidP="00242DF9" w:rsidRDefault="00F45187" w14:paraId="58BCF5B9" w14:textId="0ABAF009">
      <w:pPr>
        <w:pStyle w:val="Lijstalinea"/>
        <w:numPr>
          <w:ilvl w:val="0"/>
          <w:numId w:val="13"/>
        </w:numPr>
        <w:rPr>
          <w:i/>
          <w:iCs/>
          <w:szCs w:val="18"/>
        </w:rPr>
      </w:pPr>
      <w:r w:rsidRPr="00B95EAF">
        <w:rPr>
          <w:i/>
          <w:iCs/>
          <w:szCs w:val="18"/>
        </w:rPr>
        <w:t>Varian</w:t>
      </w:r>
      <w:r w:rsidRPr="00B95EAF" w:rsidR="00D77BB9">
        <w:rPr>
          <w:i/>
          <w:iCs/>
          <w:szCs w:val="18"/>
        </w:rPr>
        <w:t>t 1: Ophoging van heffingstarief differentiatie van twee schijven:</w:t>
      </w:r>
    </w:p>
    <w:p w:rsidR="002404AC" w:rsidP="002404AC" w:rsidRDefault="00E9304D" w14:paraId="442DED7C" w14:textId="05055587">
      <w:pPr>
        <w:pStyle w:val="Lijstalinea"/>
        <w:rPr>
          <w:i/>
          <w:iCs/>
          <w:szCs w:val="18"/>
        </w:rPr>
      </w:pPr>
      <w:r w:rsidRPr="00B95EAF">
        <w:rPr>
          <w:szCs w:val="18"/>
        </w:rPr>
        <w:t xml:space="preserve">Dit </w:t>
      </w:r>
      <w:r w:rsidRPr="00B95EAF" w:rsidR="00DC6A18">
        <w:rPr>
          <w:szCs w:val="18"/>
        </w:rPr>
        <w:t>voorstel is</w:t>
      </w:r>
      <w:r w:rsidRPr="00B95EAF">
        <w:rPr>
          <w:szCs w:val="18"/>
        </w:rPr>
        <w:t xml:space="preserve"> conform voorjaar ’24 (geschrapt HLA/RP)</w:t>
      </w:r>
      <w:r w:rsidRPr="00B95EAF" w:rsidR="00DC6A18">
        <w:rPr>
          <w:szCs w:val="18"/>
        </w:rPr>
        <w:t xml:space="preserve">: </w:t>
      </w:r>
      <w:r w:rsidRPr="00B95EAF">
        <w:rPr>
          <w:szCs w:val="18"/>
        </w:rPr>
        <w:t xml:space="preserve">Het </w:t>
      </w:r>
      <w:proofErr w:type="spellStart"/>
      <w:r w:rsidRPr="00B95EAF">
        <w:rPr>
          <w:szCs w:val="18"/>
        </w:rPr>
        <w:t>tariefpad</w:t>
      </w:r>
      <w:proofErr w:type="spellEnd"/>
      <w:r w:rsidRPr="00B95EAF">
        <w:rPr>
          <w:szCs w:val="18"/>
        </w:rPr>
        <w:t xml:space="preserve"> vanaf 2028 aan scherpen, zodat in 2030 een tarief van €</w:t>
      </w:r>
      <w:r w:rsidR="002E1D65">
        <w:rPr>
          <w:szCs w:val="18"/>
        </w:rPr>
        <w:t>196</w:t>
      </w:r>
      <w:r w:rsidRPr="00B95EAF">
        <w:rPr>
          <w:szCs w:val="18"/>
        </w:rPr>
        <w:t>/ton CO</w:t>
      </w:r>
      <w:r w:rsidRPr="00B95EAF">
        <w:rPr>
          <w:szCs w:val="18"/>
          <w:vertAlign w:val="subscript"/>
        </w:rPr>
        <w:t>2eq</w:t>
      </w:r>
      <w:r w:rsidRPr="00B95EAF">
        <w:rPr>
          <w:szCs w:val="18"/>
        </w:rPr>
        <w:t xml:space="preserve"> wordt bereikt. In deze variant wordt gewe</w:t>
      </w:r>
      <w:r w:rsidR="009B02BB">
        <w:rPr>
          <w:szCs w:val="18"/>
        </w:rPr>
        <w:t>r</w:t>
      </w:r>
      <w:r w:rsidRPr="00B95EAF">
        <w:rPr>
          <w:szCs w:val="18"/>
        </w:rPr>
        <w:t xml:space="preserve">kt met twee schijven, </w:t>
      </w:r>
      <w:r w:rsidRPr="00B95EAF" w:rsidR="00AC62BF">
        <w:rPr>
          <w:szCs w:val="18"/>
        </w:rPr>
        <w:t>waardoor de verhoging bijna uitsluitend geldt voor de grootste uitstoters (maatwerkbedrijven).</w:t>
      </w:r>
      <w:r w:rsidRPr="00B95EAF">
        <w:rPr>
          <w:szCs w:val="18"/>
        </w:rPr>
        <w:t xml:space="preserve"> </w:t>
      </w:r>
      <w:r w:rsidRPr="00B95EAF" w:rsidR="00AC62BF">
        <w:rPr>
          <w:szCs w:val="18"/>
        </w:rPr>
        <w:t xml:space="preserve">99% van de bedrijven buiten de grote industriële clusters worden niet geraakt door het hogere tarief. </w:t>
      </w:r>
      <w:r w:rsidRPr="00B95EAF">
        <w:rPr>
          <w:szCs w:val="18"/>
        </w:rPr>
        <w:t>Deze ophoging</w:t>
      </w:r>
      <w:r w:rsidRPr="00B95EAF" w:rsidR="008E36A3">
        <w:rPr>
          <w:szCs w:val="18"/>
        </w:rPr>
        <w:t xml:space="preserve"> van het tarief</w:t>
      </w:r>
      <w:r w:rsidRPr="00B95EAF">
        <w:rPr>
          <w:szCs w:val="18"/>
        </w:rPr>
        <w:t xml:space="preserve"> levert</w:t>
      </w:r>
      <w:r w:rsidRPr="00B95EAF" w:rsidR="00074ECA">
        <w:rPr>
          <w:szCs w:val="18"/>
        </w:rPr>
        <w:t xml:space="preserve"> </w:t>
      </w:r>
      <w:r w:rsidRPr="00B95EAF">
        <w:rPr>
          <w:szCs w:val="18"/>
        </w:rPr>
        <w:t>Co2-reductie op in 2030</w:t>
      </w:r>
      <w:r w:rsidR="009E231F">
        <w:rPr>
          <w:szCs w:val="18"/>
        </w:rPr>
        <w:t xml:space="preserve"> en de periode daarna</w:t>
      </w:r>
      <w:r w:rsidR="002E1D65">
        <w:rPr>
          <w:szCs w:val="18"/>
        </w:rPr>
        <w:t>.</w:t>
      </w:r>
      <w:r w:rsidR="004D2F8A">
        <w:rPr>
          <w:szCs w:val="18"/>
        </w:rPr>
        <w:t xml:space="preserve"> In hoeverre deze CO2-reductie  wordt gerealiseerd</w:t>
      </w:r>
      <w:r w:rsidR="009E231F">
        <w:rPr>
          <w:szCs w:val="18"/>
        </w:rPr>
        <w:t xml:space="preserve"> door verduurzaming</w:t>
      </w:r>
      <w:r w:rsidR="004D2F8A">
        <w:rPr>
          <w:szCs w:val="18"/>
        </w:rPr>
        <w:t xml:space="preserve">, hangt af van de mate waarin ook de randvoorwaarden op orde worden gebracht . </w:t>
      </w:r>
    </w:p>
    <w:p w:rsidRPr="00B95EAF" w:rsidR="00E9304D" w:rsidP="00AE26E5" w:rsidRDefault="00E9304D" w14:paraId="75BD0A9D" w14:textId="0E5A95B5">
      <w:pPr>
        <w:pStyle w:val="Lijstalinea"/>
        <w:rPr>
          <w:szCs w:val="18"/>
        </w:rPr>
      </w:pPr>
      <w:r w:rsidRPr="00B95EAF">
        <w:rPr>
          <w:i/>
          <w:iCs/>
          <w:szCs w:val="18"/>
        </w:rPr>
        <w:t xml:space="preserve">Variant 2: </w:t>
      </w:r>
      <w:r w:rsidRPr="00B95EAF" w:rsidR="00DC6A18">
        <w:rPr>
          <w:i/>
          <w:iCs/>
          <w:szCs w:val="18"/>
        </w:rPr>
        <w:t>Aanscherpen aantal DPR door v</w:t>
      </w:r>
      <w:r w:rsidRPr="00B95EAF">
        <w:rPr>
          <w:i/>
          <w:iCs/>
          <w:szCs w:val="18"/>
        </w:rPr>
        <w:t>erbreding van de grondslag van de heffing:</w:t>
      </w:r>
    </w:p>
    <w:p w:rsidRPr="00B95EAF" w:rsidR="00E9304D" w:rsidP="00DC6A18" w:rsidRDefault="00DC6A18" w14:paraId="20006516" w14:textId="57345852">
      <w:pPr>
        <w:pStyle w:val="Lijstalinea"/>
        <w:rPr>
          <w:szCs w:val="18"/>
        </w:rPr>
      </w:pPr>
      <w:r w:rsidRPr="00B95EAF">
        <w:rPr>
          <w:szCs w:val="18"/>
        </w:rPr>
        <w:t>De maatregel behelst het verlagen van het aantal beschikbare dispensatierechten in 2030 met 3,5 megaton. Op deze wijze wordt de reductieopgave van de maatwerkafspraken onder de heffing gebracht</w:t>
      </w:r>
      <w:r w:rsidRPr="00B95EAF" w:rsidR="00074ECA">
        <w:rPr>
          <w:szCs w:val="18"/>
        </w:rPr>
        <w:t xml:space="preserve">. Hierdoor </w:t>
      </w:r>
      <w:r w:rsidRPr="00B95EAF" w:rsidR="006E3296">
        <w:rPr>
          <w:szCs w:val="18"/>
        </w:rPr>
        <w:t xml:space="preserve">wordt de </w:t>
      </w:r>
      <w:r w:rsidRPr="00B95EAF">
        <w:rPr>
          <w:szCs w:val="18"/>
        </w:rPr>
        <w:t xml:space="preserve">emissievrije uitstoot onder de heffing </w:t>
      </w:r>
      <w:r w:rsidRPr="00B95EAF" w:rsidR="006E3296">
        <w:rPr>
          <w:szCs w:val="18"/>
        </w:rPr>
        <w:t xml:space="preserve">(dispensatierechten) </w:t>
      </w:r>
      <w:r w:rsidRPr="00B95EAF">
        <w:rPr>
          <w:szCs w:val="18"/>
        </w:rPr>
        <w:t>verminderd. Omdat het huidige heffingstarief momenteel ontoereikend is om investeringen te ont</w:t>
      </w:r>
      <w:r w:rsidRPr="00B95EAF" w:rsidR="00AC62BF">
        <w:rPr>
          <w:szCs w:val="18"/>
        </w:rPr>
        <w:t>sluiten</w:t>
      </w:r>
      <w:r w:rsidRPr="00B95EAF">
        <w:rPr>
          <w:szCs w:val="18"/>
        </w:rPr>
        <w:t xml:space="preserve">, zal </w:t>
      </w:r>
      <w:r w:rsidRPr="00B95EAF" w:rsidR="00AC62BF">
        <w:rPr>
          <w:szCs w:val="18"/>
        </w:rPr>
        <w:t xml:space="preserve">deze </w:t>
      </w:r>
      <w:r w:rsidRPr="00B95EAF">
        <w:rPr>
          <w:szCs w:val="18"/>
        </w:rPr>
        <w:t>aanpassing</w:t>
      </w:r>
      <w:r w:rsidR="002404AC">
        <w:rPr>
          <w:szCs w:val="18"/>
        </w:rPr>
        <w:t xml:space="preserve"> niet</w:t>
      </w:r>
      <w:r w:rsidRPr="00B95EAF">
        <w:rPr>
          <w:szCs w:val="18"/>
        </w:rPr>
        <w:t xml:space="preserve"> leiden tot additionele emissiereductie. </w:t>
      </w:r>
      <w:r w:rsidRPr="00B95EAF" w:rsidR="00AC62BF">
        <w:rPr>
          <w:szCs w:val="18"/>
        </w:rPr>
        <w:t>Het leidt wel tot een lastenverzwaring bij de industrie wat tot weglekeffecten kan leiden.</w:t>
      </w:r>
    </w:p>
    <w:p w:rsidRPr="00B95EAF" w:rsidR="00E21932" w:rsidP="00242DF9" w:rsidRDefault="00E21932" w14:paraId="584AA3A5" w14:textId="77777777">
      <w:pPr>
        <w:pStyle w:val="Lijstalinea"/>
        <w:spacing w:after="160" w:line="259" w:lineRule="auto"/>
        <w:rPr>
          <w:szCs w:val="18"/>
        </w:rPr>
      </w:pPr>
    </w:p>
    <w:p w:rsidRPr="00B95EAF" w:rsidR="009C50BE" w:rsidP="00242DF9" w:rsidRDefault="0016016B" w14:paraId="0652A1DF" w14:textId="6350A862">
      <w:pPr>
        <w:pStyle w:val="Lijstalinea"/>
        <w:numPr>
          <w:ilvl w:val="0"/>
          <w:numId w:val="9"/>
        </w:numPr>
        <w:spacing w:after="160" w:line="259" w:lineRule="auto"/>
        <w:rPr>
          <w:b/>
          <w:bCs/>
          <w:szCs w:val="18"/>
        </w:rPr>
      </w:pPr>
      <w:r w:rsidRPr="00B95EAF">
        <w:rPr>
          <w:b/>
          <w:bCs/>
          <w:szCs w:val="18"/>
        </w:rPr>
        <w:t>Verhoging van het tarief van de CO2-heffing</w:t>
      </w:r>
      <w:r w:rsidRPr="00B95EAF" w:rsidR="009C50BE">
        <w:rPr>
          <w:b/>
          <w:bCs/>
          <w:szCs w:val="18"/>
        </w:rPr>
        <w:t xml:space="preserve"> 2030-2035</w:t>
      </w:r>
    </w:p>
    <w:p w:rsidR="004D2F8A" w:rsidP="004D2F8A" w:rsidRDefault="006E3296" w14:paraId="40F901E2" w14:textId="2286977B">
      <w:pPr>
        <w:pStyle w:val="Lijstalinea"/>
        <w:numPr>
          <w:ilvl w:val="0"/>
          <w:numId w:val="3"/>
        </w:numPr>
        <w:spacing w:after="160" w:line="259" w:lineRule="auto"/>
        <w:ind w:left="360"/>
        <w:rPr>
          <w:szCs w:val="18"/>
        </w:rPr>
      </w:pPr>
      <w:r w:rsidRPr="00B95EAF">
        <w:rPr>
          <w:szCs w:val="18"/>
        </w:rPr>
        <w:t xml:space="preserve">De rationale voor latere </w:t>
      </w:r>
      <w:proofErr w:type="spellStart"/>
      <w:r w:rsidRPr="00B95EAF">
        <w:rPr>
          <w:szCs w:val="18"/>
        </w:rPr>
        <w:t>infasering</w:t>
      </w:r>
      <w:proofErr w:type="spellEnd"/>
      <w:r w:rsidRPr="00B95EAF">
        <w:rPr>
          <w:szCs w:val="18"/>
        </w:rPr>
        <w:t xml:space="preserve"> is dat </w:t>
      </w:r>
      <w:r w:rsidRPr="00B95EAF" w:rsidR="0016016B">
        <w:rPr>
          <w:szCs w:val="18"/>
        </w:rPr>
        <w:t>het handelingsperspectief voor de industrie groter</w:t>
      </w:r>
      <w:r w:rsidRPr="00B95EAF">
        <w:rPr>
          <w:szCs w:val="18"/>
        </w:rPr>
        <w:t xml:space="preserve"> is in de jaren 2030, </w:t>
      </w:r>
      <w:r w:rsidRPr="00B95EAF" w:rsidR="0016016B">
        <w:rPr>
          <w:szCs w:val="18"/>
        </w:rPr>
        <w:t xml:space="preserve">o.a. </w:t>
      </w:r>
      <w:r w:rsidRPr="00B95EAF">
        <w:rPr>
          <w:szCs w:val="18"/>
        </w:rPr>
        <w:t xml:space="preserve">door </w:t>
      </w:r>
      <w:r w:rsidRPr="00B95EAF" w:rsidR="0016016B">
        <w:rPr>
          <w:szCs w:val="18"/>
        </w:rPr>
        <w:t xml:space="preserve">minder knelpunten bij netcongestie en </w:t>
      </w:r>
      <w:r w:rsidRPr="00B95EAF">
        <w:rPr>
          <w:szCs w:val="18"/>
        </w:rPr>
        <w:t xml:space="preserve">de </w:t>
      </w:r>
      <w:r w:rsidRPr="00B95EAF" w:rsidR="0016016B">
        <w:rPr>
          <w:szCs w:val="18"/>
        </w:rPr>
        <w:t xml:space="preserve">beschikbaarheid </w:t>
      </w:r>
      <w:r w:rsidRPr="00B95EAF">
        <w:rPr>
          <w:szCs w:val="18"/>
        </w:rPr>
        <w:t xml:space="preserve">van </w:t>
      </w:r>
      <w:r w:rsidRPr="00B95EAF" w:rsidR="0016016B">
        <w:rPr>
          <w:szCs w:val="18"/>
        </w:rPr>
        <w:t xml:space="preserve">duurzame energiedragers. Industriële bedrijven kijken bij investeringsplannen vaak meer dan 10 jaar vooruit, waardoor een tariefverhoging na 2030 ook effect kan hebben op investeringsbeslissingen vóór 2030. </w:t>
      </w:r>
    </w:p>
    <w:p w:rsidRPr="00B95EAF" w:rsidR="00E421BD" w:rsidP="00242DF9" w:rsidRDefault="00E421BD" w14:paraId="35B69C90" w14:textId="2DE2238D">
      <w:pPr>
        <w:pStyle w:val="Lijstalinea"/>
        <w:numPr>
          <w:ilvl w:val="0"/>
          <w:numId w:val="3"/>
        </w:numPr>
        <w:spacing w:after="160" w:line="259" w:lineRule="auto"/>
        <w:ind w:left="360"/>
        <w:rPr>
          <w:szCs w:val="18"/>
        </w:rPr>
      </w:pPr>
      <w:r w:rsidRPr="00B95EAF">
        <w:rPr>
          <w:szCs w:val="18"/>
        </w:rPr>
        <w:t xml:space="preserve">Dit tarief is niet hoog genoeg om het volledige heffingsdoel </w:t>
      </w:r>
      <w:r w:rsidR="004D2F8A">
        <w:rPr>
          <w:szCs w:val="18"/>
        </w:rPr>
        <w:t xml:space="preserve">van 2030 </w:t>
      </w:r>
      <w:r w:rsidRPr="00B95EAF">
        <w:rPr>
          <w:szCs w:val="18"/>
        </w:rPr>
        <w:t xml:space="preserve">binnen bereik te brengen. </w:t>
      </w:r>
    </w:p>
    <w:p w:rsidRPr="00B95EAF" w:rsidR="0016016B" w:rsidP="00242DF9" w:rsidRDefault="0016016B" w14:paraId="7E9E8842" w14:textId="7605B0F4">
      <w:pPr>
        <w:pStyle w:val="Lijstalinea"/>
        <w:numPr>
          <w:ilvl w:val="1"/>
          <w:numId w:val="1"/>
        </w:numPr>
        <w:spacing w:after="160" w:line="259" w:lineRule="auto"/>
        <w:ind w:left="720"/>
        <w:rPr>
          <w:szCs w:val="18"/>
        </w:rPr>
      </w:pPr>
      <w:r w:rsidRPr="00B95EAF">
        <w:rPr>
          <w:i/>
          <w:iCs/>
          <w:szCs w:val="18"/>
        </w:rPr>
        <w:t>Variant 1:</w:t>
      </w:r>
      <w:r w:rsidRPr="00B95EAF">
        <w:rPr>
          <w:szCs w:val="18"/>
        </w:rPr>
        <w:t xml:space="preserve"> </w:t>
      </w:r>
      <w:r w:rsidRPr="00B95EAF">
        <w:rPr>
          <w:i/>
          <w:iCs/>
          <w:szCs w:val="18"/>
        </w:rPr>
        <w:t>het tarief stijgt lineair naar €216/ton CO2eq in 2035</w:t>
      </w:r>
      <w:r w:rsidRPr="00B95EAF">
        <w:rPr>
          <w:szCs w:val="18"/>
        </w:rPr>
        <w:t xml:space="preserve">. Het tarief van de CO2-heffing stijgt in het </w:t>
      </w:r>
      <w:proofErr w:type="spellStart"/>
      <w:r w:rsidRPr="00B95EAF">
        <w:rPr>
          <w:szCs w:val="18"/>
        </w:rPr>
        <w:t>basispad</w:t>
      </w:r>
      <w:proofErr w:type="spellEnd"/>
      <w:r w:rsidRPr="00B95EAF">
        <w:rPr>
          <w:szCs w:val="18"/>
        </w:rPr>
        <w:t xml:space="preserve"> jaarlijks met €12,84/ton CO2eq tot €152/ton CO2eq in 2030. Deze tariefverhoging wordt lineair doorgetrokken tot en met 2035. Vanaf 2035 blijft het tarief constant.</w:t>
      </w:r>
      <w:r w:rsidR="009E231F">
        <w:rPr>
          <w:szCs w:val="18"/>
        </w:rPr>
        <w:t xml:space="preserve"> Hierdoor stijgt de CO2-reductie in 2030 en de periode daarna. </w:t>
      </w:r>
      <w:r w:rsidRPr="00B95EAF">
        <w:rPr>
          <w:szCs w:val="18"/>
        </w:rPr>
        <w:t xml:space="preserve"> </w:t>
      </w:r>
      <w:r w:rsidR="00AE133E">
        <w:rPr>
          <w:szCs w:val="18"/>
        </w:rPr>
        <w:t>In hoeverre deze CO2-reductie  wordt gerealiseerd</w:t>
      </w:r>
      <w:r w:rsidR="009E231F">
        <w:rPr>
          <w:szCs w:val="18"/>
        </w:rPr>
        <w:t xml:space="preserve"> door verduurzaming</w:t>
      </w:r>
      <w:r w:rsidR="00AE133E">
        <w:rPr>
          <w:szCs w:val="18"/>
        </w:rPr>
        <w:t>, hangt af van de mate waarin ook de randvoorwaarden op orde worden gebracht</w:t>
      </w:r>
      <w:r w:rsidR="004D2F8A">
        <w:rPr>
          <w:szCs w:val="18"/>
        </w:rPr>
        <w:t xml:space="preserve"> .</w:t>
      </w:r>
      <w:r w:rsidR="00AE133E">
        <w:rPr>
          <w:szCs w:val="18"/>
        </w:rPr>
        <w:t xml:space="preserve">  </w:t>
      </w:r>
    </w:p>
    <w:p w:rsidR="0016016B" w:rsidP="00242DF9" w:rsidRDefault="0016016B" w14:paraId="22DE3E65" w14:textId="62B8D6AB">
      <w:pPr>
        <w:pStyle w:val="Lijstalinea"/>
        <w:numPr>
          <w:ilvl w:val="1"/>
          <w:numId w:val="1"/>
        </w:numPr>
        <w:spacing w:after="160" w:line="259" w:lineRule="auto"/>
        <w:ind w:left="720"/>
        <w:rPr>
          <w:szCs w:val="18"/>
        </w:rPr>
      </w:pPr>
      <w:r w:rsidRPr="00B95EAF">
        <w:rPr>
          <w:i/>
          <w:iCs/>
          <w:szCs w:val="18"/>
        </w:rPr>
        <w:t>Variant 2:</w:t>
      </w:r>
      <w:r w:rsidRPr="00B95EAF">
        <w:rPr>
          <w:szCs w:val="18"/>
        </w:rPr>
        <w:t xml:space="preserve"> </w:t>
      </w:r>
      <w:r w:rsidRPr="00B95EAF">
        <w:rPr>
          <w:i/>
          <w:iCs/>
          <w:szCs w:val="18"/>
        </w:rPr>
        <w:t>het tarief stijgt naar €196/ton CO2eq in 2035</w:t>
      </w:r>
      <w:r w:rsidRPr="00B95EAF">
        <w:rPr>
          <w:szCs w:val="18"/>
        </w:rPr>
        <w:t>.</w:t>
      </w:r>
      <w:r w:rsidR="002D5EF2">
        <w:rPr>
          <w:szCs w:val="18"/>
        </w:rPr>
        <w:t xml:space="preserve"> </w:t>
      </w:r>
      <w:r w:rsidR="009E231F">
        <w:rPr>
          <w:szCs w:val="18"/>
        </w:rPr>
        <w:t xml:space="preserve">Hierdoor stijgt de CO2-reductie in 2030 en de periode daarna. </w:t>
      </w:r>
      <w:r w:rsidRPr="00B95EAF" w:rsidR="009E231F">
        <w:rPr>
          <w:szCs w:val="18"/>
        </w:rPr>
        <w:t xml:space="preserve"> </w:t>
      </w:r>
      <w:r w:rsidR="009E231F">
        <w:rPr>
          <w:szCs w:val="18"/>
        </w:rPr>
        <w:t>In hoeverre deze CO2-reductie  wordt gerealiseerd door verduurzaming, hangt af van de mate waarin ook de randvoorwaarden op orde worden gebracht</w:t>
      </w:r>
    </w:p>
    <w:p w:rsidRPr="007D2836" w:rsidR="007D2836" w:rsidP="00242DF9" w:rsidRDefault="007D2836" w14:paraId="3474004B" w14:textId="77777777">
      <w:pPr>
        <w:pStyle w:val="Lijstalinea"/>
        <w:spacing w:after="160" w:line="259" w:lineRule="auto"/>
        <w:ind w:left="1080"/>
        <w:rPr>
          <w:szCs w:val="18"/>
        </w:rPr>
      </w:pPr>
    </w:p>
    <w:p w:rsidRPr="00432B33" w:rsidR="00AF6B0F" w:rsidP="00E21932" w:rsidRDefault="0016016B" w14:paraId="5E0DBDEF" w14:textId="1B9DCF9B">
      <w:pPr>
        <w:pStyle w:val="Lijstalinea"/>
        <w:numPr>
          <w:ilvl w:val="0"/>
          <w:numId w:val="9"/>
        </w:numPr>
        <w:spacing w:after="160" w:line="259" w:lineRule="auto"/>
        <w:rPr>
          <w:b/>
          <w:bCs/>
          <w:szCs w:val="18"/>
          <w:u w:val="single"/>
        </w:rPr>
      </w:pPr>
      <w:r w:rsidRPr="00432B33">
        <w:rPr>
          <w:b/>
          <w:bCs/>
          <w:szCs w:val="18"/>
        </w:rPr>
        <w:t>Afschaffen van de CO2-heffing industrie per 2033 of 203</w:t>
      </w:r>
      <w:r w:rsidRPr="00432B33" w:rsidR="00D047C6">
        <w:rPr>
          <w:b/>
          <w:bCs/>
          <w:szCs w:val="18"/>
        </w:rPr>
        <w:t>5</w:t>
      </w:r>
      <w:r w:rsidRPr="00432B33">
        <w:rPr>
          <w:b/>
          <w:bCs/>
          <w:szCs w:val="18"/>
          <w:u w:val="single"/>
        </w:rPr>
        <w:t xml:space="preserve"> </w:t>
      </w:r>
    </w:p>
    <w:p w:rsidRPr="00D047C6" w:rsidR="00E421BD" w:rsidP="00E421BD" w:rsidRDefault="00AC62BF" w14:paraId="0A25B526" w14:textId="3BEF88ED">
      <w:pPr>
        <w:pStyle w:val="Lijstalinea"/>
        <w:numPr>
          <w:ilvl w:val="0"/>
          <w:numId w:val="12"/>
        </w:numPr>
        <w:spacing w:after="160" w:line="259" w:lineRule="auto"/>
        <w:rPr>
          <w:szCs w:val="18"/>
          <w:u w:val="single"/>
        </w:rPr>
      </w:pPr>
      <w:r w:rsidRPr="00B95EAF">
        <w:rPr>
          <w:szCs w:val="18"/>
        </w:rPr>
        <w:t xml:space="preserve">Het doel </w:t>
      </w:r>
      <w:r w:rsidRPr="00B95EAF" w:rsidR="00E421BD">
        <w:rPr>
          <w:szCs w:val="18"/>
        </w:rPr>
        <w:t xml:space="preserve">van de maatregel </w:t>
      </w:r>
      <w:r w:rsidRPr="00B95EAF">
        <w:rPr>
          <w:szCs w:val="18"/>
        </w:rPr>
        <w:t>is om het speelveld van de Nederlandse industrie gelijk te trekken met Europese concurrenten.</w:t>
      </w:r>
      <w:r w:rsidRPr="00B95EAF" w:rsidR="00E421BD">
        <w:rPr>
          <w:szCs w:val="18"/>
        </w:rPr>
        <w:t xml:space="preserve"> </w:t>
      </w:r>
      <w:r w:rsidRPr="00B95EAF">
        <w:rPr>
          <w:szCs w:val="18"/>
        </w:rPr>
        <w:t>Hierbij is gekozen</w:t>
      </w:r>
      <w:r w:rsidRPr="00B95EAF" w:rsidR="00127BDD">
        <w:rPr>
          <w:szCs w:val="18"/>
        </w:rPr>
        <w:t xml:space="preserve"> te kijken naar</w:t>
      </w:r>
      <w:r w:rsidRPr="00B95EAF">
        <w:rPr>
          <w:szCs w:val="18"/>
        </w:rPr>
        <w:t xml:space="preserve"> twee varianten:</w:t>
      </w:r>
    </w:p>
    <w:p w:rsidRPr="00D047C6" w:rsidR="00E421BD" w:rsidP="00D047C6" w:rsidRDefault="00AC62BF" w14:paraId="190575ED" w14:textId="6F64C975">
      <w:pPr>
        <w:pStyle w:val="Lijstalinea"/>
        <w:numPr>
          <w:ilvl w:val="1"/>
          <w:numId w:val="1"/>
        </w:numPr>
        <w:spacing w:after="160" w:line="259" w:lineRule="auto"/>
        <w:ind w:left="720"/>
        <w:rPr>
          <w:i/>
          <w:iCs/>
          <w:szCs w:val="18"/>
        </w:rPr>
      </w:pPr>
      <w:r w:rsidRPr="00D047C6">
        <w:rPr>
          <w:i/>
          <w:iCs/>
          <w:szCs w:val="18"/>
        </w:rPr>
        <w:t xml:space="preserve">1. Afschaffen per 2033 </w:t>
      </w:r>
    </w:p>
    <w:p w:rsidRPr="00D047C6" w:rsidR="00AC62BF" w:rsidP="00D047C6" w:rsidRDefault="00AC62BF" w14:paraId="14C26F34" w14:textId="089173C9">
      <w:pPr>
        <w:pStyle w:val="Lijstalinea"/>
        <w:numPr>
          <w:ilvl w:val="1"/>
          <w:numId w:val="1"/>
        </w:numPr>
        <w:spacing w:after="160" w:line="259" w:lineRule="auto"/>
        <w:ind w:left="720"/>
        <w:rPr>
          <w:i/>
          <w:iCs/>
          <w:szCs w:val="18"/>
        </w:rPr>
      </w:pPr>
      <w:r w:rsidRPr="00D047C6">
        <w:rPr>
          <w:i/>
          <w:iCs/>
          <w:szCs w:val="18"/>
        </w:rPr>
        <w:t>2. Afschaffen per 2036.</w:t>
      </w:r>
    </w:p>
    <w:p w:rsidRPr="003F3C4D" w:rsidR="004D2F8A" w:rsidP="0CC08879" w:rsidRDefault="004D2F8A" w14:paraId="1B1E5B62" w14:textId="201FDD6D">
      <w:pPr>
        <w:pStyle w:val="Lijstalinea"/>
        <w:numPr>
          <w:ilvl w:val="0"/>
          <w:numId w:val="2"/>
        </w:numPr>
        <w:spacing w:after="160" w:line="259" w:lineRule="auto"/>
        <w:ind w:left="360"/>
        <w:rPr>
          <w:u w:val="single"/>
        </w:rPr>
      </w:pPr>
      <w:r>
        <w:t xml:space="preserve">Deze maatregel introduceert onzekerheid bij de industrie over het rendement van investeringen. De gerealiseerde emissiereductie in de situatie zonder de CO2-heffing zal daardoor primair gaan afhangen van de ontwikkeling van de EU ETS prijs. </w:t>
      </w:r>
      <w:r w:rsidRPr="003F3C4D">
        <w:t xml:space="preserve">Op basis van de tariefstudie is de toename van de CO2-uitstoot in 2030 onder variant 1 geraamd op 1 </w:t>
      </w:r>
      <w:proofErr w:type="spellStart"/>
      <w:r w:rsidRPr="003F3C4D">
        <w:t>Mton</w:t>
      </w:r>
      <w:proofErr w:type="spellEnd"/>
      <w:r w:rsidRPr="003F3C4D">
        <w:t xml:space="preserve"> en onder variant 2 op 0. </w:t>
      </w:r>
    </w:p>
    <w:p w:rsidRPr="00B95EAF" w:rsidR="00AC62BF" w:rsidP="00AC62BF" w:rsidRDefault="0016016B" w14:paraId="582AFC5D" w14:textId="662456AF">
      <w:pPr>
        <w:pStyle w:val="Lijstalinea"/>
        <w:numPr>
          <w:ilvl w:val="0"/>
          <w:numId w:val="2"/>
        </w:numPr>
        <w:spacing w:after="160" w:line="259" w:lineRule="auto"/>
        <w:ind w:left="360"/>
        <w:rPr>
          <w:szCs w:val="18"/>
          <w:u w:val="single"/>
        </w:rPr>
      </w:pPr>
      <w:r w:rsidRPr="00B95EAF">
        <w:rPr>
          <w:szCs w:val="18"/>
        </w:rPr>
        <w:t>NB. Deze maatregel leidt mogelijk tot een risico op aanzienlijke budgettaire derving van 600 mln</w:t>
      </w:r>
      <w:r w:rsidR="00C1155C">
        <w:rPr>
          <w:szCs w:val="18"/>
        </w:rPr>
        <w:t>.</w:t>
      </w:r>
      <w:r w:rsidRPr="00B95EAF">
        <w:rPr>
          <w:szCs w:val="18"/>
        </w:rPr>
        <w:t xml:space="preserve"> euro vanwege het niet halen van mijlpalen 3</w:t>
      </w:r>
      <w:r w:rsidR="002C7C95">
        <w:rPr>
          <w:szCs w:val="18"/>
        </w:rPr>
        <w:t xml:space="preserve"> (inwerkingtreding CO2-heffing industrie) </w:t>
      </w:r>
      <w:r w:rsidRPr="00B95EAF">
        <w:rPr>
          <w:szCs w:val="18"/>
        </w:rPr>
        <w:t xml:space="preserve"> en 4 </w:t>
      </w:r>
      <w:r w:rsidR="002C7C95">
        <w:rPr>
          <w:szCs w:val="18"/>
        </w:rPr>
        <w:t xml:space="preserve">(oplopend tarief tot 2026 en aflopende vrijgestelde emissies in 2026) </w:t>
      </w:r>
      <w:r w:rsidRPr="00B95EAF">
        <w:rPr>
          <w:szCs w:val="18"/>
        </w:rPr>
        <w:t>in het Herstel en Veerkracht Plan. Voor deze</w:t>
      </w:r>
      <w:r w:rsidR="00653803">
        <w:rPr>
          <w:szCs w:val="18"/>
        </w:rPr>
        <w:t xml:space="preserve"> mogelijke</w:t>
      </w:r>
      <w:r w:rsidRPr="00B95EAF">
        <w:rPr>
          <w:szCs w:val="18"/>
        </w:rPr>
        <w:t xml:space="preserve"> derving is nog geen dekking.  </w:t>
      </w:r>
    </w:p>
    <w:p w:rsidR="004D2F8A" w:rsidP="00AC62BF" w:rsidRDefault="004D2F8A" w14:paraId="21AD6550" w14:textId="77777777">
      <w:pPr>
        <w:pStyle w:val="Lijstalinea"/>
        <w:spacing w:after="160" w:line="259" w:lineRule="auto"/>
        <w:ind w:left="360"/>
        <w:rPr>
          <w:szCs w:val="18"/>
          <w:u w:val="single"/>
        </w:rPr>
      </w:pPr>
    </w:p>
    <w:p w:rsidRPr="00B95EAF" w:rsidR="004D2F8A" w:rsidP="00AC62BF" w:rsidRDefault="004D2F8A" w14:paraId="75FDF3B3" w14:textId="77777777">
      <w:pPr>
        <w:pStyle w:val="Lijstalinea"/>
        <w:spacing w:after="160" w:line="259" w:lineRule="auto"/>
        <w:ind w:left="360"/>
        <w:rPr>
          <w:szCs w:val="18"/>
          <w:u w:val="single"/>
        </w:rPr>
      </w:pPr>
    </w:p>
    <w:p w:rsidRPr="00432B33" w:rsidR="00AC62BF" w:rsidP="00AC62BF" w:rsidRDefault="00AC62BF" w14:paraId="6F8791E3" w14:textId="6D5530DF">
      <w:pPr>
        <w:pStyle w:val="Lijstalinea"/>
        <w:numPr>
          <w:ilvl w:val="0"/>
          <w:numId w:val="9"/>
        </w:numPr>
        <w:spacing w:after="160" w:line="259" w:lineRule="auto"/>
        <w:rPr>
          <w:b/>
          <w:bCs/>
          <w:szCs w:val="18"/>
          <w:u w:val="single"/>
        </w:rPr>
      </w:pPr>
      <w:r w:rsidRPr="00432B33">
        <w:rPr>
          <w:b/>
          <w:bCs/>
          <w:szCs w:val="18"/>
          <w:u w:val="single"/>
        </w:rPr>
        <w:t xml:space="preserve">Versterken </w:t>
      </w:r>
      <w:proofErr w:type="spellStart"/>
      <w:r w:rsidRPr="00432B33">
        <w:rPr>
          <w:b/>
          <w:bCs/>
          <w:szCs w:val="18"/>
          <w:u w:val="single"/>
        </w:rPr>
        <w:t>carry</w:t>
      </w:r>
      <w:proofErr w:type="spellEnd"/>
      <w:r w:rsidRPr="00432B33">
        <w:rPr>
          <w:b/>
          <w:bCs/>
          <w:szCs w:val="18"/>
          <w:u w:val="single"/>
        </w:rPr>
        <w:t>-back</w:t>
      </w:r>
      <w:r w:rsidRPr="00432B33" w:rsidR="00D047C6">
        <w:rPr>
          <w:b/>
          <w:bCs/>
          <w:szCs w:val="18"/>
          <w:u w:val="single"/>
        </w:rPr>
        <w:t xml:space="preserve"> onder de CO2-heffing</w:t>
      </w:r>
    </w:p>
    <w:p w:rsidRPr="00B95EAF" w:rsidR="00E421BD" w:rsidP="00AC62BF" w:rsidRDefault="00AC62BF" w14:paraId="1A6053B4" w14:textId="49933F3D">
      <w:pPr>
        <w:pStyle w:val="Lijstalinea"/>
        <w:numPr>
          <w:ilvl w:val="0"/>
          <w:numId w:val="14"/>
        </w:numPr>
        <w:spacing w:after="160" w:line="259" w:lineRule="auto"/>
        <w:ind w:left="426"/>
        <w:rPr>
          <w:szCs w:val="18"/>
        </w:rPr>
      </w:pPr>
      <w:r w:rsidRPr="00D047C6">
        <w:rPr>
          <w:szCs w:val="18"/>
        </w:rPr>
        <w:t xml:space="preserve">In het kader van motie Erkens, die vraagt om een hardheidsclausule binnen de CO2-heffing, zijn afgelopen jaar verschillende opties onderzocht. </w:t>
      </w:r>
      <w:r w:rsidRPr="00B95EAF" w:rsidR="00E421BD">
        <w:rPr>
          <w:szCs w:val="18"/>
        </w:rPr>
        <w:t xml:space="preserve">De volgende twee combineerbare </w:t>
      </w:r>
      <w:r w:rsidRPr="00D047C6">
        <w:rPr>
          <w:szCs w:val="18"/>
        </w:rPr>
        <w:t xml:space="preserve">opties zijn juridisch </w:t>
      </w:r>
      <w:r w:rsidRPr="00B95EAF" w:rsidR="004E3056">
        <w:rPr>
          <w:szCs w:val="18"/>
        </w:rPr>
        <w:t>e</w:t>
      </w:r>
      <w:r w:rsidRPr="00D047C6">
        <w:rPr>
          <w:szCs w:val="18"/>
        </w:rPr>
        <w:t xml:space="preserve">n uitvoeringstechnisch haalbaar: </w:t>
      </w:r>
    </w:p>
    <w:p w:rsidRPr="00D047C6" w:rsidR="00E421BD" w:rsidP="00D047C6" w:rsidRDefault="004E3056" w14:paraId="27451380" w14:textId="0B9074B8">
      <w:pPr>
        <w:pStyle w:val="Lijstalinea"/>
        <w:numPr>
          <w:ilvl w:val="1"/>
          <w:numId w:val="1"/>
        </w:numPr>
        <w:spacing w:after="160" w:line="259" w:lineRule="auto"/>
        <w:ind w:left="720"/>
        <w:rPr>
          <w:i/>
          <w:iCs/>
          <w:szCs w:val="18"/>
        </w:rPr>
      </w:pPr>
      <w:r w:rsidRPr="00B95EAF">
        <w:rPr>
          <w:i/>
          <w:iCs/>
          <w:szCs w:val="18"/>
        </w:rPr>
        <w:t>H</w:t>
      </w:r>
      <w:r w:rsidRPr="00D047C6" w:rsidR="00AC62BF">
        <w:rPr>
          <w:i/>
          <w:iCs/>
          <w:szCs w:val="18"/>
        </w:rPr>
        <w:t>et opzetten van een handelsplatform</w:t>
      </w:r>
      <w:r w:rsidRPr="00B95EAF">
        <w:rPr>
          <w:i/>
          <w:iCs/>
          <w:szCs w:val="18"/>
        </w:rPr>
        <w:t>:</w:t>
      </w:r>
      <w:r w:rsidRPr="00D047C6" w:rsidR="00AC62BF">
        <w:rPr>
          <w:i/>
          <w:iCs/>
          <w:szCs w:val="18"/>
        </w:rPr>
        <w:t xml:space="preserve"> </w:t>
      </w:r>
      <w:r w:rsidRPr="00D047C6">
        <w:rPr>
          <w:szCs w:val="18"/>
        </w:rPr>
        <w:t>om handel in overschotten in vrije rechten (dispensatierechten) te bevorderen</w:t>
      </w:r>
      <w:r w:rsidRPr="00B95EAF" w:rsidR="00E421BD">
        <w:rPr>
          <w:szCs w:val="18"/>
        </w:rPr>
        <w:t>;</w:t>
      </w:r>
      <w:r w:rsidRPr="00D047C6" w:rsidR="00E421BD">
        <w:rPr>
          <w:i/>
          <w:iCs/>
          <w:szCs w:val="18"/>
        </w:rPr>
        <w:t xml:space="preserve"> </w:t>
      </w:r>
    </w:p>
    <w:p w:rsidRPr="00D047C6" w:rsidR="00AC62BF" w:rsidP="00D047C6" w:rsidRDefault="004E3056" w14:paraId="4305CBED" w14:textId="3BBA201B">
      <w:pPr>
        <w:pStyle w:val="Lijstalinea"/>
        <w:numPr>
          <w:ilvl w:val="1"/>
          <w:numId w:val="1"/>
        </w:numPr>
        <w:spacing w:after="160" w:line="259" w:lineRule="auto"/>
        <w:ind w:left="720"/>
        <w:rPr>
          <w:szCs w:val="18"/>
        </w:rPr>
      </w:pPr>
      <w:r w:rsidRPr="00B95EAF">
        <w:rPr>
          <w:i/>
          <w:iCs/>
          <w:szCs w:val="18"/>
        </w:rPr>
        <w:t>H</w:t>
      </w:r>
      <w:r w:rsidRPr="00D047C6" w:rsidR="00AC62BF">
        <w:rPr>
          <w:i/>
          <w:iCs/>
          <w:szCs w:val="18"/>
        </w:rPr>
        <w:t xml:space="preserve">et versterken van de </w:t>
      </w:r>
      <w:proofErr w:type="spellStart"/>
      <w:r w:rsidRPr="00D047C6" w:rsidR="00AC62BF">
        <w:rPr>
          <w:i/>
          <w:iCs/>
          <w:szCs w:val="18"/>
        </w:rPr>
        <w:t>carry</w:t>
      </w:r>
      <w:proofErr w:type="spellEnd"/>
      <w:r w:rsidRPr="00D047C6" w:rsidR="00AC62BF">
        <w:rPr>
          <w:i/>
          <w:iCs/>
          <w:szCs w:val="18"/>
        </w:rPr>
        <w:t>-back.</w:t>
      </w:r>
      <w:r w:rsidRPr="00D047C6" w:rsidR="00E421BD">
        <w:rPr>
          <w:i/>
          <w:iCs/>
          <w:szCs w:val="18"/>
        </w:rPr>
        <w:t xml:space="preserve"> </w:t>
      </w:r>
      <w:r w:rsidRPr="00B95EAF" w:rsidR="00E421BD">
        <w:rPr>
          <w:szCs w:val="18"/>
        </w:rPr>
        <w:t xml:space="preserve">Carry-back maakt het mogelijk overschotten aan dispensatierechten te gebruiken om </w:t>
      </w:r>
      <w:r w:rsidRPr="00D047C6">
        <w:rPr>
          <w:szCs w:val="18"/>
        </w:rPr>
        <w:t xml:space="preserve">de </w:t>
      </w:r>
      <w:r w:rsidRPr="00B95EAF" w:rsidR="00E421BD">
        <w:rPr>
          <w:szCs w:val="18"/>
        </w:rPr>
        <w:t>in het verleden betaalde CO2-heffing terug te krijgen. De versterking behelst</w:t>
      </w:r>
      <w:r w:rsidRPr="00D047C6">
        <w:rPr>
          <w:szCs w:val="18"/>
        </w:rPr>
        <w:t>:</w:t>
      </w:r>
      <w:r w:rsidRPr="00B95EAF" w:rsidR="00E421BD">
        <w:rPr>
          <w:szCs w:val="18"/>
        </w:rPr>
        <w:t xml:space="preserve"> het mogelijk maken daarvan ook na 2030, wat nu is uitgesloten, en het automatisch verrekenen</w:t>
      </w:r>
      <w:r w:rsidRPr="00D047C6">
        <w:rPr>
          <w:szCs w:val="18"/>
        </w:rPr>
        <w:t xml:space="preserve"> van deze overschotten</w:t>
      </w:r>
      <w:r w:rsidRPr="00B95EAF" w:rsidR="00E421BD">
        <w:rPr>
          <w:szCs w:val="18"/>
        </w:rPr>
        <w:t xml:space="preserve"> me</w:t>
      </w:r>
      <w:r w:rsidRPr="00D047C6">
        <w:rPr>
          <w:szCs w:val="18"/>
        </w:rPr>
        <w:t>t</w:t>
      </w:r>
      <w:r w:rsidRPr="00B95EAF" w:rsidR="00E421BD">
        <w:rPr>
          <w:szCs w:val="18"/>
        </w:rPr>
        <w:t xml:space="preserve"> de meest waardevolle jaren (het effectieve tarief hangt af van de ETS-prijs, en kan van jaar tot jaar variëren).  </w:t>
      </w:r>
    </w:p>
    <w:p w:rsidR="00653803" w:rsidP="00E21932" w:rsidRDefault="009706CA" w14:paraId="5F9094C5" w14:textId="089B0E9C">
      <w:pPr>
        <w:pStyle w:val="Lijstalinea"/>
        <w:numPr>
          <w:ilvl w:val="0"/>
          <w:numId w:val="14"/>
        </w:numPr>
        <w:spacing w:after="160" w:line="259" w:lineRule="auto"/>
        <w:ind w:left="426"/>
        <w:rPr>
          <w:szCs w:val="18"/>
        </w:rPr>
      </w:pPr>
      <w:r w:rsidRPr="00B95EAF">
        <w:rPr>
          <w:szCs w:val="18"/>
        </w:rPr>
        <w:t xml:space="preserve">De maatregel om de </w:t>
      </w:r>
      <w:proofErr w:type="spellStart"/>
      <w:r w:rsidRPr="00B95EAF">
        <w:rPr>
          <w:szCs w:val="18"/>
        </w:rPr>
        <w:t>carry</w:t>
      </w:r>
      <w:proofErr w:type="spellEnd"/>
      <w:r w:rsidRPr="00B95EAF">
        <w:rPr>
          <w:szCs w:val="18"/>
        </w:rPr>
        <w:t>-back te versterken biedt bedrijven additionele flexibiliteit binnen de CO2-heffing en komt daarmee</w:t>
      </w:r>
      <w:r w:rsidR="00653803">
        <w:rPr>
          <w:szCs w:val="18"/>
        </w:rPr>
        <w:t xml:space="preserve"> gedeeltelijk</w:t>
      </w:r>
      <w:r w:rsidRPr="00B95EAF">
        <w:rPr>
          <w:szCs w:val="18"/>
        </w:rPr>
        <w:t xml:space="preserve"> tegemoet aan de motie Erkens.</w:t>
      </w:r>
      <w:r w:rsidR="00653803">
        <w:rPr>
          <w:szCs w:val="18"/>
        </w:rPr>
        <w:t xml:space="preserve"> Het</w:t>
      </w:r>
      <w:r w:rsidR="001B7638">
        <w:rPr>
          <w:szCs w:val="18"/>
        </w:rPr>
        <w:t xml:space="preserve"> volledig</w:t>
      </w:r>
      <w:r w:rsidR="00653803">
        <w:rPr>
          <w:szCs w:val="18"/>
        </w:rPr>
        <w:t xml:space="preserve"> ontzien van bedrijven zonder handelingsperspectief</w:t>
      </w:r>
      <w:r w:rsidR="001B7638">
        <w:rPr>
          <w:szCs w:val="18"/>
        </w:rPr>
        <w:t xml:space="preserve"> onder de heffing</w:t>
      </w:r>
      <w:r w:rsidR="00653803">
        <w:rPr>
          <w:szCs w:val="18"/>
        </w:rPr>
        <w:t xml:space="preserve"> zoals veel cluster 6 bedrijven</w:t>
      </w:r>
      <w:r w:rsidR="00FD6FC0">
        <w:rPr>
          <w:szCs w:val="18"/>
        </w:rPr>
        <w:t>,</w:t>
      </w:r>
      <w:r w:rsidR="00653803">
        <w:rPr>
          <w:szCs w:val="18"/>
        </w:rPr>
        <w:t xml:space="preserve"> blij</w:t>
      </w:r>
      <w:r w:rsidR="001B7638">
        <w:rPr>
          <w:szCs w:val="18"/>
        </w:rPr>
        <w:t>k</w:t>
      </w:r>
      <w:r w:rsidR="00653803">
        <w:rPr>
          <w:szCs w:val="18"/>
        </w:rPr>
        <w:t>t niet mogelijk.</w:t>
      </w:r>
      <w:r w:rsidR="001B7638">
        <w:rPr>
          <w:szCs w:val="18"/>
        </w:rPr>
        <w:t xml:space="preserve"> </w:t>
      </w:r>
    </w:p>
    <w:p w:rsidRPr="00653803" w:rsidR="00653803" w:rsidP="00653803" w:rsidRDefault="009706CA" w14:paraId="27F0FAF5" w14:textId="3F8C2C79">
      <w:pPr>
        <w:pStyle w:val="Lijstalinea"/>
        <w:numPr>
          <w:ilvl w:val="0"/>
          <w:numId w:val="14"/>
        </w:numPr>
        <w:spacing w:after="160" w:line="259" w:lineRule="auto"/>
        <w:ind w:left="426"/>
        <w:rPr>
          <w:szCs w:val="18"/>
        </w:rPr>
      </w:pPr>
      <w:r w:rsidRPr="00B95EAF">
        <w:rPr>
          <w:szCs w:val="18"/>
        </w:rPr>
        <w:t>De impact van deze maatregel is naar verwachting beperkt. Als er een impact is op verduurzaming is deze waarschijnlijk positief.</w:t>
      </w:r>
    </w:p>
    <w:sectPr w:rsidRPr="00653803" w:rsidR="0065380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B490A" w14:textId="77777777" w:rsidR="00CC7215" w:rsidRDefault="00CC7215" w:rsidP="0016016B">
      <w:pPr>
        <w:spacing w:line="240" w:lineRule="auto"/>
      </w:pPr>
      <w:r>
        <w:separator/>
      </w:r>
    </w:p>
  </w:endnote>
  <w:endnote w:type="continuationSeparator" w:id="0">
    <w:p w14:paraId="20375645" w14:textId="77777777" w:rsidR="00CC7215" w:rsidRDefault="00CC7215" w:rsidP="001601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5387288"/>
      <w:docPartObj>
        <w:docPartGallery w:val="Page Numbers (Bottom of Page)"/>
        <w:docPartUnique/>
      </w:docPartObj>
    </w:sdtPr>
    <w:sdtEndPr/>
    <w:sdtContent>
      <w:p w14:paraId="23BBD53E" w14:textId="14853178" w:rsidR="00E21932" w:rsidRDefault="00E21932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42BF4F" w14:textId="76227A54" w:rsidR="0016016B" w:rsidRDefault="0016016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B4F9C" w14:textId="77777777" w:rsidR="00CC7215" w:rsidRDefault="00CC7215" w:rsidP="0016016B">
      <w:pPr>
        <w:spacing w:line="240" w:lineRule="auto"/>
      </w:pPr>
      <w:r>
        <w:separator/>
      </w:r>
    </w:p>
  </w:footnote>
  <w:footnote w:type="continuationSeparator" w:id="0">
    <w:p w14:paraId="429CAC73" w14:textId="77777777" w:rsidR="00CC7215" w:rsidRDefault="00CC7215" w:rsidP="0016016B">
      <w:pPr>
        <w:spacing w:line="240" w:lineRule="auto"/>
      </w:pPr>
      <w:r>
        <w:continuationSeparator/>
      </w:r>
    </w:p>
  </w:footnote>
  <w:footnote w:id="1">
    <w:p w14:paraId="6F383A6E" w14:textId="25AC53B9" w:rsidR="004E3056" w:rsidRPr="00FD6FC0" w:rsidRDefault="004E3056">
      <w:pPr>
        <w:pStyle w:val="Voetnoottekst"/>
        <w:rPr>
          <w:sz w:val="13"/>
          <w:szCs w:val="13"/>
        </w:rPr>
      </w:pPr>
      <w:r w:rsidRPr="00FD6FC0">
        <w:rPr>
          <w:rStyle w:val="Voetnootmarkering"/>
          <w:sz w:val="13"/>
          <w:szCs w:val="13"/>
        </w:rPr>
        <w:footnoteRef/>
      </w:r>
      <w:r w:rsidRPr="00FD6FC0">
        <w:rPr>
          <w:sz w:val="13"/>
          <w:szCs w:val="13"/>
        </w:rPr>
        <w:t xml:space="preserve"> </w:t>
      </w:r>
      <w:hyperlink r:id="rId1" w:history="1">
        <w:r w:rsidRPr="00FD6FC0">
          <w:rPr>
            <w:color w:val="0000FF"/>
            <w:sz w:val="13"/>
            <w:szCs w:val="13"/>
            <w:u w:val="single"/>
          </w:rPr>
          <w:t>Motie van het lid Erkens c.s. over een hardheidsclausule voor de nationale marginale CO2-heffing gericht op vermijdbare uitstoot (1).pdf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F545A"/>
    <w:multiLevelType w:val="hybridMultilevel"/>
    <w:tmpl w:val="32E029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D564F"/>
    <w:multiLevelType w:val="hybridMultilevel"/>
    <w:tmpl w:val="0290BE4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8124C"/>
    <w:multiLevelType w:val="hybridMultilevel"/>
    <w:tmpl w:val="0444125C"/>
    <w:lvl w:ilvl="0" w:tplc="0413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D4024"/>
    <w:multiLevelType w:val="hybridMultilevel"/>
    <w:tmpl w:val="D2F20C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177E0A"/>
    <w:multiLevelType w:val="hybridMultilevel"/>
    <w:tmpl w:val="93161A8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0E1655"/>
    <w:multiLevelType w:val="hybridMultilevel"/>
    <w:tmpl w:val="CE8097A6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64B710E"/>
    <w:multiLevelType w:val="hybridMultilevel"/>
    <w:tmpl w:val="BE5414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8725E"/>
    <w:multiLevelType w:val="hybridMultilevel"/>
    <w:tmpl w:val="83F4B77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3263EF"/>
    <w:multiLevelType w:val="hybridMultilevel"/>
    <w:tmpl w:val="9C1C86E6"/>
    <w:lvl w:ilvl="0" w:tplc="D186A06A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F91D38"/>
    <w:multiLevelType w:val="hybridMultilevel"/>
    <w:tmpl w:val="044896D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230A72"/>
    <w:multiLevelType w:val="hybridMultilevel"/>
    <w:tmpl w:val="8556A1F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1CA5191"/>
    <w:multiLevelType w:val="hybridMultilevel"/>
    <w:tmpl w:val="FBCA1A6C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C123A0"/>
    <w:multiLevelType w:val="hybridMultilevel"/>
    <w:tmpl w:val="C50CE68A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11C041E"/>
    <w:multiLevelType w:val="hybridMultilevel"/>
    <w:tmpl w:val="D696FA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EB322C"/>
    <w:multiLevelType w:val="hybridMultilevel"/>
    <w:tmpl w:val="A20423B4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8756586"/>
    <w:multiLevelType w:val="hybridMultilevel"/>
    <w:tmpl w:val="5A38A81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AC3ACF"/>
    <w:multiLevelType w:val="hybridMultilevel"/>
    <w:tmpl w:val="9704082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2920561">
    <w:abstractNumId w:val="8"/>
  </w:num>
  <w:num w:numId="2" w16cid:durableId="1331102927">
    <w:abstractNumId w:val="0"/>
  </w:num>
  <w:num w:numId="3" w16cid:durableId="1488783958">
    <w:abstractNumId w:val="3"/>
  </w:num>
  <w:num w:numId="4" w16cid:durableId="411202394">
    <w:abstractNumId w:val="2"/>
  </w:num>
  <w:num w:numId="5" w16cid:durableId="1980768370">
    <w:abstractNumId w:val="11"/>
  </w:num>
  <w:num w:numId="6" w16cid:durableId="1960718475">
    <w:abstractNumId w:val="12"/>
  </w:num>
  <w:num w:numId="7" w16cid:durableId="2084986801">
    <w:abstractNumId w:val="14"/>
  </w:num>
  <w:num w:numId="8" w16cid:durableId="604193494">
    <w:abstractNumId w:val="6"/>
  </w:num>
  <w:num w:numId="9" w16cid:durableId="1943028436">
    <w:abstractNumId w:val="9"/>
  </w:num>
  <w:num w:numId="10" w16cid:durableId="2126458981">
    <w:abstractNumId w:val="7"/>
  </w:num>
  <w:num w:numId="11" w16cid:durableId="1939168165">
    <w:abstractNumId w:val="1"/>
  </w:num>
  <w:num w:numId="12" w16cid:durableId="2104373746">
    <w:abstractNumId w:val="10"/>
  </w:num>
  <w:num w:numId="13" w16cid:durableId="2101826928">
    <w:abstractNumId w:val="15"/>
  </w:num>
  <w:num w:numId="14" w16cid:durableId="1595671536">
    <w:abstractNumId w:val="5"/>
  </w:num>
  <w:num w:numId="15" w16cid:durableId="966273619">
    <w:abstractNumId w:val="13"/>
  </w:num>
  <w:num w:numId="16" w16cid:durableId="235166605">
    <w:abstractNumId w:val="16"/>
  </w:num>
  <w:num w:numId="17" w16cid:durableId="2076929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16B"/>
    <w:rsid w:val="00034B1F"/>
    <w:rsid w:val="000409A7"/>
    <w:rsid w:val="0004606E"/>
    <w:rsid w:val="00074ECA"/>
    <w:rsid w:val="00080C29"/>
    <w:rsid w:val="00081EE2"/>
    <w:rsid w:val="000B713E"/>
    <w:rsid w:val="00127BDD"/>
    <w:rsid w:val="001364BE"/>
    <w:rsid w:val="00142D77"/>
    <w:rsid w:val="0016016B"/>
    <w:rsid w:val="001664F9"/>
    <w:rsid w:val="001925D7"/>
    <w:rsid w:val="001B7638"/>
    <w:rsid w:val="00237AA0"/>
    <w:rsid w:val="002404AC"/>
    <w:rsid w:val="00242DF9"/>
    <w:rsid w:val="002731AE"/>
    <w:rsid w:val="00296136"/>
    <w:rsid w:val="002B03E0"/>
    <w:rsid w:val="002B1553"/>
    <w:rsid w:val="002B255F"/>
    <w:rsid w:val="002C7C95"/>
    <w:rsid w:val="002D5EF2"/>
    <w:rsid w:val="002D6EF7"/>
    <w:rsid w:val="002E1D65"/>
    <w:rsid w:val="003678A7"/>
    <w:rsid w:val="003B5BA7"/>
    <w:rsid w:val="003C481F"/>
    <w:rsid w:val="003F3C4D"/>
    <w:rsid w:val="004213FB"/>
    <w:rsid w:val="00425871"/>
    <w:rsid w:val="00432B33"/>
    <w:rsid w:val="004515EF"/>
    <w:rsid w:val="00455CF2"/>
    <w:rsid w:val="00464CAC"/>
    <w:rsid w:val="004D2F8A"/>
    <w:rsid w:val="004E3056"/>
    <w:rsid w:val="004F02AE"/>
    <w:rsid w:val="005045CC"/>
    <w:rsid w:val="00512D09"/>
    <w:rsid w:val="00582B73"/>
    <w:rsid w:val="005C235D"/>
    <w:rsid w:val="005F4341"/>
    <w:rsid w:val="005F4907"/>
    <w:rsid w:val="005F669F"/>
    <w:rsid w:val="00605891"/>
    <w:rsid w:val="00642FFE"/>
    <w:rsid w:val="00653803"/>
    <w:rsid w:val="00683A6E"/>
    <w:rsid w:val="00684F99"/>
    <w:rsid w:val="006B3599"/>
    <w:rsid w:val="006B3722"/>
    <w:rsid w:val="006B3BCD"/>
    <w:rsid w:val="006E3296"/>
    <w:rsid w:val="00704F17"/>
    <w:rsid w:val="00736825"/>
    <w:rsid w:val="007854E0"/>
    <w:rsid w:val="007A5013"/>
    <w:rsid w:val="007D2836"/>
    <w:rsid w:val="007D316E"/>
    <w:rsid w:val="007F0878"/>
    <w:rsid w:val="007F3192"/>
    <w:rsid w:val="00806B7E"/>
    <w:rsid w:val="00822A0E"/>
    <w:rsid w:val="00822A5D"/>
    <w:rsid w:val="00824333"/>
    <w:rsid w:val="008273D2"/>
    <w:rsid w:val="008523E5"/>
    <w:rsid w:val="0086155A"/>
    <w:rsid w:val="008A3BDD"/>
    <w:rsid w:val="008C6084"/>
    <w:rsid w:val="008D5BDE"/>
    <w:rsid w:val="008E1EF5"/>
    <w:rsid w:val="008E36A3"/>
    <w:rsid w:val="0092562F"/>
    <w:rsid w:val="009706CA"/>
    <w:rsid w:val="009B02BB"/>
    <w:rsid w:val="009C50BE"/>
    <w:rsid w:val="009E231F"/>
    <w:rsid w:val="009F4FC8"/>
    <w:rsid w:val="00A170C6"/>
    <w:rsid w:val="00A260D4"/>
    <w:rsid w:val="00A53935"/>
    <w:rsid w:val="00A84A49"/>
    <w:rsid w:val="00AC62BF"/>
    <w:rsid w:val="00AE133E"/>
    <w:rsid w:val="00AE26E5"/>
    <w:rsid w:val="00AF6B0F"/>
    <w:rsid w:val="00B004E9"/>
    <w:rsid w:val="00B26620"/>
    <w:rsid w:val="00B62A60"/>
    <w:rsid w:val="00B832B9"/>
    <w:rsid w:val="00B95EAF"/>
    <w:rsid w:val="00BC16D5"/>
    <w:rsid w:val="00BD5E17"/>
    <w:rsid w:val="00BE2CAB"/>
    <w:rsid w:val="00C1155C"/>
    <w:rsid w:val="00C76256"/>
    <w:rsid w:val="00CC7215"/>
    <w:rsid w:val="00D047C6"/>
    <w:rsid w:val="00D136E0"/>
    <w:rsid w:val="00D16964"/>
    <w:rsid w:val="00D71B50"/>
    <w:rsid w:val="00D77BB9"/>
    <w:rsid w:val="00D8331E"/>
    <w:rsid w:val="00D85C91"/>
    <w:rsid w:val="00DB06C5"/>
    <w:rsid w:val="00DC6A18"/>
    <w:rsid w:val="00DF0D7B"/>
    <w:rsid w:val="00E21932"/>
    <w:rsid w:val="00E421BD"/>
    <w:rsid w:val="00E7111D"/>
    <w:rsid w:val="00E77198"/>
    <w:rsid w:val="00E9304D"/>
    <w:rsid w:val="00EE6102"/>
    <w:rsid w:val="00EE78E5"/>
    <w:rsid w:val="00F0436F"/>
    <w:rsid w:val="00F05F26"/>
    <w:rsid w:val="00F17B8E"/>
    <w:rsid w:val="00F245CF"/>
    <w:rsid w:val="00F26AC2"/>
    <w:rsid w:val="00F35AC9"/>
    <w:rsid w:val="00F45187"/>
    <w:rsid w:val="00FC26ED"/>
    <w:rsid w:val="00FC3CB6"/>
    <w:rsid w:val="00FD6FC0"/>
    <w:rsid w:val="0CC08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BCC6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6016B"/>
    <w:pPr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1601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60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601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601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601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601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601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601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601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601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601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601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6016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6016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6016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6016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6016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6016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601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60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601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601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60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6016B"/>
    <w:rPr>
      <w:i/>
      <w:iCs/>
      <w:color w:val="404040" w:themeColor="text1" w:themeTint="BF"/>
    </w:rPr>
  </w:style>
  <w:style w:type="paragraph" w:styleId="Lijstalinea">
    <w:name w:val="List Paragraph"/>
    <w:aliases w:val="Dot pt,F5 List Paragraph,List Paragraph1,No Spacing1,List Paragraph Char Char Char,Indicator Text,Numbered Para 1,Bullet 1,Bullet Points,Párrafo de lista,MAIN CONTENT,Recommendation,List Paragraph2,Normal numbere,Colorful List - Accent 11"/>
    <w:basedOn w:val="Standaard"/>
    <w:link w:val="LijstalineaChar"/>
    <w:uiPriority w:val="34"/>
    <w:qFormat/>
    <w:rsid w:val="0016016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6016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601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6016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6016B"/>
    <w:rPr>
      <w:b/>
      <w:bCs/>
      <w:smallCaps/>
      <w:color w:val="0F4761" w:themeColor="accent1" w:themeShade="BF"/>
      <w:spacing w:val="5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6016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6016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6016B"/>
    <w:rPr>
      <w:rFonts w:ascii="Verdana" w:eastAsia="Times New Roman" w:hAnsi="Verdana" w:cs="Times New Roman"/>
      <w:kern w:val="0"/>
      <w:sz w:val="20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16016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6016B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Revisie">
    <w:name w:val="Revision"/>
    <w:hidden/>
    <w:uiPriority w:val="99"/>
    <w:semiHidden/>
    <w:rsid w:val="009C50BE"/>
    <w:pPr>
      <w:spacing w:after="0" w:line="240" w:lineRule="auto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77BB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77BB9"/>
    <w:rPr>
      <w:rFonts w:ascii="Verdana" w:eastAsia="Times New Roman" w:hAnsi="Verdana" w:cs="Times New Roman"/>
      <w:b/>
      <w:bCs/>
      <w:kern w:val="0"/>
      <w:sz w:val="20"/>
      <w:szCs w:val="20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E2193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21932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Geenafstand">
    <w:name w:val="No Spacing"/>
    <w:uiPriority w:val="1"/>
    <w:qFormat/>
    <w:rsid w:val="00E21932"/>
    <w:pPr>
      <w:spacing w:after="0" w:line="240" w:lineRule="auto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E3056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E3056"/>
    <w:rPr>
      <w:rFonts w:ascii="Verdana" w:eastAsia="Times New Roman" w:hAnsi="Verdana" w:cs="Times New Roman"/>
      <w:kern w:val="0"/>
      <w:sz w:val="20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E3056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4E3056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E3056"/>
    <w:rPr>
      <w:color w:val="605E5C"/>
      <w:shd w:val="clear" w:color="auto" w:fill="E1DFDD"/>
    </w:rPr>
  </w:style>
  <w:style w:type="character" w:customStyle="1" w:styleId="LijstalineaChar">
    <w:name w:val="Lijstalinea Char"/>
    <w:aliases w:val="Dot pt Char,F5 List Paragraph Char,List Paragraph1 Char,No Spacing1 Char,List Paragraph Char Char Char Char,Indicator Text Char,Numbered Para 1 Char,Bullet 1 Char,Bullet Points Char,Párrafo de lista Char,MAIN CONTENT Char"/>
    <w:basedOn w:val="Standaardalinea-lettertype"/>
    <w:link w:val="Lijstalinea"/>
    <w:uiPriority w:val="34"/>
    <w:qFormat/>
    <w:locked/>
    <w:rsid w:val="007D2836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6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0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33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92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5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50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6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35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7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54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0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2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36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0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96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21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80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4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1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0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29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8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49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16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49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9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28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9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33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7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2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82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55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0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9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31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61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53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27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9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23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5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45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7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5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18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1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9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86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99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2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51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05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44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94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50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9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4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6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54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7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0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6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22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7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48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7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82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94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91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1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14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5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54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6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50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6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1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44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23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3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81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5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87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8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file://prof_p_cw_odc.cicwp.nl/userdata_cifs_p_cw_odc_001/verhoeffe/Downloads/Motie%20van%20het%20lid%20Erkens%20c.s.%20over%20een%20hardheidsclausule%20voor%20de%20nationale%20marginale%20CO2-heffing%20gericht%20op%20vermijdbare%20uitstoot%20%20(1).pdf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1167</ap:Words>
  <ap:Characters>6420</ap:Characters>
  <ap:DocSecurity>0</ap:DocSecurity>
  <ap:Lines>53</ap:Lines>
  <ap:Paragraphs>15</ap:Paragraphs>
  <ap:ScaleCrop>false</ap:ScaleCrop>
  <ap:LinksUpToDate>false</ap:LinksUpToDate>
  <ap:CharactersWithSpaces>7572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2025-06-02T14:23:00.0000000Z</dcterms:created>
  <dcterms:modified xsi:type="dcterms:W3CDTF">2025-06-02T14:23:00.0000000Z</dcterms:modified>
  <version/>
  <category/>
</coreProperties>
</file>