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22677" w:type="dxa"/>
        <w:tblInd w:w="-911" w:type="dxa"/>
        <w:tblBorders>
          <w:top w:val="single" w:color="FFFFFF" w:themeColor="background1" w:sz="48" w:space="0"/>
          <w:left w:val="single" w:color="FFFFFF" w:themeColor="background1" w:sz="48" w:space="0"/>
          <w:bottom w:val="single" w:color="FFFFFF" w:themeColor="background1" w:sz="48" w:space="0"/>
          <w:right w:val="single" w:color="FFFFFF" w:themeColor="background1" w:sz="48" w:space="0"/>
          <w:insideH w:val="single" w:color="FFFFFF" w:themeColor="background1" w:sz="48" w:space="0"/>
          <w:insideV w:val="single" w:color="FFFFFF" w:themeColor="background1" w:sz="48" w:space="0"/>
        </w:tblBorders>
        <w:tblLook w:val="04A0" w:firstRow="1" w:lastRow="0" w:firstColumn="1" w:lastColumn="0" w:noHBand="0" w:noVBand="1"/>
      </w:tblPr>
      <w:tblGrid>
        <w:gridCol w:w="851"/>
        <w:gridCol w:w="3110"/>
        <w:gridCol w:w="3110"/>
        <w:gridCol w:w="3064"/>
        <w:gridCol w:w="46"/>
        <w:gridCol w:w="3013"/>
        <w:gridCol w:w="96"/>
        <w:gridCol w:w="3115"/>
        <w:gridCol w:w="3111"/>
        <w:gridCol w:w="3161"/>
      </w:tblGrid>
      <w:tr w:rsidRPr="0009549F" w:rsidR="00114D87" w:rsidTr="0C44B9A3" w14:paraId="2791719B" w14:textId="246F0E7B">
        <w:trPr>
          <w:trHeight w:val="589"/>
        </w:trPr>
        <w:tc>
          <w:tcPr>
            <w:tcW w:w="851" w:type="dxa"/>
          </w:tcPr>
          <w:p w:rsidRPr="0009549F" w:rsidR="0009549F" w:rsidP="00DC5E5A" w:rsidRDefault="0076077C" w14:paraId="0FA676E3" w14:textId="473096E5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Stuk 17A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1F3864" w:themeFill="accent5" w:themeFillShade="80"/>
          </w:tcPr>
          <w:p w:rsidRPr="0009549F" w:rsidR="0009549F" w:rsidP="00DC5E5A" w:rsidRDefault="0009549F" w14:paraId="2288EFAA" w14:textId="32CDE535">
            <w:pPr>
              <w:rPr>
                <w:b/>
                <w:bCs/>
                <w:szCs w:val="18"/>
              </w:rPr>
            </w:pPr>
            <w:r w:rsidRPr="0009549F">
              <w:rPr>
                <w:b/>
                <w:bCs/>
                <w:szCs w:val="18"/>
              </w:rPr>
              <w:t>Invoeren circulaireplasticnorm</w:t>
            </w:r>
          </w:p>
        </w:tc>
        <w:tc>
          <w:tcPr>
            <w:tcW w:w="9233" w:type="dxa"/>
            <w:gridSpan w:val="4"/>
            <w:tcBorders>
              <w:left w:val="thinThickThinLargeGap" w:color="auto" w:sz="24" w:space="0"/>
            </w:tcBorders>
            <w:shd w:val="clear" w:color="auto" w:fill="1F3864" w:themeFill="accent5" w:themeFillShade="80"/>
          </w:tcPr>
          <w:p w:rsidRPr="0009549F" w:rsidR="0009549F" w:rsidP="007F5678" w:rsidRDefault="0009549F" w14:paraId="1630C390" w14:textId="727DCDC4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09549F">
              <w:rPr>
                <w:b/>
                <w:bCs/>
                <w:szCs w:val="18"/>
              </w:rPr>
              <w:t>Invoeren polymerenheffing</w:t>
            </w:r>
          </w:p>
        </w:tc>
        <w:tc>
          <w:tcPr>
            <w:tcW w:w="3211" w:type="dxa"/>
            <w:gridSpan w:val="2"/>
            <w:shd w:val="clear" w:color="auto" w:fill="1F3864" w:themeFill="accent5" w:themeFillShade="80"/>
          </w:tcPr>
          <w:p w:rsidRPr="0009549F" w:rsidR="0009549F" w:rsidP="00DC5E5A" w:rsidRDefault="0009549F" w14:paraId="38222F94" w14:textId="359E5507">
            <w:pPr>
              <w:rPr>
                <w:b/>
                <w:bCs/>
                <w:szCs w:val="18"/>
                <w:lang w:val="nl-NL"/>
              </w:rPr>
            </w:pPr>
            <w:r w:rsidRPr="0009549F">
              <w:rPr>
                <w:b/>
                <w:bCs/>
                <w:szCs w:val="18"/>
                <w:lang w:val="nl-NL"/>
              </w:rPr>
              <w:t>Heffing op plastic eindproduct(en)</w:t>
            </w:r>
          </w:p>
        </w:tc>
        <w:tc>
          <w:tcPr>
            <w:tcW w:w="6272" w:type="dxa"/>
            <w:gridSpan w:val="2"/>
            <w:shd w:val="clear" w:color="auto" w:fill="1F3864" w:themeFill="accent5" w:themeFillShade="80"/>
          </w:tcPr>
          <w:p w:rsidRPr="0009549F" w:rsidR="0009549F" w:rsidP="00DC5E5A" w:rsidRDefault="0009549F" w14:paraId="538B5142" w14:textId="1EC3D145">
            <w:pPr>
              <w:rPr>
                <w:b/>
                <w:bCs/>
                <w:szCs w:val="18"/>
                <w:lang w:val="nl-NL"/>
              </w:rPr>
            </w:pPr>
            <w:r w:rsidRPr="0009549F">
              <w:rPr>
                <w:b/>
                <w:bCs/>
                <w:szCs w:val="18"/>
                <w:lang w:val="nl-NL"/>
              </w:rPr>
              <w:t>Aanscherping beprijzing afval</w:t>
            </w:r>
          </w:p>
        </w:tc>
      </w:tr>
      <w:tr w:rsidRPr="0009549F" w:rsidR="00114D87" w:rsidTr="0C44B9A3" w14:paraId="28168435" w14:textId="22B9433F">
        <w:trPr>
          <w:trHeight w:val="741"/>
        </w:trPr>
        <w:tc>
          <w:tcPr>
            <w:tcW w:w="851" w:type="dxa"/>
          </w:tcPr>
          <w:p w:rsidRPr="0009549F" w:rsidR="0009549F" w:rsidP="00DC5E5A" w:rsidRDefault="0009549F" w14:paraId="11BFFDDC" w14:textId="15542E42">
            <w:pPr>
              <w:rPr>
                <w:b/>
                <w:bCs/>
                <w:szCs w:val="18"/>
                <w:lang w:val="nl-NL"/>
              </w:rPr>
            </w:pPr>
          </w:p>
        </w:tc>
        <w:tc>
          <w:tcPr>
            <w:tcW w:w="3110" w:type="dxa"/>
            <w:tcBorders>
              <w:bottom w:val="single" w:color="FFFFFF" w:themeColor="background1" w:sz="48" w:space="0"/>
              <w:right w:val="thinThickThinLargeGap" w:color="auto" w:sz="24" w:space="0"/>
            </w:tcBorders>
            <w:shd w:val="clear" w:color="auto" w:fill="4472C4" w:themeFill="accent5"/>
          </w:tcPr>
          <w:p w:rsidRPr="00514CF6" w:rsidR="0009549F" w:rsidP="00DC5E5A" w:rsidRDefault="0009549F" w14:paraId="2BD4D5BC" w14:textId="70C090F2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Invoeren circulaireplasticnorm</w:t>
            </w:r>
          </w:p>
        </w:tc>
        <w:tc>
          <w:tcPr>
            <w:tcW w:w="3110" w:type="dxa"/>
            <w:tcBorders>
              <w:left w:val="thinThickThinLargeGap" w:color="auto" w:sz="24" w:space="0"/>
              <w:bottom w:val="single" w:color="FFFFFF" w:themeColor="background1" w:sz="48" w:space="0"/>
            </w:tcBorders>
            <w:shd w:val="clear" w:color="auto" w:fill="4472C4" w:themeFill="accent5"/>
          </w:tcPr>
          <w:p w:rsidRPr="00514CF6" w:rsidR="0009549F" w:rsidP="00DC5E5A" w:rsidRDefault="0009549F" w14:paraId="0D7A9D64" w14:textId="7A5F0F24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productie van polymeren</w:t>
            </w:r>
          </w:p>
        </w:tc>
        <w:tc>
          <w:tcPr>
            <w:tcW w:w="3064" w:type="dxa"/>
            <w:shd w:val="clear" w:color="auto" w:fill="4472C4" w:themeFill="accent5"/>
          </w:tcPr>
          <w:p w:rsidRPr="00514CF6" w:rsidR="0009549F" w:rsidP="00DC5E5A" w:rsidRDefault="0009549F" w14:paraId="33F4CF35" w14:textId="6403318F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verwerking van polymeren</w:t>
            </w:r>
          </w:p>
        </w:tc>
        <w:tc>
          <w:tcPr>
            <w:tcW w:w="3059" w:type="dxa"/>
            <w:gridSpan w:val="2"/>
            <w:shd w:val="clear" w:color="auto" w:fill="4472C4" w:themeFill="accent5"/>
          </w:tcPr>
          <w:p w:rsidRPr="00514CF6" w:rsidR="0009549F" w:rsidP="00DC5E5A" w:rsidRDefault="0009549F" w14:paraId="796B5A64" w14:textId="190932D8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Heffing aan de marge </w:t>
            </w:r>
          </w:p>
        </w:tc>
        <w:tc>
          <w:tcPr>
            <w:tcW w:w="3211" w:type="dxa"/>
            <w:gridSpan w:val="2"/>
            <w:shd w:val="clear" w:color="auto" w:fill="4472C4" w:themeFill="accent5"/>
          </w:tcPr>
          <w:p w:rsidRPr="00514CF6" w:rsidR="0009549F" w:rsidP="00DC5E5A" w:rsidRDefault="0009549F" w14:paraId="51BE01D7" w14:textId="60A20C6D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Plastic </w:t>
            </w:r>
            <w:r w:rsidR="004F0DDC">
              <w:rPr>
                <w:b/>
                <w:bCs/>
                <w:color w:val="FFFFFF" w:themeColor="background1"/>
                <w:szCs w:val="18"/>
                <w:lang w:val="nl-NL"/>
              </w:rPr>
              <w:t>verpakkingen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belasting</w:t>
            </w:r>
          </w:p>
        </w:tc>
        <w:tc>
          <w:tcPr>
            <w:tcW w:w="3111" w:type="dxa"/>
            <w:shd w:val="clear" w:color="auto" w:fill="4472C4" w:themeFill="accent5"/>
          </w:tcPr>
          <w:p w:rsidRPr="00514CF6" w:rsidR="0009549F" w:rsidP="00DC5E5A" w:rsidRDefault="0009549F" w14:paraId="6DCDA6D7" w14:textId="1D247D17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Aanscherping afvalstoffenbelasting </w:t>
            </w:r>
          </w:p>
        </w:tc>
        <w:tc>
          <w:tcPr>
            <w:tcW w:w="3161" w:type="dxa"/>
            <w:shd w:val="clear" w:color="auto" w:fill="4472C4" w:themeFill="accent5"/>
          </w:tcPr>
          <w:p w:rsidRPr="00514CF6" w:rsidR="0009549F" w:rsidP="00DC5E5A" w:rsidRDefault="0009549F" w14:paraId="38557B70" w14:textId="6C0D4CBB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CO</w:t>
            </w:r>
            <w:r w:rsidRPr="00514CF6">
              <w:rPr>
                <w:b/>
                <w:bCs/>
                <w:color w:val="FFFFFF" w:themeColor="background1"/>
                <w:szCs w:val="18"/>
                <w:vertAlign w:val="subscript"/>
                <w:lang w:val="nl-NL"/>
              </w:rPr>
              <w:t>2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-heffing </w:t>
            </w:r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afvalverbrandings</w:t>
            </w:r>
            <w:r w:rsidR="004265DD">
              <w:rPr>
                <w:b/>
                <w:bCs/>
                <w:color w:val="FFFFFF" w:themeColor="background1"/>
                <w:szCs w:val="18"/>
                <w:lang w:val="nl-NL"/>
              </w:rPr>
              <w:t>-</w:t>
            </w:r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installaties (</w:t>
            </w:r>
            <w:r w:rsidRPr="00514CF6" w:rsidR="004C5B9A">
              <w:rPr>
                <w:b/>
                <w:bCs/>
                <w:color w:val="FFFFFF" w:themeColor="background1"/>
                <w:szCs w:val="18"/>
                <w:lang w:val="nl-NL"/>
              </w:rPr>
              <w:t>AVIs</w:t>
            </w:r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)</w:t>
            </w:r>
          </w:p>
        </w:tc>
      </w:tr>
      <w:tr w:rsidRPr="006A5CED" w:rsidR="004E33DB" w:rsidTr="0C44B9A3" w14:paraId="0263476C" w14:textId="426D5054">
        <w:trPr>
          <w:cantSplit/>
          <w:trHeight w:val="304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767BFD" w:rsidP="00767BFD" w:rsidRDefault="00767BFD" w14:paraId="02DAAEC3" w14:textId="796384B4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Beschrijving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09549F" w:rsidR="00767BFD" w:rsidP="00767BFD" w:rsidRDefault="00767BFD" w14:paraId="040054FF" w14:textId="7B1B6E25">
            <w:pPr>
              <w:rPr>
                <w:lang w:val="nl-NL"/>
              </w:rPr>
            </w:pPr>
            <w:r w:rsidRPr="03BB75B5">
              <w:rPr>
                <w:lang w:val="nl-NL"/>
              </w:rPr>
              <w:t>Verplichte toepassing van 25-30% biogebaseerd en/of recyclaat bij Nederlandse verwerkers naar plastic producten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09549F" w:rsidR="00767BFD" w:rsidP="00767BFD" w:rsidRDefault="00767BFD" w14:paraId="1A6F2996" w14:textId="3634FD9F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Invoering van vlakke heffing op in Nederland geproduceerde fossiele polymeren. Geen heffing op import van polymeren. Doelgroep is de polymeerproducent (ca. 15 bedrijven).</w:t>
            </w:r>
          </w:p>
        </w:tc>
        <w:tc>
          <w:tcPr>
            <w:tcW w:w="3064" w:type="dxa"/>
            <w:shd w:val="clear" w:color="auto" w:fill="DEEAF6" w:themeFill="accent1" w:themeFillTint="33"/>
          </w:tcPr>
          <w:p w:rsidRPr="0009549F" w:rsidR="00767BFD" w:rsidP="00767BFD" w:rsidRDefault="00767BFD" w14:paraId="359B228E" w14:textId="6DD80EBC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Invoering van vlakke heffing op in Nederland verwerkte fossiele polymeren. Geen heffing op import van plastic producten. Doelgroep is de polymeerverwerker (ca. 900-1200 bedrijven, veelal MKB).</w:t>
            </w:r>
          </w:p>
        </w:tc>
        <w:tc>
          <w:tcPr>
            <w:tcW w:w="3059" w:type="dxa"/>
            <w:gridSpan w:val="2"/>
            <w:shd w:val="clear" w:color="auto" w:fill="DEEAF6" w:themeFill="accent1" w:themeFillTint="33"/>
          </w:tcPr>
          <w:p w:rsidRPr="006341FA" w:rsidR="00767BFD" w:rsidP="00767BFD" w:rsidRDefault="00767BFD" w14:paraId="59949BF6" w14:textId="6D7CDBD4">
            <w:pPr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Binnen het wetsvoorstel voor een circulaireplasticnorm zal het handelssysteem vervangen worden door een heffing die betaald wordt over het aandeel fossiele polymeren onder de vastgestelde normhoogte. Doelgroep is </w:t>
            </w:r>
            <w:r w:rsidRPr="009172FF">
              <w:rPr>
                <w:szCs w:val="18"/>
                <w:lang w:val="nl-NL"/>
              </w:rPr>
              <w:t>de polymeerverwerker (ca. 900-1200 bedrijven, veelal MKB).</w:t>
            </w:r>
          </w:p>
        </w:tc>
        <w:tc>
          <w:tcPr>
            <w:tcW w:w="3211" w:type="dxa"/>
            <w:gridSpan w:val="2"/>
            <w:shd w:val="clear" w:color="auto" w:fill="DEEAF6" w:themeFill="accent1" w:themeFillTint="33"/>
          </w:tcPr>
          <w:p w:rsidR="00767BFD" w:rsidP="00767BFD" w:rsidRDefault="00767BFD" w14:paraId="41BEBE07" w14:textId="77777777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Heffing op</w:t>
            </w:r>
            <w:r>
              <w:rPr>
                <w:szCs w:val="18"/>
                <w:lang w:val="nl-NL"/>
              </w:rPr>
              <w:t xml:space="preserve"> </w:t>
            </w:r>
            <w:r w:rsidRPr="009172FF">
              <w:rPr>
                <w:szCs w:val="18"/>
                <w:lang w:val="nl-NL"/>
              </w:rPr>
              <w:t xml:space="preserve">plastic </w:t>
            </w:r>
            <w:r>
              <w:rPr>
                <w:szCs w:val="18"/>
                <w:lang w:val="nl-NL"/>
              </w:rPr>
              <w:t>in specifieke productgroepen</w:t>
            </w:r>
            <w:r w:rsidRPr="009172FF">
              <w:rPr>
                <w:szCs w:val="18"/>
                <w:lang w:val="nl-NL"/>
              </w:rPr>
              <w:t xml:space="preserve"> die in Nederland op de markt worden gebracht.</w:t>
            </w:r>
            <w:r w:rsidRPr="009172FF">
              <w:rPr>
                <w:lang w:val="nl-NL"/>
              </w:rPr>
              <w:t xml:space="preserve"> </w:t>
            </w:r>
            <w:r w:rsidRPr="009172FF">
              <w:rPr>
                <w:szCs w:val="18"/>
                <w:lang w:val="nl-NL"/>
              </w:rPr>
              <w:t xml:space="preserve">Denkbaar zijn </w:t>
            </w:r>
            <w:r>
              <w:rPr>
                <w:szCs w:val="18"/>
                <w:lang w:val="nl-NL"/>
              </w:rPr>
              <w:t xml:space="preserve">verpakkingen, bouw, automotive, elektronica, landbouw en textiel. Doelgroep is de eindproducent of </w:t>
            </w:r>
            <w:r w:rsidRPr="006767B1">
              <w:rPr>
                <w:i/>
                <w:iCs/>
                <w:szCs w:val="18"/>
                <w:lang w:val="nl-NL"/>
              </w:rPr>
              <w:t>brand owner</w:t>
            </w:r>
            <w:r>
              <w:rPr>
                <w:szCs w:val="18"/>
                <w:lang w:val="nl-NL"/>
              </w:rPr>
              <w:t>.</w:t>
            </w:r>
          </w:p>
          <w:p w:rsidR="00114D87" w:rsidP="00767BFD" w:rsidRDefault="00114D87" w14:paraId="64481AFD" w14:textId="77777777">
            <w:pPr>
              <w:rPr>
                <w:szCs w:val="18"/>
                <w:lang w:val="nl-NL"/>
              </w:rPr>
            </w:pPr>
          </w:p>
          <w:p w:rsidRPr="0009549F" w:rsidR="00114D87" w:rsidP="00767BFD" w:rsidRDefault="00114D87" w14:paraId="1B8981DF" w14:textId="3C64B59A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De beoordeling ziet toe op een plastic verpakkingenbelasting. Dit is de meest concrete optie, maar ook andere opties worden onderzocht.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2934A4" w:rsidR="00767BFD" w:rsidP="002934A4" w:rsidRDefault="00767BFD" w14:paraId="0A5D7310" w14:textId="6221ACE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>Grondslagverbreding door afschaffen vrijstellingen voor bodemas</w:t>
            </w:r>
            <w:r w:rsidR="00AF0AEC">
              <w:rPr>
                <w:szCs w:val="18"/>
                <w:lang w:val="nl-NL"/>
              </w:rPr>
              <w:t xml:space="preserve"> (m.u.v. reinigingsresidu)</w:t>
            </w:r>
            <w:r w:rsidRPr="00404E49">
              <w:rPr>
                <w:szCs w:val="18"/>
                <w:lang w:val="nl-NL"/>
              </w:rPr>
              <w:t>, zuiveringsslib</w:t>
            </w:r>
            <w:r>
              <w:rPr>
                <w:szCs w:val="18"/>
                <w:lang w:val="nl-NL"/>
              </w:rPr>
              <w:t xml:space="preserve"> en</w:t>
            </w:r>
            <w:r w:rsidRPr="00404E49">
              <w:rPr>
                <w:szCs w:val="18"/>
                <w:lang w:val="nl-NL"/>
              </w:rPr>
              <w:t xml:space="preserve"> afgevangen CO2</w:t>
            </w:r>
            <w:r w:rsidR="002F6910">
              <w:rPr>
                <w:szCs w:val="18"/>
                <w:lang w:val="nl-NL"/>
              </w:rPr>
              <w:t>. Ca €75 mln./jaar, grotendeels door bodemas</w:t>
            </w:r>
          </w:p>
          <w:p w:rsidR="00767BFD" w:rsidP="0033055A" w:rsidRDefault="00767BFD" w14:paraId="0361035A" w14:textId="7398811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 xml:space="preserve">Tariefverhoging voor storten zodat verbranden (CO2-heffing+ASB) </w:t>
            </w:r>
            <w:r w:rsidR="00406CBC">
              <w:rPr>
                <w:szCs w:val="18"/>
                <w:lang w:val="nl-NL"/>
              </w:rPr>
              <w:t>en stort gelijk beprijsd worden</w:t>
            </w:r>
            <w:r w:rsidR="002F6910">
              <w:rPr>
                <w:szCs w:val="18"/>
                <w:lang w:val="nl-NL"/>
              </w:rPr>
              <w:t>. Ca €50 mln./jaar</w:t>
            </w:r>
          </w:p>
          <w:p w:rsidRPr="00767BFD" w:rsidR="00767BFD" w:rsidP="0033055A" w:rsidRDefault="00767BFD" w14:paraId="10B9860B" w14:textId="3C9E2DC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767BFD">
              <w:rPr>
                <w:szCs w:val="18"/>
                <w:lang w:val="nl-NL"/>
              </w:rPr>
              <w:t>Generieke tariefverhoging voor storten</w:t>
            </w:r>
            <w:r w:rsidR="00EF0548">
              <w:rPr>
                <w:szCs w:val="18"/>
                <w:lang w:val="nl-NL"/>
              </w:rPr>
              <w:t>+</w:t>
            </w:r>
            <w:r w:rsidRPr="00767BFD">
              <w:rPr>
                <w:szCs w:val="18"/>
                <w:lang w:val="nl-NL"/>
              </w:rPr>
              <w:t>verbranden</w:t>
            </w:r>
            <w:r w:rsidR="00406CBC">
              <w:rPr>
                <w:szCs w:val="18"/>
                <w:lang w:val="nl-NL"/>
              </w:rPr>
              <w:t>:</w:t>
            </w:r>
            <w:r w:rsidR="0010120B">
              <w:rPr>
                <w:szCs w:val="18"/>
                <w:lang w:val="nl-NL"/>
              </w:rPr>
              <w:t xml:space="preserve"> sluitpost</w:t>
            </w:r>
            <w:r w:rsidR="005F2529">
              <w:rPr>
                <w:szCs w:val="18"/>
                <w:lang w:val="nl-NL"/>
              </w:rPr>
              <w:t>.</w:t>
            </w:r>
            <w:r w:rsidR="002F6910">
              <w:rPr>
                <w:szCs w:val="18"/>
                <w:lang w:val="nl-NL"/>
              </w:rPr>
              <w:t xml:space="preserve"> Ca verdubbeling. 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="00767BFD" w:rsidP="0033055A" w:rsidRDefault="00767BFD" w14:paraId="65A00811" w14:textId="620D671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>Dispensatierechten (vrijgestelde CO2- uitstoot) voor AVI’s binnen de CO2-heffing industrie afbouwen tot 0 in 2033</w:t>
            </w:r>
            <w:r w:rsidR="0010120B">
              <w:rPr>
                <w:szCs w:val="18"/>
                <w:lang w:val="nl-NL"/>
              </w:rPr>
              <w:t xml:space="preserve"> of </w:t>
            </w:r>
            <w:r w:rsidRPr="00404E49">
              <w:rPr>
                <w:szCs w:val="18"/>
                <w:lang w:val="nl-NL"/>
              </w:rPr>
              <w:t>2034.</w:t>
            </w:r>
          </w:p>
          <w:p w:rsidRPr="00767BFD" w:rsidR="00767BFD" w:rsidP="0033055A" w:rsidRDefault="00767BFD" w14:paraId="76AF7BC8" w14:textId="2CC9D1E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767BFD">
              <w:rPr>
                <w:szCs w:val="18"/>
                <w:lang w:val="nl-NL"/>
              </w:rPr>
              <w:t>Tariefverhoging na 2030 voor AVI’s binnen de CO2-heffing industrie.</w:t>
            </w:r>
            <w:r w:rsidR="00690EF1">
              <w:rPr>
                <w:szCs w:val="18"/>
                <w:lang w:val="nl-NL"/>
              </w:rPr>
              <w:t xml:space="preserve"> </w:t>
            </w:r>
          </w:p>
        </w:tc>
      </w:tr>
      <w:tr w:rsidRPr="004F5B96" w:rsidR="00362B16" w:rsidTr="0C44B9A3" w14:paraId="203B1639" w14:textId="452C9C9F">
        <w:trPr>
          <w:cantSplit/>
          <w:trHeight w:val="3119" w:hRule="exact"/>
        </w:trPr>
        <w:tc>
          <w:tcPr>
            <w:tcW w:w="851" w:type="dxa"/>
            <w:shd w:val="clear" w:color="auto" w:fill="DAE8F8"/>
            <w:textDirection w:val="btLr"/>
          </w:tcPr>
          <w:p w:rsidRPr="004E33DB" w:rsidR="00362B16" w:rsidP="0C44B9A3" w:rsidRDefault="00362B16" w14:paraId="05D0F9E0" w14:textId="05B0A637">
            <w:pPr>
              <w:ind w:left="113" w:right="113"/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color w:val="FFFFFF" w:themeColor="background1"/>
                <w:lang w:val="nl-NL"/>
              </w:rPr>
              <w:t>Oordeel KGG-VI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AE8F8"/>
          </w:tcPr>
          <w:p w:rsidR="00362B16" w:rsidP="0C44B9A3" w:rsidRDefault="00362B16" w14:paraId="0D2E186C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="00362B16" w:rsidP="0C44B9A3" w:rsidRDefault="00362B16" w14:paraId="3C6BAB45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Weglekeffecten: export Nederlandse bedrijven benadeeld, terwijl import is vrijgesteld.</w:t>
            </w:r>
          </w:p>
          <w:p w:rsidR="00362B16" w:rsidP="0C44B9A3" w:rsidRDefault="00362B16" w14:paraId="09964D36" w14:textId="36FCF57F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Verwachting zeer geringe extra inzet van recyclaat, gering additioneel CO2 effect [PM - onderzoeksresultaten]</w:t>
            </w:r>
          </w:p>
          <w:p w:rsidR="00362B16" w:rsidP="0C44B9A3" w:rsidRDefault="00362B16" w14:paraId="661CCD9B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Administratieve lastenverzwaring</w:t>
            </w:r>
          </w:p>
          <w:p w:rsidRPr="00362B16" w:rsidR="00362B16" w:rsidP="0C44B9A3" w:rsidRDefault="00362B16" w14:paraId="1B0D8F23" w14:textId="27568118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Norm op plek met weinig marktmacht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AE8F8"/>
          </w:tcPr>
          <w:p w:rsidR="00362B16" w:rsidP="0C44B9A3" w:rsidRDefault="00362B16" w14:paraId="3A06C3D5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="00362B16" w:rsidP="0C44B9A3" w:rsidRDefault="00362B16" w14:paraId="309399D2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Grote weglekeffecten</w:t>
            </w:r>
          </w:p>
          <w:p w:rsidR="00362B16" w:rsidP="0C44B9A3" w:rsidRDefault="00362B16" w14:paraId="2980E628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NL/EU productie nu al niet concurrerend met CH/USA</w:t>
            </w:r>
          </w:p>
          <w:p w:rsidRPr="0051789B" w:rsidR="00362B16" w:rsidP="0C44B9A3" w:rsidRDefault="00362B16" w14:paraId="3D0EC072" w14:textId="110D80B4">
            <w:pPr>
              <w:rPr>
                <w:lang w:val="nl-NL"/>
              </w:rPr>
            </w:pPr>
          </w:p>
        </w:tc>
        <w:tc>
          <w:tcPr>
            <w:tcW w:w="3064" w:type="dxa"/>
            <w:shd w:val="clear" w:color="auto" w:fill="DAE8F8"/>
          </w:tcPr>
          <w:p w:rsidR="00362B16" w:rsidP="0C44B9A3" w:rsidRDefault="00362B16" w14:paraId="13B90235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362B16" w:rsidP="0C44B9A3" w:rsidRDefault="00362B16" w14:paraId="79F9A67C" w14:textId="3B96749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Heffing bovenop norm is grote lastenverzwaring op dezelfde plaats in de keten</w:t>
            </w:r>
          </w:p>
        </w:tc>
        <w:tc>
          <w:tcPr>
            <w:tcW w:w="3059" w:type="dxa"/>
            <w:gridSpan w:val="2"/>
            <w:shd w:val="clear" w:color="auto" w:fill="DAE8F8"/>
          </w:tcPr>
          <w:p w:rsidRPr="0051789B" w:rsidR="00362B16" w:rsidP="0C44B9A3" w:rsidRDefault="00362B16" w14:paraId="741193AD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Neutraal</w:t>
            </w:r>
          </w:p>
          <w:p w:rsidRPr="0051789B" w:rsidR="00362B16" w:rsidP="0C44B9A3" w:rsidRDefault="00362B16" w14:paraId="615B503A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Compromis met enige logische verbinding tussen norm en heffing </w:t>
            </w:r>
          </w:p>
          <w:p w:rsidRPr="0051789B" w:rsidR="00362B16" w:rsidP="0C44B9A3" w:rsidRDefault="00362B16" w14:paraId="0721AEFE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Geen noodzaak om ingewikkeld handelssysteem met CPE’s in te voeren voor norm.</w:t>
            </w:r>
          </w:p>
          <w:p w:rsidR="00362B16" w:rsidP="0C44B9A3" w:rsidRDefault="00362B16" w14:paraId="32430BA8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Hoogte van heffing beperken anders negatief oordeel. </w:t>
            </w:r>
          </w:p>
          <w:p w:rsidRPr="0051789B" w:rsidR="00362B16" w:rsidP="0C44B9A3" w:rsidRDefault="00362B16" w14:paraId="0FA442D5" w14:textId="51230D8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Beperkte invulling budgettaire opgave.</w:t>
            </w:r>
          </w:p>
        </w:tc>
        <w:tc>
          <w:tcPr>
            <w:tcW w:w="3211" w:type="dxa"/>
            <w:gridSpan w:val="2"/>
            <w:shd w:val="clear" w:color="auto" w:fill="DAE8F8"/>
          </w:tcPr>
          <w:p w:rsidRPr="0051789B" w:rsidR="00362B16" w:rsidP="0C44B9A3" w:rsidRDefault="00362B16" w14:paraId="1218FCD0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Positief</w:t>
            </w:r>
          </w:p>
          <w:p w:rsidRPr="0051789B" w:rsidR="00362B16" w:rsidP="0C44B9A3" w:rsidRDefault="00362B16" w14:paraId="63A785A3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Draagt bij aan CE (refuse, reduce), óók als recyclaat niet uitgezonderd kan worden van heffing. </w:t>
            </w:r>
          </w:p>
          <w:p w:rsidRPr="0051789B" w:rsidR="00362B16" w:rsidP="0C44B9A3" w:rsidRDefault="00362B16" w14:paraId="2CBEA265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Economische effecten beperkt</w:t>
            </w:r>
          </w:p>
          <w:p w:rsidRPr="0051789B" w:rsidR="00362B16" w:rsidP="0C44B9A3" w:rsidRDefault="00362B16" w14:paraId="45594CD9" w14:textId="2868D0E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(Complexe uitvoerbaarheid) </w:t>
            </w:r>
          </w:p>
        </w:tc>
        <w:tc>
          <w:tcPr>
            <w:tcW w:w="3111" w:type="dxa"/>
            <w:shd w:val="clear" w:color="auto" w:fill="DAE8F8"/>
          </w:tcPr>
          <w:p w:rsidR="00362B16" w:rsidP="0C44B9A3" w:rsidRDefault="00362B16" w14:paraId="5F5E5FDB" w14:textId="43186252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Belasten afgevangen CO2:</w:t>
            </w:r>
            <w:r w:rsidRPr="0C44B9A3">
              <w:rPr>
                <w:b/>
                <w:bCs/>
                <w:lang w:val="nl-NL"/>
              </w:rPr>
              <w:t xml:space="preserve"> Negatief</w:t>
            </w:r>
          </w:p>
          <w:p w:rsidRPr="00C61875" w:rsidR="00362B16" w:rsidP="0C44B9A3" w:rsidRDefault="00362B16" w14:paraId="42902D0D" w14:textId="77777777">
            <w:pPr>
              <w:pStyle w:val="Lijstalinea"/>
              <w:numPr>
                <w:ilvl w:val="0"/>
                <w:numId w:val="6"/>
              </w:numPr>
              <w:ind w:left="285" w:hanging="219"/>
            </w:pPr>
            <w:r>
              <w:t>Verslechtert business case voor CCS/CCU</w:t>
            </w:r>
          </w:p>
          <w:p w:rsidRPr="004F5B96" w:rsidR="00362B16" w:rsidP="0C44B9A3" w:rsidRDefault="00362B16" w14:paraId="43240D25" w14:textId="77777777">
            <w:pPr>
              <w:rPr>
                <w:b/>
                <w:bCs/>
              </w:rPr>
            </w:pPr>
          </w:p>
          <w:p w:rsidR="00362B16" w:rsidP="0C44B9A3" w:rsidRDefault="00362B16" w14:paraId="301D130E" w14:textId="4C8FC922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 xml:space="preserve">Rest: </w:t>
            </w:r>
            <w:r w:rsidRPr="0C44B9A3">
              <w:rPr>
                <w:b/>
                <w:bCs/>
                <w:lang w:val="nl-NL"/>
              </w:rPr>
              <w:t>Neutraal</w:t>
            </w:r>
          </w:p>
          <w:p w:rsidRPr="008A65DE" w:rsidR="00362B16" w:rsidP="0C44B9A3" w:rsidRDefault="00362B16" w14:paraId="6670D6ED" w14:textId="77777777">
            <w:pPr>
              <w:pStyle w:val="Lijstalinea"/>
              <w:numPr>
                <w:ilvl w:val="0"/>
                <w:numId w:val="6"/>
              </w:numPr>
              <w:ind w:left="285" w:hanging="219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Verhoging tarief verhoogt de kosten voor bedrijven, ook voor recyclers (reststromen).</w:t>
            </w:r>
          </w:p>
          <w:p w:rsidRPr="0051789B" w:rsidR="00362B16" w:rsidP="0C44B9A3" w:rsidRDefault="00362B16" w14:paraId="226BB26B" w14:textId="11F22FF2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 xml:space="preserve">Voordeel t.o.v. CO2-heffing is dat over export van afval ook ASB moet worden </w:t>
            </w:r>
          </w:p>
        </w:tc>
        <w:tc>
          <w:tcPr>
            <w:tcW w:w="3161" w:type="dxa"/>
            <w:shd w:val="clear" w:color="auto" w:fill="DAE8F8"/>
          </w:tcPr>
          <w:p w:rsidR="00362B16" w:rsidP="0C44B9A3" w:rsidRDefault="00362B16" w14:paraId="370D1D1F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9863B9" w:rsidR="00362B16" w:rsidP="0C44B9A3" w:rsidRDefault="00362B16" w14:paraId="0D22ED6E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Focus opgave is 2030. Beide voorstellen impact na 2030.</w:t>
            </w:r>
          </w:p>
          <w:p w:rsidRPr="00E708CC" w:rsidR="00362B16" w:rsidP="0C44B9A3" w:rsidRDefault="00362B16" w14:paraId="0FFB4D29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Recente aanscherping met &gt; 1 Mton ook geen effect gehad in de KEV; geen bewijs extra aanscherping wel effect.</w:t>
            </w:r>
          </w:p>
          <w:p w:rsidRPr="006B0DAD" w:rsidR="00362B16" w:rsidP="0C44B9A3" w:rsidRDefault="00362B16" w14:paraId="36CBDA36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Reductie na 2030 wordt geborgd door NRF.</w:t>
            </w:r>
          </w:p>
          <w:p w:rsidRPr="0051789B" w:rsidR="00362B16" w:rsidP="0C44B9A3" w:rsidRDefault="00362B16" w14:paraId="5B814811" w14:textId="56B424B0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Tariefverhoging maakt verbranden in NL veel duurder dan in buitenland. Evt. weglek van afval.</w:t>
            </w:r>
          </w:p>
        </w:tc>
      </w:tr>
      <w:tr w:rsidRPr="00362B16" w:rsidR="002F6910" w:rsidTr="0C44B9A3" w14:paraId="7E6B7ED4" w14:textId="09B698E2">
        <w:trPr>
          <w:cantSplit/>
          <w:trHeight w:val="3119" w:hRule="exact"/>
        </w:trPr>
        <w:tc>
          <w:tcPr>
            <w:tcW w:w="851" w:type="dxa"/>
            <w:shd w:val="clear" w:color="auto" w:fill="DAE8F8"/>
            <w:textDirection w:val="btLr"/>
          </w:tcPr>
          <w:p w:rsidRPr="004E33DB" w:rsidR="00367F9E" w:rsidP="0C44B9A3" w:rsidRDefault="00367F9E" w14:paraId="4E841D1F" w14:textId="248FDE5D">
            <w:pPr>
              <w:ind w:left="113" w:right="113"/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color w:val="FFFFFF" w:themeColor="background1"/>
                <w:lang w:val="nl-NL"/>
              </w:rPr>
              <w:t xml:space="preserve">Oordeel  IenW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AE8F8"/>
          </w:tcPr>
          <w:p w:rsidRPr="0051789B" w:rsidR="00367F9E" w:rsidP="0C44B9A3" w:rsidRDefault="00367F9E" w14:paraId="138C058D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Positief</w:t>
            </w:r>
          </w:p>
          <w:p w:rsidRPr="0051789B" w:rsidR="00367F9E" w:rsidP="0C44B9A3" w:rsidRDefault="00367F9E" w14:paraId="7DBDB83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Reeds eerder aangekondigd beleid.</w:t>
            </w:r>
          </w:p>
          <w:p w:rsidRPr="0051789B" w:rsidR="00367F9E" w:rsidP="0C44B9A3" w:rsidRDefault="00367F9E" w14:paraId="725095C1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Noodzakelijke bijdrage van naar verwachting 0,7 Mt aan klimaatdoel, vastgelegd in Klimaatwet.</w:t>
            </w:r>
          </w:p>
          <w:p w:rsidRPr="0051789B" w:rsidR="00367F9E" w:rsidP="0C44B9A3" w:rsidRDefault="00367F9E" w14:paraId="188DF87D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Draagt bij aan de grondstoffentransitie.</w:t>
            </w:r>
          </w:p>
          <w:p w:rsidRPr="0051789B" w:rsidR="00367F9E" w:rsidP="0C44B9A3" w:rsidRDefault="00367F9E" w14:paraId="106364EF" w14:textId="1982922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Biedt op de lange termijn perspectief aan recyclingsector.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AE8F8"/>
          </w:tcPr>
          <w:p w:rsidRPr="0051789B" w:rsidR="00367F9E" w:rsidP="0C44B9A3" w:rsidRDefault="00367F9E" w14:paraId="6A8517B4" w14:textId="77777777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Volledige heffing:</w:t>
            </w:r>
            <w:r w:rsidRPr="0C44B9A3">
              <w:rPr>
                <w:b/>
                <w:bCs/>
                <w:lang w:val="nl-NL"/>
              </w:rPr>
              <w:t xml:space="preserve"> Negatief</w:t>
            </w:r>
          </w:p>
          <w:p w:rsidRPr="0051789B" w:rsidR="00367F9E" w:rsidP="0C44B9A3" w:rsidRDefault="00367F9E" w14:paraId="0EEB3474" w14:textId="3B09A44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Zou leiden tot grote productieverliezen.</w:t>
            </w:r>
          </w:p>
          <w:p w:rsidRPr="0051789B" w:rsidR="00367F9E" w:rsidP="0C44B9A3" w:rsidRDefault="00367F9E" w14:paraId="7047F45E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Stapeling van regelgeving bovenop de norm.</w:t>
            </w:r>
          </w:p>
          <w:p w:rsidRPr="0051789B" w:rsidR="00367F9E" w:rsidP="0C44B9A3" w:rsidRDefault="00367F9E" w14:paraId="1376BD20" w14:textId="77777777">
            <w:pPr>
              <w:rPr>
                <w:lang w:val="nl-NL"/>
              </w:rPr>
            </w:pPr>
          </w:p>
          <w:p w:rsidRPr="0051789B" w:rsidR="00367F9E" w:rsidP="0C44B9A3" w:rsidRDefault="00367F9E" w14:paraId="4D423B95" w14:textId="77777777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Lagere heffing:</w:t>
            </w:r>
            <w:r w:rsidRPr="0C44B9A3">
              <w:rPr>
                <w:b/>
                <w:bCs/>
                <w:lang w:val="nl-NL"/>
              </w:rPr>
              <w:t xml:space="preserve"> Neutraal</w:t>
            </w:r>
          </w:p>
          <w:p w:rsidRPr="0051789B" w:rsidR="00367F9E" w:rsidP="0C44B9A3" w:rsidRDefault="00367F9E" w14:paraId="3D5E0DF2" w14:textId="51D348A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Lagere heffing die niet de volledige taakstelling ophaalt, is met beperkte productieverliezen een optie die complementair kan werken aan de norm.</w:t>
            </w:r>
          </w:p>
        </w:tc>
        <w:tc>
          <w:tcPr>
            <w:tcW w:w="3064" w:type="dxa"/>
            <w:shd w:val="clear" w:color="auto" w:fill="DAE8F8"/>
          </w:tcPr>
          <w:p w:rsidRPr="0051789B" w:rsidR="00367F9E" w:rsidP="0C44B9A3" w:rsidRDefault="00367F9E" w14:paraId="26BBC8D5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367F9E" w:rsidP="0C44B9A3" w:rsidRDefault="00367F9E" w14:paraId="0D144955" w14:textId="6722E88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Zou leiden tot grote productieverliezen.</w:t>
            </w:r>
          </w:p>
          <w:p w:rsidRPr="0051789B" w:rsidR="00367F9E" w:rsidP="0C44B9A3" w:rsidRDefault="00367F9E" w14:paraId="5E4DECF6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Stapeling van regelgeving bovenop de norm, die ook aangrijpt op de polymeerverwerker.</w:t>
            </w:r>
          </w:p>
          <w:p w:rsidRPr="0051789B" w:rsidR="00367F9E" w:rsidP="0C44B9A3" w:rsidRDefault="00367F9E" w14:paraId="5C49D507" w14:textId="6E88843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Ook een lagere heffing op polymeerverwerkers zou dus disproportioneel zijn, gezien de administratieve en financiële lasten.</w:t>
            </w:r>
          </w:p>
        </w:tc>
        <w:tc>
          <w:tcPr>
            <w:tcW w:w="3059" w:type="dxa"/>
            <w:gridSpan w:val="2"/>
            <w:shd w:val="clear" w:color="auto" w:fill="DAE8F8"/>
          </w:tcPr>
          <w:p w:rsidRPr="0051789B" w:rsidR="00367F9E" w:rsidP="0C44B9A3" w:rsidRDefault="00367F9E" w14:paraId="220007BF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367F9E" w:rsidP="0C44B9A3" w:rsidRDefault="00367F9E" w14:paraId="7635E188" w14:textId="54149E5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Zal ofwel leiden tot een beperkt circulair effect en een beperkte bijdrage aan de klimaatdoelen (en hoge productieverliezen), of een beperkte opbrengst voor de taakstelling; allebei op zijn best zeer onzeker.</w:t>
            </w:r>
          </w:p>
          <w:p w:rsidRPr="0051789B" w:rsidR="00367F9E" w:rsidP="0C44B9A3" w:rsidRDefault="00367F9E" w14:paraId="6623E8BC" w14:textId="0C1A12A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Betekent aanpassing van het wetsvoorstel voor de circulaireplasticnorm (en dus uitstel).</w:t>
            </w:r>
          </w:p>
        </w:tc>
        <w:tc>
          <w:tcPr>
            <w:tcW w:w="3211" w:type="dxa"/>
            <w:gridSpan w:val="2"/>
            <w:shd w:val="clear" w:color="auto" w:fill="DAE8F8"/>
          </w:tcPr>
          <w:p w:rsidRPr="0051789B" w:rsidR="00367F9E" w:rsidP="0C44B9A3" w:rsidRDefault="00367F9E" w14:paraId="5F492D1C" w14:textId="360BDAE2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Verpakkingsbelasting:</w:t>
            </w:r>
            <w:r w:rsidRPr="0C44B9A3">
              <w:rPr>
                <w:b/>
                <w:bCs/>
                <w:lang w:val="nl-NL"/>
              </w:rPr>
              <w:t xml:space="preserve"> Negatief</w:t>
            </w:r>
          </w:p>
          <w:p w:rsidRPr="0051789B" w:rsidR="00367F9E" w:rsidP="0C44B9A3" w:rsidRDefault="00367F9E" w14:paraId="155472BA" w14:textId="7FD8D1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Verdubbeling lasten voor verpakkingensector t.o.v. UPV </w:t>
            </w:r>
            <w:r w:rsidRPr="0C44B9A3">
              <w:rPr>
                <w:rFonts w:ascii="Wingdings" w:hAnsi="Wingdings" w:eastAsia="Wingdings" w:cs="Wingdings"/>
                <w:lang w:val="nl-NL"/>
              </w:rPr>
              <w:t>à</w:t>
            </w:r>
            <w:r w:rsidRPr="0C44B9A3">
              <w:rPr>
                <w:lang w:val="nl-NL"/>
              </w:rPr>
              <w:t xml:space="preserve"> hoge consumentenprijzen. </w:t>
            </w:r>
          </w:p>
          <w:p w:rsidRPr="0051789B" w:rsidR="00367F9E" w:rsidP="0C44B9A3" w:rsidRDefault="00367F9E" w14:paraId="63C1FE18" w14:textId="5920C8B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Stapeling regelgeving/kosten op UPV’s en EU wetgeving.</w:t>
            </w:r>
          </w:p>
          <w:p w:rsidRPr="0051789B" w:rsidR="00367F9E" w:rsidP="0C44B9A3" w:rsidRDefault="00367F9E" w14:paraId="243DC539" w14:textId="3C51B86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Onzeker milieueffect vanwege substitutie door glas/papier.</w:t>
            </w:r>
          </w:p>
          <w:p w:rsidR="00564135" w:rsidP="0C44B9A3" w:rsidRDefault="00564135" w14:paraId="79AA94BA" w14:textId="77777777">
            <w:pPr>
              <w:rPr>
                <w:lang w:val="nl-NL"/>
              </w:rPr>
            </w:pPr>
          </w:p>
          <w:p w:rsidRPr="0051789B" w:rsidR="00367F9E" w:rsidP="0C44B9A3" w:rsidRDefault="00367F9E" w14:paraId="70C3E1C3" w14:textId="62C9FAE2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Combinatie van productbelastingen</w:t>
            </w:r>
            <w:r w:rsidRPr="0C44B9A3">
              <w:rPr>
                <w:b/>
                <w:bCs/>
                <w:lang w:val="nl-NL"/>
              </w:rPr>
              <w:t>: Neutraal</w:t>
            </w:r>
          </w:p>
          <w:p w:rsidRPr="0051789B" w:rsidR="00367F9E" w:rsidP="0C44B9A3" w:rsidRDefault="00367F9E" w14:paraId="00D77740" w14:textId="0C8399C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Noodzaak om pijn te spreiden over meerdere sectoren.</w:t>
            </w:r>
          </w:p>
        </w:tc>
        <w:tc>
          <w:tcPr>
            <w:tcW w:w="3111" w:type="dxa"/>
            <w:shd w:val="clear" w:color="auto" w:fill="DAE8F8"/>
          </w:tcPr>
          <w:p w:rsidRPr="0051789B" w:rsidR="00367F9E" w:rsidP="0C44B9A3" w:rsidRDefault="00367F9E" w14:paraId="2D8D718C" w14:textId="135CBFB0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Tariefverhoging</w:t>
            </w:r>
            <w:r w:rsidRPr="0C44B9A3" w:rsidR="00564135">
              <w:rPr>
                <w:lang w:val="nl-NL"/>
              </w:rPr>
              <w:t>en</w:t>
            </w:r>
            <w:r w:rsidRPr="0C44B9A3">
              <w:rPr>
                <w:lang w:val="nl-NL"/>
              </w:rPr>
              <w:t xml:space="preserve">: </w:t>
            </w: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367F9E" w:rsidP="0C44B9A3" w:rsidRDefault="00367F9E" w14:paraId="2649D45D" w14:textId="500EE40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Maatregel gaat verder dan recent gepubliceerde beleidsvisie; onbetrouwbaar.</w:t>
            </w:r>
          </w:p>
          <w:p w:rsidRPr="0051789B" w:rsidR="00367F9E" w:rsidP="0C44B9A3" w:rsidRDefault="00367F9E" w14:paraId="7964B8B7" w14:textId="200B373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Handelingsperspectief voor verduurzaming beperkt </w:t>
            </w:r>
            <w:r w:rsidRPr="0C44B9A3">
              <w:rPr>
                <w:rFonts w:ascii="Wingdings" w:hAnsi="Wingdings" w:eastAsia="Wingdings" w:cs="Wingdings"/>
                <w:lang w:val="nl-NL"/>
              </w:rPr>
              <w:t>à</w:t>
            </w:r>
            <w:r w:rsidRPr="0C44B9A3">
              <w:rPr>
                <w:lang w:val="nl-NL"/>
              </w:rPr>
              <w:t xml:space="preserve"> kosten burgers en bedrijven. </w:t>
            </w:r>
          </w:p>
          <w:p w:rsidR="00564135" w:rsidP="0C44B9A3" w:rsidRDefault="00564135" w14:paraId="45874EF3" w14:textId="77777777">
            <w:pPr>
              <w:rPr>
                <w:lang w:val="nl-NL"/>
              </w:rPr>
            </w:pPr>
          </w:p>
          <w:p w:rsidRPr="0051789B" w:rsidR="00367F9E" w:rsidP="0C44B9A3" w:rsidRDefault="00564135" w14:paraId="280F48E1" w14:textId="30A3D411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Grondslagverbreding b</w:t>
            </w:r>
            <w:r w:rsidRPr="0C44B9A3" w:rsidR="00367F9E">
              <w:rPr>
                <w:lang w:val="nl-NL"/>
              </w:rPr>
              <w:t>odem-as:</w:t>
            </w:r>
            <w:r w:rsidRPr="0C44B9A3" w:rsidR="00367F9E">
              <w:rPr>
                <w:b/>
                <w:bCs/>
                <w:lang w:val="nl-NL"/>
              </w:rPr>
              <w:t xml:space="preserve"> Positief</w:t>
            </w:r>
          </w:p>
          <w:p w:rsidR="00367F9E" w:rsidP="0C44B9A3" w:rsidRDefault="00367F9E" w14:paraId="6D6BB814" w14:textId="25F344AF">
            <w:pPr>
              <w:rPr>
                <w:lang w:val="nl-NL"/>
              </w:rPr>
            </w:pPr>
          </w:p>
          <w:p w:rsidRPr="0051789B" w:rsidR="00367F9E" w:rsidP="0C44B9A3" w:rsidRDefault="00367F9E" w14:paraId="11DAF9F1" w14:textId="16B2373A">
            <w:pPr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Afschaff</w:t>
            </w:r>
            <w:r w:rsidRPr="0C44B9A3" w:rsidR="00564135">
              <w:rPr>
                <w:lang w:val="nl-NL"/>
              </w:rPr>
              <w:t>en</w:t>
            </w:r>
            <w:r w:rsidRPr="0C44B9A3">
              <w:rPr>
                <w:lang w:val="nl-NL"/>
              </w:rPr>
              <w:t xml:space="preserve"> vrijstell</w:t>
            </w:r>
            <w:r w:rsidRPr="0C44B9A3" w:rsidR="00564135">
              <w:rPr>
                <w:lang w:val="nl-NL"/>
              </w:rPr>
              <w:t>ing</w:t>
            </w:r>
            <w:r w:rsidRPr="0C44B9A3">
              <w:rPr>
                <w:lang w:val="nl-NL"/>
              </w:rPr>
              <w:t xml:space="preserve"> zuiveringsslib:</w:t>
            </w:r>
            <w:r w:rsidRPr="0C44B9A3">
              <w:rPr>
                <w:b/>
                <w:bCs/>
                <w:lang w:val="nl-NL"/>
              </w:rPr>
              <w:t xml:space="preserve"> Neutraal</w:t>
            </w:r>
          </w:p>
        </w:tc>
        <w:tc>
          <w:tcPr>
            <w:tcW w:w="3161" w:type="dxa"/>
            <w:shd w:val="clear" w:color="auto" w:fill="DAE8F8"/>
          </w:tcPr>
          <w:p w:rsidRPr="0051789B" w:rsidR="00367F9E" w:rsidP="0C44B9A3" w:rsidRDefault="00367F9E" w14:paraId="016D5CEE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367F9E" w:rsidP="0C44B9A3" w:rsidRDefault="00367F9E" w14:paraId="5B92D94C" w14:textId="4DFD779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Dit is recent al verhoogd.</w:t>
            </w:r>
          </w:p>
          <w:p w:rsidRPr="0051789B" w:rsidR="00367F9E" w:rsidP="0C44B9A3" w:rsidRDefault="00367F9E" w14:paraId="2BA7135A" w14:textId="5633FD9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Stapeling lasten, uitsluitend op AVI’s i.t.t. rest industrie.</w:t>
            </w:r>
          </w:p>
          <w:p w:rsidRPr="00564135" w:rsidR="00367F9E" w:rsidP="0C44B9A3" w:rsidRDefault="00367F9E" w14:paraId="439E215D" w14:textId="369878A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Niet in recente beleidsvisie; onvoorspelbare en onbetrouwbare overheid. </w:t>
            </w:r>
          </w:p>
          <w:p w:rsidRPr="0051789B" w:rsidR="00367F9E" w:rsidP="0C44B9A3" w:rsidRDefault="00367F9E" w14:paraId="2472B312" w14:textId="083E651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 xml:space="preserve">Handelingsperspectief voor verduurzaming beperkt </w:t>
            </w:r>
            <w:r w:rsidRPr="0C44B9A3">
              <w:rPr>
                <w:rFonts w:ascii="Wingdings" w:hAnsi="Wingdings" w:eastAsia="Wingdings" w:cs="Wingdings"/>
                <w:lang w:val="nl-NL"/>
              </w:rPr>
              <w:t>à</w:t>
            </w:r>
            <w:r w:rsidRPr="0C44B9A3">
              <w:rPr>
                <w:lang w:val="nl-NL"/>
              </w:rPr>
              <w:t xml:space="preserve"> kosten burgers en bedrijven.</w:t>
            </w:r>
          </w:p>
          <w:p w:rsidRPr="0051789B" w:rsidR="00367F9E" w:rsidP="0C44B9A3" w:rsidRDefault="00367F9E" w14:paraId="3D13CE60" w14:textId="41FF050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 xml:space="preserve">Bij onrendabele top €200/t vallen AVI’s zonder SDE CCS om; acuut probleem. </w:t>
            </w:r>
          </w:p>
        </w:tc>
      </w:tr>
      <w:tr w:rsidRPr="00B8176C" w:rsidR="002F6910" w:rsidTr="0C44B9A3" w14:paraId="23ADE2B3" w14:textId="3BE0FC29">
        <w:trPr>
          <w:cantSplit/>
          <w:trHeight w:val="3119" w:hRule="exact"/>
        </w:trPr>
        <w:tc>
          <w:tcPr>
            <w:tcW w:w="851" w:type="dxa"/>
            <w:shd w:val="clear" w:color="auto" w:fill="DAE8F8"/>
            <w:textDirection w:val="btLr"/>
          </w:tcPr>
          <w:p w:rsidRPr="004E33DB" w:rsidR="00767BFD" w:rsidP="0C44B9A3" w:rsidRDefault="00767BFD" w14:paraId="7370290F" w14:textId="7E5EEEC2">
            <w:pPr>
              <w:ind w:left="113" w:right="113"/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color w:val="FFFFFF" w:themeColor="background1"/>
                <w:lang w:val="nl-NL"/>
              </w:rPr>
              <w:t>Oordeel  FIN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AE8F8"/>
          </w:tcPr>
          <w:p w:rsidRPr="0051789B" w:rsidR="00767BFD" w:rsidP="0C44B9A3" w:rsidRDefault="00822C70" w14:paraId="1C8CE1A6" w14:textId="24E4CE59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Geen standpunt</w:t>
            </w:r>
          </w:p>
          <w:p w:rsidRPr="0051789B" w:rsidR="00B8176C" w:rsidP="0C44B9A3" w:rsidRDefault="00B8176C" w14:paraId="0D24B182" w14:textId="2CFA3D1F">
            <w:pPr>
              <w:pStyle w:val="Lijstalinea"/>
              <w:numPr>
                <w:ilvl w:val="0"/>
                <w:numId w:val="6"/>
              </w:numPr>
              <w:rPr>
                <w:lang w:val="nl-NL"/>
              </w:rPr>
            </w:pPr>
            <w:r w:rsidRPr="0C44B9A3">
              <w:rPr>
                <w:lang w:val="nl-NL"/>
              </w:rPr>
              <w:t>Reeds eerder aangekondigd beleid.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AE8F8"/>
          </w:tcPr>
          <w:p w:rsidRPr="0051789B" w:rsidR="00767BFD" w:rsidP="0C44B9A3" w:rsidRDefault="00B8176C" w14:paraId="7A2D3F76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B8176C" w:rsidP="0C44B9A3" w:rsidRDefault="00B8176C" w14:paraId="75180F3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Grote weglekeffecten</w:t>
            </w:r>
          </w:p>
          <w:p w:rsidR="00B8176C" w:rsidP="0C44B9A3" w:rsidRDefault="00B8176C" w14:paraId="64FFB4B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Instabiele grondslag</w:t>
            </w:r>
          </w:p>
          <w:p w:rsidRPr="0051789B" w:rsidR="0051789B" w:rsidP="0C44B9A3" w:rsidRDefault="0051789B" w14:paraId="7D997097" w14:textId="391D6E3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Weinig/geen milieu-effect</w:t>
            </w:r>
          </w:p>
          <w:p w:rsidRPr="0051789B" w:rsidR="00B8176C" w:rsidP="0C44B9A3" w:rsidRDefault="00B8176C" w14:paraId="30E41059" w14:textId="341BE64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Nieuw instrument</w:t>
            </w:r>
            <w:r w:rsidRPr="0C44B9A3" w:rsidR="0051789B">
              <w:rPr>
                <w:lang w:val="nl-NL"/>
              </w:rPr>
              <w:t>, nog geen uitvoerder</w:t>
            </w:r>
          </w:p>
        </w:tc>
        <w:tc>
          <w:tcPr>
            <w:tcW w:w="3064" w:type="dxa"/>
            <w:shd w:val="clear" w:color="auto" w:fill="DAE8F8"/>
          </w:tcPr>
          <w:p w:rsidRPr="0051789B" w:rsidR="00767BFD" w:rsidP="0C44B9A3" w:rsidRDefault="00B8176C" w14:paraId="02742F69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51789B" w:rsidR="00B8176C" w:rsidP="0C44B9A3" w:rsidRDefault="00B8176C" w14:paraId="255D2CF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Grote weglekeffecten</w:t>
            </w:r>
          </w:p>
          <w:p w:rsidR="00B8176C" w:rsidP="0C44B9A3" w:rsidRDefault="00B8176C" w14:paraId="49F85C7B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Instabiele grondslag</w:t>
            </w:r>
          </w:p>
          <w:p w:rsidRPr="0051789B" w:rsidR="0051789B" w:rsidP="0C44B9A3" w:rsidRDefault="0051789B" w14:paraId="76403D74" w14:textId="7913C2A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Weinig/geen milieu-effect</w:t>
            </w:r>
          </w:p>
          <w:p w:rsidRPr="0051789B" w:rsidR="00B8176C" w:rsidP="0C44B9A3" w:rsidRDefault="00B8176C" w14:paraId="3853EF63" w14:textId="1EAAE7B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Nieuw instrument</w:t>
            </w:r>
            <w:r w:rsidRPr="0C44B9A3" w:rsidR="0051789B">
              <w:rPr>
                <w:lang w:val="nl-NL"/>
              </w:rPr>
              <w:t>, nog geen uitvoerder</w:t>
            </w:r>
          </w:p>
        </w:tc>
        <w:tc>
          <w:tcPr>
            <w:tcW w:w="3059" w:type="dxa"/>
            <w:gridSpan w:val="2"/>
            <w:shd w:val="clear" w:color="auto" w:fill="DAE8F8"/>
          </w:tcPr>
          <w:p w:rsidRPr="0051789B" w:rsidR="00767BFD" w:rsidP="0C44B9A3" w:rsidRDefault="00B8176C" w14:paraId="1068730A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Negatief</w:t>
            </w:r>
          </w:p>
          <w:p w:rsidRPr="0033055A" w:rsidR="00B8176C" w:rsidP="0C44B9A3" w:rsidRDefault="00B8176C" w14:paraId="4D7B7AA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Beleidseffect vergelijkbaar met norm</w:t>
            </w:r>
          </w:p>
          <w:p w:rsidRPr="0033055A" w:rsidR="00B8176C" w:rsidP="0C44B9A3" w:rsidRDefault="00B8176C" w14:paraId="5B36D42C" w14:textId="187A47F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Beperkte invulling budgettaire opgave</w:t>
            </w:r>
          </w:p>
          <w:p w:rsidRPr="0051789B" w:rsidR="00B8176C" w:rsidP="0C44B9A3" w:rsidRDefault="00B8176C" w14:paraId="5FF11CDF" w14:textId="20B7E1F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lang w:val="nl-NL"/>
              </w:rPr>
            </w:pPr>
            <w:r w:rsidRPr="0C44B9A3">
              <w:rPr>
                <w:lang w:val="nl-NL"/>
              </w:rPr>
              <w:t>Nieuw instrument</w:t>
            </w:r>
            <w:r w:rsidRPr="0C44B9A3" w:rsidR="0051789B">
              <w:rPr>
                <w:lang w:val="nl-NL"/>
              </w:rPr>
              <w:t>, nog geen uitvoerder</w:t>
            </w:r>
          </w:p>
        </w:tc>
        <w:tc>
          <w:tcPr>
            <w:tcW w:w="3211" w:type="dxa"/>
            <w:gridSpan w:val="2"/>
            <w:shd w:val="clear" w:color="auto" w:fill="DAE8F8"/>
          </w:tcPr>
          <w:p w:rsidRPr="0051789B" w:rsidR="00767BFD" w:rsidP="0C44B9A3" w:rsidRDefault="005F2529" w14:paraId="687ED28D" w14:textId="6F709882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Nog geen standpunt mogelijk</w:t>
            </w:r>
          </w:p>
          <w:p w:rsidRPr="0033055A" w:rsidR="00EA319C" w:rsidP="0C44B9A3" w:rsidRDefault="00EA319C" w14:paraId="26E261B7" w14:textId="5B4897C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Budgettair en qua klimaat- en CE-effecten positief</w:t>
            </w:r>
          </w:p>
          <w:p w:rsidRPr="0051789B" w:rsidR="004A7E9E" w:rsidP="0C44B9A3" w:rsidRDefault="004A7E9E" w14:paraId="7DF91F8E" w14:textId="5AF12C2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Nog geen concreet voorstel op tafel</w:t>
            </w:r>
            <w:r w:rsidRPr="0C44B9A3" w:rsidR="0051789B">
              <w:rPr>
                <w:lang w:val="nl-NL"/>
              </w:rPr>
              <w:t>. Moet nog verder worden onderzocht</w:t>
            </w:r>
            <w:r w:rsidRPr="0C44B9A3" w:rsidR="00885BFE">
              <w:rPr>
                <w:lang w:val="nl-NL"/>
              </w:rPr>
              <w:t xml:space="preserve"> (o.a. uitvoerbaarheid)</w:t>
            </w:r>
            <w:r w:rsidRPr="0C44B9A3" w:rsidR="00114D87">
              <w:rPr>
                <w:lang w:val="nl-NL"/>
              </w:rPr>
              <w:t>.</w:t>
            </w:r>
          </w:p>
          <w:p w:rsidRPr="0051789B" w:rsidR="00673080" w:rsidP="0C44B9A3" w:rsidRDefault="00673080" w14:paraId="0E17FF4C" w14:textId="78FD3F7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Nieuw instrument</w:t>
            </w:r>
            <w:r w:rsidRPr="0C44B9A3" w:rsidR="0051789B">
              <w:rPr>
                <w:lang w:val="nl-NL"/>
              </w:rPr>
              <w:t>, nog geen uitvoerder</w:t>
            </w:r>
          </w:p>
          <w:p w:rsidRPr="0051789B" w:rsidR="00EA319C" w:rsidP="0C44B9A3" w:rsidRDefault="00B8176C" w14:paraId="07162429" w14:textId="78CCF9C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Geen zekerheid over uitvoerbaarheid per 2028</w:t>
            </w:r>
            <w:r w:rsidRPr="0C44B9A3" w:rsidR="00EA319C">
              <w:rPr>
                <w:lang w:val="nl-NL"/>
              </w:rPr>
              <w:t xml:space="preserve"> </w:t>
            </w:r>
          </w:p>
        </w:tc>
        <w:tc>
          <w:tcPr>
            <w:tcW w:w="3111" w:type="dxa"/>
            <w:shd w:val="clear" w:color="auto" w:fill="DAE8F8"/>
          </w:tcPr>
          <w:p w:rsidRPr="0051789B" w:rsidR="00767BFD" w:rsidP="0C44B9A3" w:rsidRDefault="00B8176C" w14:paraId="21AFA002" w14:textId="77777777">
            <w:pPr>
              <w:rPr>
                <w:b/>
                <w:bCs/>
                <w:lang w:val="nl-NL"/>
              </w:rPr>
            </w:pPr>
            <w:r w:rsidRPr="0C44B9A3">
              <w:rPr>
                <w:b/>
                <w:bCs/>
                <w:lang w:val="nl-NL"/>
              </w:rPr>
              <w:t>Positief</w:t>
            </w:r>
          </w:p>
          <w:p w:rsidR="00B8176C" w:rsidP="0C44B9A3" w:rsidRDefault="00B8176C" w14:paraId="6DD11BE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Draagt bij aan klimaatopgave en CE</w:t>
            </w:r>
          </w:p>
          <w:p w:rsidRPr="0051789B" w:rsidR="00B8176C" w:rsidP="0C44B9A3" w:rsidRDefault="00B8176C" w14:paraId="21DA59A6" w14:textId="337205F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Relatief eenvoudig in te voeren</w:t>
            </w:r>
            <w:r w:rsidRPr="0C44B9A3" w:rsidR="00D23D70">
              <w:rPr>
                <w:lang w:val="nl-NL"/>
              </w:rPr>
              <w:t>. Aanpassing aan een be</w:t>
            </w:r>
            <w:r w:rsidRPr="0C44B9A3">
              <w:rPr>
                <w:lang w:val="nl-NL"/>
              </w:rPr>
              <w:t>staand instrument</w:t>
            </w:r>
            <w:r w:rsidRPr="0C44B9A3" w:rsidR="00D23D70">
              <w:rPr>
                <w:lang w:val="nl-NL"/>
              </w:rPr>
              <w:t xml:space="preserve">. </w:t>
            </w:r>
          </w:p>
          <w:p w:rsidR="00B8176C" w:rsidP="0C44B9A3" w:rsidRDefault="00B8176C" w14:paraId="21A21208" w14:textId="554D313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Weglek blijft beperkt</w:t>
            </w:r>
            <w:r w:rsidRPr="0C44B9A3" w:rsidR="00D23D70">
              <w:rPr>
                <w:lang w:val="nl-NL"/>
              </w:rPr>
              <w:t xml:space="preserve"> (</w:t>
            </w:r>
            <w:r w:rsidRPr="0C44B9A3" w:rsidR="003742F9">
              <w:rPr>
                <w:lang w:val="nl-NL"/>
              </w:rPr>
              <w:t xml:space="preserve">alleen </w:t>
            </w:r>
            <w:r w:rsidRPr="0C44B9A3" w:rsidR="00D23D70">
              <w:rPr>
                <w:lang w:val="nl-NL"/>
              </w:rPr>
              <w:t>minder afvalimport)</w:t>
            </w:r>
          </w:p>
          <w:p w:rsidRPr="0033055A" w:rsidR="00206234" w:rsidP="0C44B9A3" w:rsidRDefault="00206234" w14:paraId="3477BF57" w14:textId="2AFAF34B">
            <w:pPr>
              <w:pStyle w:val="Lijstalinea"/>
              <w:numPr>
                <w:ilvl w:val="0"/>
                <w:numId w:val="6"/>
              </w:numPr>
              <w:ind w:left="227" w:hanging="170"/>
            </w:pPr>
            <w:r>
              <w:t>Ondersteunt</w:t>
            </w:r>
            <w:r w:rsidR="00F53240">
              <w:t xml:space="preserve"> business case</w:t>
            </w:r>
            <w:r>
              <w:t xml:space="preserve"> NL</w:t>
            </w:r>
            <w:r w:rsidR="00E367D9">
              <w:t>Dse</w:t>
            </w:r>
            <w:r>
              <w:t xml:space="preserve"> recyclers</w:t>
            </w:r>
          </w:p>
        </w:tc>
        <w:tc>
          <w:tcPr>
            <w:tcW w:w="3161" w:type="dxa"/>
            <w:shd w:val="clear" w:color="auto" w:fill="DAE8F8"/>
          </w:tcPr>
          <w:p w:rsidRPr="0051789B" w:rsidR="00B8176C" w:rsidP="0C44B9A3" w:rsidRDefault="00B8176C" w14:paraId="43C5401A" w14:textId="77777777">
            <w:pPr>
              <w:rPr>
                <w:lang w:val="nl-NL"/>
              </w:rPr>
            </w:pPr>
            <w:r w:rsidRPr="0C44B9A3">
              <w:rPr>
                <w:b/>
                <w:bCs/>
                <w:lang w:val="nl-NL"/>
              </w:rPr>
              <w:t>Positief</w:t>
            </w:r>
          </w:p>
          <w:p w:rsidRPr="0051789B" w:rsidR="00B8176C" w:rsidP="0C44B9A3" w:rsidRDefault="00B8176C" w14:paraId="5FBC2E49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Draagt bij aan klimaatopgave en CE</w:t>
            </w:r>
          </w:p>
          <w:p w:rsidRPr="0051789B" w:rsidR="00B8176C" w:rsidP="0C44B9A3" w:rsidRDefault="00B8176C" w14:paraId="41EED23B" w14:textId="56B2689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Relatief eenvoudig in te voeren</w:t>
            </w:r>
            <w:r w:rsidRPr="0C44B9A3" w:rsidR="00D23D70">
              <w:rPr>
                <w:lang w:val="nl-NL"/>
              </w:rPr>
              <w:t>. Aanpassing aan een bestaand instrument.</w:t>
            </w:r>
          </w:p>
          <w:p w:rsidR="00B8176C" w:rsidP="0C44B9A3" w:rsidRDefault="00B8176C" w14:paraId="316DE34B" w14:textId="5DDB034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C44B9A3">
              <w:rPr>
                <w:lang w:val="nl-NL"/>
              </w:rPr>
              <w:t>Weglek blijft beperkt</w:t>
            </w:r>
            <w:r w:rsidRPr="0C44B9A3" w:rsidR="003742F9">
              <w:rPr>
                <w:lang w:val="nl-NL"/>
              </w:rPr>
              <w:t xml:space="preserve"> </w:t>
            </w:r>
          </w:p>
          <w:p w:rsidRPr="0033055A" w:rsidR="00206234" w:rsidP="0C44B9A3" w:rsidRDefault="00206234" w14:paraId="41368F14" w14:textId="7A162167">
            <w:pPr>
              <w:pStyle w:val="Lijstalinea"/>
              <w:numPr>
                <w:ilvl w:val="0"/>
                <w:numId w:val="6"/>
              </w:numPr>
              <w:ind w:left="227" w:hanging="170"/>
            </w:pPr>
            <w:r>
              <w:t xml:space="preserve">Ondersteunt </w:t>
            </w:r>
            <w:r w:rsidR="00F53240">
              <w:t xml:space="preserve">business case </w:t>
            </w:r>
            <w:r>
              <w:t>NL</w:t>
            </w:r>
            <w:r w:rsidR="00E367D9">
              <w:t>Dse</w:t>
            </w:r>
            <w:r>
              <w:t xml:space="preserve"> recyclers</w:t>
            </w:r>
          </w:p>
        </w:tc>
      </w:tr>
      <w:tr w:rsidRPr="0009549F" w:rsidR="0051789B" w:rsidTr="0C44B9A3" w14:paraId="73C09EE1" w14:textId="77777777">
        <w:trPr>
          <w:cantSplit/>
          <w:trHeight w:val="977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3742F9" w:rsidR="00130F1B" w:rsidP="00130F1B" w:rsidRDefault="00130F1B" w14:paraId="225A22D8" w14:textId="77777777">
            <w:pPr>
              <w:ind w:left="113" w:right="113"/>
              <w:rPr>
                <w:b/>
                <w:bCs/>
                <w:szCs w:val="18"/>
              </w:rPr>
            </w:pP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4472C4" w:themeFill="accent5"/>
            <w:vAlign w:val="center"/>
          </w:tcPr>
          <w:p w:rsidRPr="00514CF6" w:rsidR="00130F1B" w:rsidP="00130F1B" w:rsidRDefault="00130F1B" w14:paraId="76F784AB" w14:textId="5DFD67AA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Invoeren circulaireplasticnorm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4472C4" w:themeFill="accent5"/>
            <w:vAlign w:val="center"/>
          </w:tcPr>
          <w:p w:rsidRPr="00514CF6" w:rsidR="00130F1B" w:rsidP="00130F1B" w:rsidRDefault="00130F1B" w14:paraId="10A989E9" w14:textId="5D7EE063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productie van polymeren</w:t>
            </w:r>
          </w:p>
        </w:tc>
        <w:tc>
          <w:tcPr>
            <w:tcW w:w="3110" w:type="dxa"/>
            <w:gridSpan w:val="2"/>
            <w:shd w:val="clear" w:color="auto" w:fill="4472C4" w:themeFill="accent5"/>
            <w:vAlign w:val="center"/>
          </w:tcPr>
          <w:p w:rsidRPr="00514CF6" w:rsidR="00130F1B" w:rsidP="00130F1B" w:rsidRDefault="00130F1B" w14:paraId="531C77CD" w14:textId="67732AED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verwerking van polymeren</w:t>
            </w:r>
          </w:p>
        </w:tc>
        <w:tc>
          <w:tcPr>
            <w:tcW w:w="3109" w:type="dxa"/>
            <w:gridSpan w:val="2"/>
            <w:shd w:val="clear" w:color="auto" w:fill="4472C4" w:themeFill="accent5"/>
            <w:vAlign w:val="center"/>
          </w:tcPr>
          <w:p w:rsidRPr="00514CF6" w:rsidR="00130F1B" w:rsidP="00130F1B" w:rsidRDefault="00130F1B" w14:paraId="062CCA3E" w14:textId="21F2D90F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aan de marge</w:t>
            </w:r>
          </w:p>
        </w:tc>
        <w:tc>
          <w:tcPr>
            <w:tcW w:w="3115" w:type="dxa"/>
            <w:shd w:val="clear" w:color="auto" w:fill="4472C4" w:themeFill="accent5"/>
            <w:vAlign w:val="center"/>
          </w:tcPr>
          <w:p w:rsidRPr="00514CF6" w:rsidR="00130F1B" w:rsidP="00130F1B" w:rsidRDefault="00130F1B" w14:paraId="7F576D08" w14:textId="421AC809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Plastic verpakkingenbelasting</w:t>
            </w:r>
          </w:p>
        </w:tc>
        <w:tc>
          <w:tcPr>
            <w:tcW w:w="3111" w:type="dxa"/>
            <w:shd w:val="clear" w:color="auto" w:fill="4472C4" w:themeFill="accent5"/>
            <w:vAlign w:val="center"/>
          </w:tcPr>
          <w:p w:rsidRPr="00514CF6" w:rsidR="00130F1B" w:rsidP="00130F1B" w:rsidRDefault="00130F1B" w14:paraId="57FEDB2B" w14:textId="7C7DD3AF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afvalstoffenbelasting</w:t>
            </w:r>
          </w:p>
        </w:tc>
        <w:tc>
          <w:tcPr>
            <w:tcW w:w="3161" w:type="dxa"/>
            <w:shd w:val="clear" w:color="auto" w:fill="4472C4" w:themeFill="accent5"/>
            <w:vAlign w:val="center"/>
          </w:tcPr>
          <w:p w:rsidRPr="00514CF6" w:rsidR="00130F1B" w:rsidP="00A62E4E" w:rsidRDefault="00130F1B" w14:paraId="672AE5D9" w14:textId="1A4BE141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CO</w:t>
            </w:r>
            <w:r w:rsidRPr="00514CF6">
              <w:rPr>
                <w:b/>
                <w:bCs/>
                <w:color w:val="FFFFFF" w:themeColor="background1"/>
                <w:szCs w:val="18"/>
                <w:vertAlign w:val="subscript"/>
                <w:lang w:val="nl-NL"/>
              </w:rPr>
              <w:t>2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-heffing afvalverbrandings</w:t>
            </w:r>
            <w:r w:rsidR="004265DD">
              <w:rPr>
                <w:b/>
                <w:bCs/>
                <w:color w:val="FFFFFF" w:themeColor="background1"/>
                <w:szCs w:val="18"/>
                <w:lang w:val="nl-NL"/>
              </w:rPr>
              <w:t>-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installaties (AVIs)</w:t>
            </w:r>
          </w:p>
        </w:tc>
      </w:tr>
      <w:tr w:rsidRPr="00362B16" w:rsidR="0051789B" w:rsidTr="0C44B9A3" w14:paraId="69448314" w14:textId="651BD877">
        <w:trPr>
          <w:cantSplit/>
          <w:trHeight w:val="114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A87F02" w:rsidP="00A87F02" w:rsidRDefault="00A87F02" w14:paraId="35B7BEDF" w14:textId="79E6F5F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Budgettair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A94EE4" w:rsidR="00A87F02" w:rsidP="03BB75B5" w:rsidRDefault="68EAB635" w14:paraId="320652A3" w14:textId="6074B177">
            <w:pPr>
              <w:rPr>
                <w:b/>
                <w:bCs/>
              </w:rPr>
            </w:pPr>
            <w:r w:rsidRPr="00A94EE4">
              <w:rPr>
                <w:b/>
                <w:bCs/>
              </w:rPr>
              <w:t>Geen opbrengst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A94EE4" w:rsidR="00A87F02" w:rsidP="00B414D1" w:rsidRDefault="002503FD" w14:paraId="6522332C" w14:textId="78863DB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A94EE4">
              <w:rPr>
                <w:szCs w:val="18"/>
                <w:lang w:val="nl-NL"/>
              </w:rPr>
              <w:t>Instabiele grondslag door weglekgevoeligheid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9810D6" w:rsidR="00A87F02" w:rsidP="004E1C64" w:rsidRDefault="004802B7" w14:paraId="6C121EBC" w14:textId="75A8F19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C77FB3">
              <w:rPr>
                <w:szCs w:val="18"/>
                <w:lang w:val="nl-NL"/>
              </w:rPr>
              <w:t>Instabiele grondslag door weglekgevoeligheid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C77FB3" w:rsidR="004E1C64" w:rsidP="004E1C64" w:rsidRDefault="004E1C64" w14:paraId="6877BFC2" w14:textId="77777777">
            <w:pPr>
              <w:pStyle w:val="Lijstalinea"/>
              <w:numPr>
                <w:ilvl w:val="0"/>
                <w:numId w:val="6"/>
              </w:numPr>
              <w:spacing w:after="160" w:line="259" w:lineRule="auto"/>
              <w:ind w:left="227" w:hanging="170"/>
              <w:rPr>
                <w:szCs w:val="18"/>
                <w:lang w:val="nl-NL"/>
              </w:rPr>
            </w:pPr>
            <w:r w:rsidRPr="00C77FB3">
              <w:rPr>
                <w:szCs w:val="18"/>
                <w:lang w:val="nl-NL"/>
              </w:rPr>
              <w:t>Instabiele grondslag door weglekgevoeligheid</w:t>
            </w:r>
          </w:p>
          <w:p w:rsidRPr="004E1C64" w:rsidR="00767BFD" w:rsidP="0033055A" w:rsidRDefault="00767BFD" w14:paraId="15F7AB60" w14:textId="57E4DC53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4E1C64" w:rsidP="00767BFD" w:rsidRDefault="004E1C64" w14:paraId="4AA1D292" w14:textId="39B3C68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Onbekend PM</w:t>
            </w:r>
          </w:p>
          <w:p w:rsidRPr="004E1C64" w:rsidR="00767BFD" w:rsidP="0033055A" w:rsidRDefault="00767BFD" w14:paraId="39C6B7F9" w14:textId="10C52275">
            <w:pPr>
              <w:rPr>
                <w:lang w:val="nl-NL"/>
              </w:rPr>
            </w:pPr>
          </w:p>
        </w:tc>
        <w:tc>
          <w:tcPr>
            <w:tcW w:w="3111" w:type="dxa"/>
            <w:shd w:val="clear" w:color="auto" w:fill="DEEAF6" w:themeFill="accent1" w:themeFillTint="33"/>
          </w:tcPr>
          <w:p w:rsidRPr="005D4F0D" w:rsidR="004E1C64" w:rsidP="00E4214B" w:rsidRDefault="004E1C64" w14:paraId="581E9FC8" w14:textId="7414AB7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Verschillende inzichten </w:t>
            </w:r>
            <w:r w:rsidR="00A94EE4">
              <w:rPr>
                <w:lang w:val="nl-NL"/>
              </w:rPr>
              <w:t xml:space="preserve">of </w:t>
            </w:r>
            <w:r w:rsidR="005F2529">
              <w:rPr>
                <w:lang w:val="nl-NL"/>
              </w:rPr>
              <w:t xml:space="preserve">wenselijkheid van ophalen </w:t>
            </w:r>
            <w:r w:rsidR="00E4214B">
              <w:rPr>
                <w:lang w:val="nl-NL"/>
              </w:rPr>
              <w:t xml:space="preserve">gehele bedrag </w:t>
            </w:r>
            <w:r w:rsidR="005F2529">
              <w:rPr>
                <w:lang w:val="nl-NL"/>
              </w:rPr>
              <w:t>via ASB</w:t>
            </w:r>
          </w:p>
          <w:p w:rsidRPr="00767BFD" w:rsidR="005D4F0D" w:rsidP="00E4214B" w:rsidRDefault="005D4F0D" w14:paraId="6498C818" w14:textId="2EF021A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Ambtelijke consensus </w:t>
            </w:r>
            <w:r w:rsidR="00DF59CF">
              <w:rPr>
                <w:lang w:val="nl-NL"/>
              </w:rPr>
              <w:t xml:space="preserve">over de wenselijkheid van </w:t>
            </w:r>
            <w:r>
              <w:rPr>
                <w:lang w:val="nl-NL"/>
              </w:rPr>
              <w:t>belasten van zuiveringsslib en bodemas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896B3B" w:rsidR="00896B3B" w:rsidP="00896B3B" w:rsidRDefault="00E4214B" w14:paraId="555F80E0" w14:textId="690E7B3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Instabiele grondslag door verduurzaming en weglek</w:t>
            </w:r>
          </w:p>
          <w:p w:rsidRPr="00D865E4" w:rsidR="00896B3B" w:rsidP="00896B3B" w:rsidRDefault="00896B3B" w14:paraId="784C4423" w14:textId="2C27759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896B3B">
              <w:rPr>
                <w:lang w:val="nl-NL"/>
              </w:rPr>
              <w:t xml:space="preserve">NB. alleen opbrengst indien de terugsluis wordt afgeschaft. </w:t>
            </w:r>
            <w:r w:rsidRPr="000D3374" w:rsidR="000D3374">
              <w:rPr>
                <w:lang w:val="nl-NL"/>
              </w:rPr>
              <w:t>51 mln. in 2027 en € 99 mln. in 2028. Opbrengst in latere jaren afhankelijk van maatvoering</w:t>
            </w:r>
          </w:p>
        </w:tc>
      </w:tr>
      <w:tr w:rsidRPr="00362B16" w:rsidR="00367F9E" w:rsidTr="0C44B9A3" w14:paraId="5657F2A1" w14:textId="20DEFD09">
        <w:trPr>
          <w:cantSplit/>
          <w:trHeight w:val="998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5B4425B2" w14:textId="27D56BAC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Klimaat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C74860" w:rsidR="00367F9E" w:rsidP="00367F9E" w:rsidRDefault="00367F9E" w14:paraId="2E00A7DB" w14:textId="54BE27D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 xml:space="preserve">lende </w:t>
            </w:r>
            <w:r w:rsidRPr="004F5B96">
              <w:rPr>
                <w:szCs w:val="18"/>
                <w:lang w:val="nl-NL"/>
              </w:rPr>
              <w:t>inzichten over verwachting additionele CO</w:t>
            </w:r>
            <w:r w:rsidRPr="004F5B96">
              <w:rPr>
                <w:szCs w:val="18"/>
                <w:vertAlign w:val="subscript"/>
                <w:lang w:val="nl-NL"/>
              </w:rPr>
              <w:t>2</w:t>
            </w:r>
            <w:r w:rsidRPr="004F5B96">
              <w:rPr>
                <w:szCs w:val="18"/>
                <w:lang w:val="nl-NL"/>
              </w:rPr>
              <w:t>-reductie.</w:t>
            </w:r>
          </w:p>
          <w:p w:rsidRPr="00367F9E" w:rsidR="00367F9E" w:rsidP="00367F9E" w:rsidRDefault="00367F9E" w14:paraId="60670656" w14:textId="6A34516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54747C" w:rsidR="00367F9E" w:rsidP="00367F9E" w:rsidRDefault="00367F9E" w14:paraId="323677A1" w14:textId="2B3C2A8F">
            <w:pPr>
              <w:rPr>
                <w:szCs w:val="18"/>
                <w:u w:val="single"/>
                <w:lang w:val="nl-NL"/>
              </w:rPr>
            </w:pPr>
            <w:r w:rsidRPr="0054747C">
              <w:rPr>
                <w:szCs w:val="18"/>
                <w:u w:val="single"/>
                <w:lang w:val="nl-NL"/>
              </w:rPr>
              <w:t>Inzichten Trinomics:</w:t>
            </w:r>
          </w:p>
          <w:p w:rsidRPr="007D7469" w:rsidR="00367F9E" w:rsidP="00367F9E" w:rsidRDefault="00367F9E" w14:paraId="4543C026" w14:textId="1E0A94C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E96230">
              <w:rPr>
                <w:szCs w:val="18"/>
                <w:lang w:val="nl-NL"/>
              </w:rPr>
              <w:t>Onderz</w:t>
            </w:r>
            <w:r>
              <w:rPr>
                <w:szCs w:val="18"/>
                <w:lang w:val="nl-NL"/>
              </w:rPr>
              <w:t>oe</w:t>
            </w:r>
            <w:r w:rsidRPr="00E96230">
              <w:rPr>
                <w:szCs w:val="18"/>
                <w:lang w:val="nl-NL"/>
              </w:rPr>
              <w:t xml:space="preserve">k raamt vrijwel geen of heel beperkt effect </w:t>
            </w:r>
          </w:p>
          <w:p w:rsidRPr="00237F69" w:rsidR="00367F9E" w:rsidP="00367F9E" w:rsidRDefault="00367F9E" w14:paraId="6B6B07ED" w14:textId="5C772405">
            <w:pPr>
              <w:rPr>
                <w:lang w:val="nl-NL"/>
              </w:rPr>
            </w:pP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0775E1" w:rsidR="00367F9E" w:rsidP="00367F9E" w:rsidRDefault="00367F9E" w14:paraId="7DEBFCC3" w14:textId="61ADBA81">
            <w:pPr>
              <w:rPr>
                <w:b/>
                <w:bCs/>
                <w:szCs w:val="18"/>
                <w:lang w:val="nl-NL"/>
              </w:rPr>
            </w:pPr>
            <w:r w:rsidRPr="00706126">
              <w:rPr>
                <w:szCs w:val="18"/>
                <w:u w:val="single"/>
                <w:lang w:val="nl-NL"/>
              </w:rPr>
              <w:t>Inzichten Trinomics</w:t>
            </w:r>
          </w:p>
          <w:p w:rsidRPr="00E96230" w:rsidR="00367F9E" w:rsidP="00367F9E" w:rsidRDefault="00367F9E" w14:paraId="74F6B703" w14:textId="1C77CF9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Zelfde aangrijpingspunt als de norm</w:t>
            </w:r>
          </w:p>
          <w:p w:rsidRPr="0066206F" w:rsidR="00367F9E" w:rsidP="00367F9E" w:rsidRDefault="00367F9E" w14:paraId="041C0484" w14:textId="2D97E57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Additionele effect bovenop norm is twijfelachtig 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706126" w:rsidR="00367F9E" w:rsidP="00367F9E" w:rsidRDefault="00367F9E" w14:paraId="77B87A29" w14:textId="57A4A514">
            <w:pPr>
              <w:rPr>
                <w:szCs w:val="18"/>
                <w:u w:val="single"/>
                <w:lang w:val="nl-NL"/>
              </w:rPr>
            </w:pPr>
            <w:r w:rsidRPr="00706126">
              <w:rPr>
                <w:szCs w:val="18"/>
                <w:u w:val="single"/>
                <w:lang w:val="nl-NL"/>
              </w:rPr>
              <w:t>Inzichten Trinomics:</w:t>
            </w:r>
          </w:p>
          <w:p w:rsidRPr="00706126" w:rsidR="00367F9E" w:rsidP="00367F9E" w:rsidRDefault="00367F9E" w14:paraId="6DFC85B2" w14:textId="471C579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Klimaateffect laag en onzeker (grote bandbreedte)</w:t>
            </w:r>
          </w:p>
          <w:p w:rsidRPr="00380D8B" w:rsidR="00367F9E" w:rsidP="00367F9E" w:rsidRDefault="00367F9E" w14:paraId="27DDE460" w14:textId="789D153D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237F69" w:rsidR="00367F9E" w:rsidP="00367F9E" w:rsidRDefault="00367F9E" w14:paraId="41E5E158" w14:textId="3DADA0F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 w:val="19"/>
                <w:szCs w:val="19"/>
                <w:lang w:val="nl-NL"/>
              </w:rPr>
            </w:pPr>
            <w:r>
              <w:rPr>
                <w:szCs w:val="18"/>
                <w:lang w:val="nl-NL"/>
              </w:rPr>
              <w:t>Nog afhankelijk van vormgeving (wel of geen differentiatie circulaire plastics)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8604EE" w:rsidR="00367F9E" w:rsidP="00367F9E" w:rsidRDefault="00367F9E" w14:paraId="0A79050D" w14:textId="5CA0905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33055A">
              <w:rPr>
                <w:szCs w:val="18"/>
                <w:lang w:val="nl-NL"/>
              </w:rPr>
              <w:t>Weinig extra CO2 reductie in 2030: minder verbranding, maar ook beperking prikkel CO2-afvang</w:t>
            </w:r>
          </w:p>
          <w:p w:rsidRPr="00CD2013" w:rsidR="00367F9E" w:rsidP="00367F9E" w:rsidRDefault="00367F9E" w14:paraId="65227DE4" w14:textId="7DAC04BE">
            <w:pPr>
              <w:rPr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Pr="005E0021" w:rsidR="00367F9E" w:rsidP="00367F9E" w:rsidRDefault="00367F9E" w14:paraId="3FECD381" w14:textId="446ABB7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Verschillende inzichten over effect op verduurzaming </w:t>
            </w:r>
          </w:p>
          <w:p w:rsidRPr="00CD2013" w:rsidR="00367F9E" w:rsidP="00367F9E" w:rsidRDefault="00367F9E" w14:paraId="259E01BC" w14:textId="45272112">
            <w:pPr>
              <w:rPr>
                <w:bCs/>
                <w:lang w:val="nl-NL"/>
              </w:rPr>
            </w:pPr>
          </w:p>
        </w:tc>
      </w:tr>
      <w:tr w:rsidRPr="00362B16" w:rsidR="00367F9E" w:rsidTr="0C44B9A3" w14:paraId="1D7BD87D" w14:textId="39B55D5E">
        <w:trPr>
          <w:cantSplit/>
          <w:trHeight w:val="179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4AF74BEE" w14:textId="445C4AF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 xml:space="preserve">Circulair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C74860" w:rsidR="00367F9E" w:rsidP="00367F9E" w:rsidRDefault="00367F9E" w14:paraId="6DCB9E28" w14:textId="5E89755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>lende</w:t>
            </w:r>
            <w:r w:rsidRPr="004F5B96">
              <w:rPr>
                <w:szCs w:val="18"/>
                <w:lang w:val="nl-NL"/>
              </w:rPr>
              <w:t xml:space="preserve"> inzichten over verwachting additionele CE-reductie.</w:t>
            </w:r>
          </w:p>
          <w:p w:rsidRPr="00367F9E" w:rsidR="00367F9E" w:rsidP="00367F9E" w:rsidRDefault="00367F9E" w14:paraId="0C28D97B" w14:textId="377F441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BD5429" w:rsidR="00367F9E" w:rsidP="00367F9E" w:rsidRDefault="00367F9E" w14:paraId="5FB1878E" w14:textId="77777777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>Inzichten Trinomics:</w:t>
            </w:r>
          </w:p>
          <w:p w:rsidRPr="0009549F" w:rsidR="00367F9E" w:rsidP="00367F9E" w:rsidRDefault="00367F9E" w14:paraId="162C0C5E" w14:textId="78E8192F">
            <w:pPr>
              <w:rPr>
                <w:lang w:val="nl-NL"/>
              </w:rPr>
            </w:pPr>
            <w:r>
              <w:rPr>
                <w:szCs w:val="18"/>
                <w:lang w:val="nl-NL"/>
              </w:rPr>
              <w:t>Trinomics</w:t>
            </w:r>
            <w:r w:rsidRPr="00864594">
              <w:rPr>
                <w:szCs w:val="18"/>
                <w:lang w:val="nl-NL"/>
              </w:rPr>
              <w:t xml:space="preserve"> raamt </w:t>
            </w:r>
            <w:r>
              <w:rPr>
                <w:szCs w:val="18"/>
                <w:lang w:val="nl-NL"/>
              </w:rPr>
              <w:t>vrijwel geen of heel beperkt effect op circulaire plastic transitie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BD5429" w:rsidR="00367F9E" w:rsidP="00367F9E" w:rsidRDefault="00367F9E" w14:paraId="178546C0" w14:textId="08AD79C0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>Inzichten Trinomics:</w:t>
            </w:r>
          </w:p>
          <w:p w:rsidRPr="00275A8D" w:rsidR="00367F9E" w:rsidP="00367F9E" w:rsidRDefault="00367F9E" w14:paraId="32E32CF8" w14:textId="47C5442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szCs w:val="18"/>
                <w:lang w:val="nl-NL"/>
              </w:rPr>
              <w:t>Additionele effect bovenop norm is twijfelachtig, mogelijk zelfs negatief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BD5429" w:rsidR="00367F9E" w:rsidP="00367F9E" w:rsidRDefault="00367F9E" w14:paraId="608E467E" w14:textId="5E7DF328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>Inzichten Trinomics:</w:t>
            </w:r>
          </w:p>
          <w:p w:rsidRPr="00706126" w:rsidR="00367F9E" w:rsidP="00367F9E" w:rsidRDefault="00367F9E" w14:paraId="74E161E7" w14:textId="328C460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Circulair effect laag en onzeker (grote bandbreedte)</w:t>
            </w:r>
          </w:p>
          <w:p w:rsidRPr="00237F69" w:rsidR="00367F9E" w:rsidP="00367F9E" w:rsidRDefault="00367F9E" w14:paraId="38AF3798" w14:textId="091B22C9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275A8D" w:rsidR="00367F9E" w:rsidP="00367F9E" w:rsidRDefault="00367F9E" w14:paraId="5040F01F" w14:textId="26FB2F2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Nog afhankelijk van vormgeving (wel of geen differentiatie circulaire plastics)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6418D8" w:rsidR="00367F9E" w:rsidP="00367F9E" w:rsidRDefault="00367F9E" w14:paraId="16B1926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lang w:val="nl-NL"/>
              </w:rPr>
              <w:t xml:space="preserve">Verschillende inzichten over mate van afvalreductie </w:t>
            </w:r>
            <w:r>
              <w:rPr>
                <w:lang w:val="nl-NL"/>
              </w:rPr>
              <w:t xml:space="preserve">en manier van aanbieden afval </w:t>
            </w:r>
            <w:r w:rsidRPr="006418D8">
              <w:rPr>
                <w:lang w:val="nl-NL"/>
              </w:rPr>
              <w:t xml:space="preserve">bij generieke tariefverhoging en risico’s </w:t>
            </w:r>
            <w:r w:rsidRPr="006418D8">
              <w:rPr>
                <w:szCs w:val="18"/>
                <w:lang w:val="nl-NL"/>
              </w:rPr>
              <w:t xml:space="preserve">dumping </w:t>
            </w:r>
          </w:p>
          <w:p w:rsidRPr="006418D8" w:rsidR="00367F9E" w:rsidP="00367F9E" w:rsidRDefault="00367F9E" w14:paraId="73F6F117" w14:textId="0E4313D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szCs w:val="18"/>
                <w:lang w:val="nl-NL"/>
              </w:rPr>
              <w:t>Nader</w:t>
            </w:r>
            <w:r>
              <w:rPr>
                <w:szCs w:val="18"/>
                <w:lang w:val="nl-NL"/>
              </w:rPr>
              <w:t xml:space="preserve"> te bespreken</w:t>
            </w:r>
            <w:r w:rsidRPr="006418D8">
              <w:rPr>
                <w:szCs w:val="18"/>
                <w:lang w:val="nl-NL"/>
              </w:rPr>
              <w:t xml:space="preserve">: effect schoksgewijze stijging belasting </w:t>
            </w:r>
            <w:r>
              <w:rPr>
                <w:szCs w:val="18"/>
                <w:lang w:val="nl-NL"/>
              </w:rPr>
              <w:t xml:space="preserve">en effect </w:t>
            </w:r>
            <w:r w:rsidRPr="006418D8">
              <w:rPr>
                <w:szCs w:val="18"/>
                <w:lang w:val="nl-NL"/>
              </w:rPr>
              <w:t xml:space="preserve">verhogen tarief ‘stort met ontheffing’  </w:t>
            </w:r>
          </w:p>
          <w:p w:rsidRPr="0009549F" w:rsidR="00367F9E" w:rsidP="00367F9E" w:rsidRDefault="00367F9E" w14:paraId="174CC981" w14:textId="1F7E30F8">
            <w:pPr>
              <w:rPr>
                <w:b/>
                <w:bCs/>
                <w:szCs w:val="18"/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Pr="006418D8" w:rsidR="00367F9E" w:rsidP="00367F9E" w:rsidRDefault="00367F9E" w14:paraId="15CBC940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lang w:val="nl-NL"/>
              </w:rPr>
              <w:t xml:space="preserve">Verschillende inzichten over mate van afvalreductie bij generieke tariefverhoging en risico’s </w:t>
            </w:r>
            <w:r w:rsidRPr="006418D8">
              <w:rPr>
                <w:szCs w:val="18"/>
                <w:lang w:val="nl-NL"/>
              </w:rPr>
              <w:t xml:space="preserve">dumping </w:t>
            </w:r>
          </w:p>
          <w:p w:rsidRPr="00CD2013" w:rsidR="00367F9E" w:rsidP="00367F9E" w:rsidRDefault="00367F9E" w14:paraId="7DCBB157" w14:textId="6310C5B1">
            <w:pPr>
              <w:ind w:left="57"/>
              <w:rPr>
                <w:b/>
                <w:bCs/>
                <w:lang w:val="nl-NL"/>
              </w:rPr>
            </w:pPr>
          </w:p>
        </w:tc>
      </w:tr>
      <w:tr w:rsidRPr="00C75571" w:rsidR="00367F9E" w:rsidTr="0C44B9A3" w14:paraId="615638EC" w14:textId="0A5F60C7">
        <w:trPr>
          <w:cantSplit/>
          <w:trHeight w:val="167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249A29B9" w14:textId="141F0648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Economisch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4F5B96" w:rsidR="00367F9E" w:rsidP="00367F9E" w:rsidRDefault="00367F9E" w14:paraId="7A93F806" w14:textId="5F9E25EC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b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>lende</w:t>
            </w:r>
            <w:r w:rsidRPr="004F5B96">
              <w:rPr>
                <w:szCs w:val="18"/>
                <w:lang w:val="nl-NL"/>
              </w:rPr>
              <w:t xml:space="preserve"> inzichten over </w:t>
            </w:r>
            <w:r w:rsidR="002F6910">
              <w:rPr>
                <w:szCs w:val="18"/>
                <w:lang w:val="nl-NL"/>
              </w:rPr>
              <w:t xml:space="preserve">de te </w:t>
            </w:r>
            <w:r w:rsidRPr="004F5B96">
              <w:rPr>
                <w:szCs w:val="18"/>
                <w:lang w:val="nl-NL"/>
              </w:rPr>
              <w:t>verwachte</w:t>
            </w:r>
            <w:r w:rsidR="002F6910">
              <w:rPr>
                <w:szCs w:val="18"/>
                <w:lang w:val="nl-NL"/>
              </w:rPr>
              <w:t>n economische effecten</w:t>
            </w:r>
            <w:r w:rsidRPr="004F5B96">
              <w:rPr>
                <w:szCs w:val="18"/>
                <w:lang w:val="nl-NL"/>
              </w:rPr>
              <w:t>.</w:t>
            </w:r>
          </w:p>
          <w:p w:rsidRPr="0072584E" w:rsidR="00367F9E" w:rsidP="004F5B96" w:rsidRDefault="00367F9E" w14:paraId="7FBAB393" w14:textId="5121ABF2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  <w:p w:rsidRPr="00CD2013" w:rsidR="00367F9E" w:rsidP="00367F9E" w:rsidRDefault="00367F9E" w14:paraId="604B026B" w14:textId="13495D35">
            <w:pPr>
              <w:rPr>
                <w:b/>
                <w:bCs/>
                <w:lang w:val="nl-NL"/>
              </w:rPr>
            </w:pP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12EF" w:rsidR="00367F9E" w:rsidP="00367F9E" w:rsidRDefault="00367F9E" w14:paraId="78468AF5" w14:textId="61FD23E8">
            <w:pPr>
              <w:rPr>
                <w:szCs w:val="18"/>
                <w:u w:val="single"/>
                <w:lang w:val="nl-NL"/>
              </w:rPr>
            </w:pPr>
            <w:r>
              <w:rPr>
                <w:szCs w:val="18"/>
                <w:u w:val="single"/>
                <w:lang w:val="nl-NL"/>
              </w:rPr>
              <w:t>Inzichten Trinomics</w:t>
            </w:r>
          </w:p>
          <w:p w:rsidR="00367F9E" w:rsidP="00367F9E" w:rsidRDefault="00367F9E" w14:paraId="670750D0" w14:textId="2B03636E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88622F">
              <w:rPr>
                <w:szCs w:val="18"/>
                <w:lang w:val="nl-NL"/>
              </w:rPr>
              <w:t>Leidt tot productieverliezen van 16-56% gemiddeld.</w:t>
            </w:r>
          </w:p>
          <w:p w:rsidRPr="0072584E" w:rsidR="00367F9E" w:rsidP="004F5B96" w:rsidRDefault="00367F9E" w14:paraId="493F73ED" w14:textId="13CE3B42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Stijging operationele kosten voor polymeerproducenten: 4,2%. Dit slaat neer bij grote bedrijven.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12EF" w:rsidR="00367F9E" w:rsidP="00367F9E" w:rsidRDefault="00367F9E" w14:paraId="1E892FD2" w14:textId="4E134CE1">
            <w:pPr>
              <w:spacing w:line="259" w:lineRule="auto"/>
              <w:rPr>
                <w:szCs w:val="18"/>
                <w:u w:val="single"/>
                <w:lang w:val="nl-NL"/>
              </w:rPr>
            </w:pPr>
            <w:r>
              <w:rPr>
                <w:szCs w:val="18"/>
                <w:u w:val="single"/>
                <w:lang w:val="nl-NL"/>
              </w:rPr>
              <w:t>Inzichten Trinomics</w:t>
            </w:r>
          </w:p>
          <w:p w:rsidRPr="00CD2013" w:rsidR="00367F9E" w:rsidP="00367F9E" w:rsidRDefault="00367F9E" w14:paraId="03CD0E78" w14:textId="64B3F118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CD2013">
              <w:rPr>
                <w:szCs w:val="18"/>
                <w:lang w:val="nl-NL"/>
              </w:rPr>
              <w:t>Leidt tot productieverliezen van 17-25% gemiddeld.</w:t>
            </w:r>
          </w:p>
          <w:p w:rsidRPr="0009549F" w:rsidR="00367F9E" w:rsidP="00367F9E" w:rsidRDefault="00367F9E" w14:paraId="224F1D25" w14:textId="1D8A2D0A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Stijging operationele kosten voor polymeerverwerkers: 6,8%. Dit slaat veelal neer bij mkb’ers.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="00367F9E" w:rsidP="00367F9E" w:rsidRDefault="00367F9E" w14:paraId="5E66ADF4" w14:textId="7C788CB5">
            <w:pPr>
              <w:rPr>
                <w:u w:val="single"/>
              </w:rPr>
            </w:pPr>
            <w:r>
              <w:rPr>
                <w:u w:val="single"/>
              </w:rPr>
              <w:t>Inzichten Trinomics</w:t>
            </w:r>
          </w:p>
          <w:p w:rsidRPr="007F0FFE" w:rsidR="00367F9E" w:rsidP="00367F9E" w:rsidRDefault="00367F9E" w14:paraId="2619A860" w14:textId="70941B25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PM: nadere bespreking met onderzoekers</w:t>
            </w:r>
            <w:r w:rsidRPr="000775E1">
              <w:rPr>
                <w:szCs w:val="18"/>
                <w:lang w:val="nl-NL"/>
              </w:rPr>
              <w:t>.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Pr="000775E1" w:rsidR="00367F9E" w:rsidP="00367F9E" w:rsidRDefault="00367F9E" w14:paraId="616BB7EC" w14:textId="5F54C740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Weglekrisico’s zijn </w:t>
            </w:r>
            <w:r w:rsidR="006D1915">
              <w:rPr>
                <w:szCs w:val="18"/>
                <w:lang w:val="nl-NL"/>
              </w:rPr>
              <w:t xml:space="preserve">waarschijnlijk </w:t>
            </w:r>
            <w:r>
              <w:rPr>
                <w:szCs w:val="18"/>
                <w:lang w:val="nl-NL"/>
              </w:rPr>
              <w:t>beperkt bij heffen op deze plek in de keten</w:t>
            </w:r>
          </w:p>
          <w:p w:rsidRPr="006D1915" w:rsidR="006D1915" w:rsidP="006D1915" w:rsidRDefault="006D1915" w14:paraId="0CF3B0C1" w14:textId="35C7EF51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PM: onderzoeksresultaten: e</w:t>
            </w:r>
            <w:r w:rsidRPr="004F5B96">
              <w:rPr>
                <w:szCs w:val="18"/>
                <w:lang w:val="nl-NL"/>
              </w:rPr>
              <w:t>conomisch</w:t>
            </w:r>
            <w:r>
              <w:rPr>
                <w:szCs w:val="18"/>
                <w:lang w:val="nl-NL"/>
              </w:rPr>
              <w:t>e</w:t>
            </w:r>
            <w:r w:rsidRPr="004F5B96">
              <w:rPr>
                <w:szCs w:val="18"/>
                <w:lang w:val="nl-NL"/>
              </w:rPr>
              <w:t xml:space="preserve"> effecten </w:t>
            </w:r>
            <w:r>
              <w:rPr>
                <w:szCs w:val="18"/>
                <w:lang w:val="nl-NL"/>
              </w:rPr>
              <w:t xml:space="preserve">nog niet bekend </w:t>
            </w:r>
            <w:r w:rsidRPr="004F5B96">
              <w:rPr>
                <w:szCs w:val="18"/>
                <w:lang w:val="nl-NL"/>
              </w:rPr>
              <w:t>.</w:t>
            </w:r>
          </w:p>
          <w:p w:rsidRPr="00B8093A" w:rsidR="00367F9E" w:rsidP="00367F9E" w:rsidRDefault="00367F9E" w14:paraId="6C037AC7" w14:textId="2B154DE5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Risico op sterke toename administratie lasten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="00367F9E" w:rsidP="00367F9E" w:rsidRDefault="00367F9E" w14:paraId="4ABFB89E" w14:textId="77777777">
            <w:pPr>
              <w:rPr>
                <w:lang w:val="nl-NL"/>
              </w:rPr>
            </w:pPr>
            <w:r w:rsidRPr="0033055A">
              <w:rPr>
                <w:lang w:val="nl-NL"/>
              </w:rPr>
              <w:t>Verschillende inzichten</w:t>
            </w:r>
            <w:r>
              <w:rPr>
                <w:lang w:val="nl-NL"/>
              </w:rPr>
              <w:t xml:space="preserve"> over:</w:t>
            </w:r>
          </w:p>
          <w:p w:rsidR="00367F9E" w:rsidP="00367F9E" w:rsidRDefault="00367F9E" w14:paraId="4D4F0BF9" w14:textId="7BBFC9DC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lang w:val="nl-NL"/>
              </w:rPr>
            </w:pPr>
            <w:r>
              <w:rPr>
                <w:lang w:val="nl-NL"/>
              </w:rPr>
              <w:t>effect van afvalbeprijzing op business case recycling</w:t>
            </w:r>
          </w:p>
          <w:p w:rsidRPr="001B40EE" w:rsidR="00367F9E" w:rsidP="00367F9E" w:rsidRDefault="00367F9E" w14:paraId="283ACB70" w14:textId="7464CF28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afwenteling van kosten en effect op afvalverwerkers</w:t>
            </w:r>
          </w:p>
          <w:p w:rsidRPr="00B8093A" w:rsidR="00367F9E" w:rsidP="00367F9E" w:rsidRDefault="00367F9E" w14:paraId="291D19F8" w14:textId="6F75162E">
            <w:pPr>
              <w:rPr>
                <w:szCs w:val="18"/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="00367F9E" w:rsidP="00367F9E" w:rsidRDefault="00367F9E" w14:paraId="70E1B497" w14:textId="77777777">
            <w:pPr>
              <w:rPr>
                <w:szCs w:val="18"/>
                <w:lang w:val="nl-NL"/>
              </w:rPr>
            </w:pPr>
            <w:r w:rsidRPr="002A4773">
              <w:rPr>
                <w:szCs w:val="18"/>
                <w:lang w:val="nl-NL"/>
              </w:rPr>
              <w:t>Verschillende inzichten over</w:t>
            </w:r>
            <w:r>
              <w:rPr>
                <w:szCs w:val="18"/>
                <w:lang w:val="nl-NL"/>
              </w:rPr>
              <w:t>:</w:t>
            </w:r>
            <w:r w:rsidRPr="002A4773">
              <w:rPr>
                <w:szCs w:val="18"/>
                <w:lang w:val="nl-NL"/>
              </w:rPr>
              <w:t xml:space="preserve"> </w:t>
            </w:r>
          </w:p>
          <w:p w:rsidRPr="002A4773" w:rsidR="00367F9E" w:rsidP="00367F9E" w:rsidRDefault="00367F9E" w14:paraId="11888589" w14:textId="5234BBE2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 w:rsidRPr="002A4773">
              <w:rPr>
                <w:szCs w:val="18"/>
                <w:lang w:val="nl-NL"/>
              </w:rPr>
              <w:t xml:space="preserve">effect van </w:t>
            </w:r>
            <w:r>
              <w:rPr>
                <w:szCs w:val="18"/>
                <w:lang w:val="nl-NL"/>
              </w:rPr>
              <w:t>CO2-</w:t>
            </w:r>
            <w:r w:rsidRPr="002A4773">
              <w:rPr>
                <w:szCs w:val="18"/>
                <w:lang w:val="nl-NL"/>
              </w:rPr>
              <w:t>beprijzing op business case recycling</w:t>
            </w:r>
          </w:p>
          <w:p w:rsidR="00367F9E" w:rsidP="00367F9E" w:rsidRDefault="00367F9E" w14:paraId="3D77879A" w14:textId="06837824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afwenteling van kosten en effect op afvalverwerkers</w:t>
            </w:r>
          </w:p>
          <w:p w:rsidR="00367F9E" w:rsidP="00367F9E" w:rsidRDefault="00367F9E" w14:paraId="0B67FE7E" w14:textId="77777777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mogelijkheden van AVIs voor CCS en nascheiding. </w:t>
            </w:r>
          </w:p>
          <w:p w:rsidRPr="004629EB" w:rsidR="00367F9E" w:rsidP="00367F9E" w:rsidRDefault="00367F9E" w14:paraId="081063AD" w14:textId="45CE0378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 w:rsidRPr="004629EB">
              <w:rPr>
                <w:szCs w:val="18"/>
                <w:lang w:val="nl-NL"/>
              </w:rPr>
              <w:t xml:space="preserve">overcapaciteit AVI’s </w:t>
            </w:r>
          </w:p>
        </w:tc>
      </w:tr>
      <w:tr w:rsidRPr="00362B16" w:rsidR="00367F9E" w:rsidTr="0C44B9A3" w14:paraId="54863212" w14:textId="77777777">
        <w:trPr>
          <w:cantSplit/>
          <w:trHeight w:val="136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61EC3BC3" w14:textId="6B4DADB4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Lasten</w:t>
            </w:r>
            <w:r>
              <w:rPr>
                <w:b/>
                <w:bCs/>
                <w:szCs w:val="18"/>
                <w:lang w:val="nl-NL"/>
              </w:rPr>
              <w:t xml:space="preserve">-verzwaring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367F9E" w:rsidR="00367F9E" w:rsidP="00367F9E" w:rsidRDefault="00367F9E" w14:paraId="08852046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>Kosten dalen neer bij polymeerverwerkers.</w:t>
            </w:r>
          </w:p>
          <w:p w:rsidRPr="00367F9E" w:rsidR="00367F9E" w:rsidP="00367F9E" w:rsidRDefault="00367F9E" w14:paraId="3EBD92D6" w14:textId="4C18B58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  <w:r w:rsidRPr="00367F9E">
              <w:rPr>
                <w:lang w:val="nl-NL"/>
              </w:rPr>
              <w:t xml:space="preserve"> 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A1F6D" w:rsidR="00367F9E" w:rsidP="00367F9E" w:rsidRDefault="00367F9E" w14:paraId="59995EC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polymeerproducenten. </w:t>
            </w:r>
          </w:p>
          <w:p w:rsidR="00367F9E" w:rsidP="00367F9E" w:rsidRDefault="00367F9E" w14:paraId="09B70445" w14:textId="6BD5D19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Beperkte kostenafwenteling naar NL entiteiten omdat veel productie bestemd is voor export 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367F9E" w:rsidR="00367F9E" w:rsidP="00367F9E" w:rsidRDefault="00367F9E" w14:paraId="4A4ABE69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polymeerverwerkers. </w:t>
            </w:r>
          </w:p>
          <w:p w:rsidRPr="006A1F6D" w:rsidR="00367F9E" w:rsidP="00367F9E" w:rsidRDefault="00367F9E" w14:paraId="041F3788" w14:textId="65893A8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</w:p>
          <w:p w:rsidR="00367F9E" w:rsidP="004F5B96" w:rsidRDefault="00367F9E" w14:paraId="4D2B8D74" w14:textId="6AF9C400">
            <w:pPr>
              <w:pStyle w:val="Lijstalinea"/>
              <w:ind w:left="227"/>
              <w:rPr>
                <w:szCs w:val="18"/>
                <w:lang w:val="nl-NL"/>
              </w:rPr>
            </w:pP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367F9E" w:rsidR="00367F9E" w:rsidP="00367F9E" w:rsidRDefault="00367F9E" w14:paraId="363CF25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polymeerverwerkers. </w:t>
            </w:r>
          </w:p>
          <w:p w:rsidRPr="00367F9E" w:rsidR="00367F9E" w:rsidP="00367F9E" w:rsidRDefault="00367F9E" w14:paraId="6FC8D7B9" w14:textId="76CF087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</w:p>
          <w:p w:rsidRPr="00F671AA" w:rsidR="00367F9E" w:rsidP="004F5B96" w:rsidRDefault="00367F9E" w14:paraId="1ADE726F" w14:textId="0AE135C8">
            <w:pPr>
              <w:pStyle w:val="Lijstalinea"/>
              <w:ind w:left="227"/>
              <w:rPr>
                <w:szCs w:val="18"/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367F9E" w:rsidP="00367F9E" w:rsidRDefault="00367F9E" w14:paraId="3E799225" w14:textId="7CD8DDD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Kosten dalen neer bij brand owners, en indirect bij consumenten van producten met verpakkingen (&gt;5% prijsstijging).  </w:t>
            </w:r>
          </w:p>
          <w:p w:rsidRPr="002503FD" w:rsidR="00367F9E" w:rsidP="00367F9E" w:rsidRDefault="00367F9E" w14:paraId="62D8D740" w14:textId="1708C1F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A1F6D">
              <w:rPr>
                <w:szCs w:val="18"/>
                <w:lang w:val="nl-NL"/>
              </w:rPr>
              <w:t>PM</w:t>
            </w:r>
            <w:r>
              <w:rPr>
                <w:szCs w:val="18"/>
                <w:lang w:val="nl-NL"/>
              </w:rPr>
              <w:t xml:space="preserve"> lastenstijging onderzoek Ecorys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F671AA" w:rsidR="00367F9E" w:rsidP="00367F9E" w:rsidRDefault="00367F9E" w14:paraId="7EC59DC5" w14:textId="633945E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F671AA">
              <w:rPr>
                <w:szCs w:val="18"/>
                <w:lang w:val="nl-NL"/>
              </w:rPr>
              <w:t xml:space="preserve">Kosten dalen neer bij </w:t>
            </w:r>
            <w:r>
              <w:rPr>
                <w:szCs w:val="18"/>
                <w:lang w:val="nl-NL"/>
              </w:rPr>
              <w:t xml:space="preserve">afvalontdoeners (bedrijven en </w:t>
            </w:r>
            <w:r w:rsidRPr="00F671AA">
              <w:rPr>
                <w:szCs w:val="18"/>
                <w:lang w:val="nl-NL"/>
              </w:rPr>
              <w:t>gemeenten</w:t>
            </w:r>
            <w:r>
              <w:rPr>
                <w:szCs w:val="18"/>
                <w:lang w:val="nl-NL"/>
              </w:rPr>
              <w:t>), en indirect bij huishoudens</w:t>
            </w:r>
            <w:r w:rsidRPr="00F671AA">
              <w:rPr>
                <w:szCs w:val="18"/>
                <w:lang w:val="nl-NL"/>
              </w:rPr>
              <w:t xml:space="preserve">. </w:t>
            </w:r>
          </w:p>
          <w:p w:rsidRPr="00F671AA" w:rsidR="00367F9E" w:rsidP="00367F9E" w:rsidRDefault="0072584E" w14:paraId="33C6A4AB" w14:textId="29E843A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PM: </w:t>
            </w:r>
            <w:r w:rsidR="002F6910">
              <w:rPr>
                <w:szCs w:val="18"/>
                <w:lang w:val="nl-NL"/>
              </w:rPr>
              <w:t xml:space="preserve">kwantificering </w:t>
            </w:r>
            <w:r>
              <w:rPr>
                <w:szCs w:val="18"/>
                <w:lang w:val="nl-NL"/>
              </w:rPr>
              <w:t>lastenstijgingen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="000D3374" w:rsidP="00367F9E" w:rsidRDefault="006608EE" w14:paraId="08962AC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Bij schrappen terugsluis zijn er minder </w:t>
            </w:r>
            <w:r w:rsidR="00B97858">
              <w:rPr>
                <w:szCs w:val="18"/>
                <w:lang w:val="nl-NL"/>
              </w:rPr>
              <w:t>subsidie</w:t>
            </w:r>
            <w:r>
              <w:rPr>
                <w:szCs w:val="18"/>
                <w:lang w:val="nl-NL"/>
              </w:rPr>
              <w:t xml:space="preserve">middelen in het Klimaatfonds. </w:t>
            </w:r>
          </w:p>
          <w:p w:rsidR="006608EE" w:rsidP="00367F9E" w:rsidRDefault="006608EE" w14:paraId="6829D1F3" w14:textId="076623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Geen lastenstijgingen t/m 2030.</w:t>
            </w:r>
            <w:r w:rsidR="0072584E">
              <w:rPr>
                <w:szCs w:val="18"/>
                <w:lang w:val="nl-NL"/>
              </w:rPr>
              <w:t xml:space="preserve"> </w:t>
            </w:r>
          </w:p>
          <w:p w:rsidR="0072584E" w:rsidP="00367F9E" w:rsidRDefault="0072584E" w14:paraId="4B1E4052" w14:textId="68B0EEF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 lastenstijging &gt;2030</w:t>
            </w:r>
          </w:p>
          <w:p w:rsidRPr="006608EE" w:rsidR="00367F9E" w:rsidP="004F5B96" w:rsidRDefault="00367F9E" w14:paraId="66A7F59B" w14:textId="2288F6C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F671AA">
              <w:rPr>
                <w:szCs w:val="18"/>
                <w:lang w:val="nl-NL"/>
              </w:rPr>
              <w:t xml:space="preserve">Kosten dalen neer bij </w:t>
            </w:r>
            <w:r>
              <w:rPr>
                <w:szCs w:val="18"/>
                <w:lang w:val="nl-NL"/>
              </w:rPr>
              <w:t xml:space="preserve">afvalontdoeners (bedrijven en </w:t>
            </w:r>
            <w:r w:rsidRPr="00F671AA">
              <w:rPr>
                <w:szCs w:val="18"/>
                <w:lang w:val="nl-NL"/>
              </w:rPr>
              <w:t>gemeenten</w:t>
            </w:r>
            <w:r>
              <w:rPr>
                <w:szCs w:val="18"/>
                <w:lang w:val="nl-NL"/>
              </w:rPr>
              <w:t xml:space="preserve">), </w:t>
            </w:r>
            <w:r w:rsidRPr="00F671AA">
              <w:rPr>
                <w:szCs w:val="18"/>
                <w:lang w:val="nl-NL"/>
              </w:rPr>
              <w:t xml:space="preserve">en </w:t>
            </w:r>
            <w:r>
              <w:rPr>
                <w:szCs w:val="18"/>
                <w:lang w:val="nl-NL"/>
              </w:rPr>
              <w:t>indirect bij huishoudens</w:t>
            </w:r>
            <w:r w:rsidRPr="00F671AA">
              <w:rPr>
                <w:szCs w:val="18"/>
                <w:lang w:val="nl-NL"/>
              </w:rPr>
              <w:t>.</w:t>
            </w:r>
          </w:p>
        </w:tc>
      </w:tr>
      <w:tr w:rsidRPr="00C75571" w:rsidR="00514CF6" w:rsidTr="0C44B9A3" w14:paraId="06EEBA57" w14:textId="77CC8BDB">
        <w:trPr>
          <w:cantSplit/>
          <w:trHeight w:val="1017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DB4574" w:rsidP="00DB4574" w:rsidRDefault="004E33DB" w14:paraId="43D2939F" w14:textId="3ECAF279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U</w:t>
            </w:r>
            <w:r w:rsidRPr="004E33DB" w:rsidR="00DB4574">
              <w:rPr>
                <w:b/>
                <w:bCs/>
                <w:szCs w:val="18"/>
                <w:lang w:val="nl-NL"/>
              </w:rPr>
              <w:t>itvoerde</w:t>
            </w:r>
            <w:r>
              <w:rPr>
                <w:b/>
                <w:bCs/>
                <w:szCs w:val="18"/>
                <w:lang w:val="nl-NL"/>
              </w:rPr>
              <w:t>r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652615" w:rsidR="00DB4574" w:rsidP="0033055A" w:rsidRDefault="001C303F" w14:paraId="3CC687C8" w14:textId="25781B3F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I</w:t>
            </w:r>
            <w:r w:rsidRPr="00652615" w:rsidR="00DB4574">
              <w:rPr>
                <w:szCs w:val="18"/>
                <w:lang w:val="nl-NL"/>
              </w:rPr>
              <w:t>nstrument in voorbereiding</w:t>
            </w:r>
            <w:r>
              <w:rPr>
                <w:szCs w:val="18"/>
                <w:lang w:val="nl-NL"/>
              </w:rPr>
              <w:t>:</w:t>
            </w:r>
            <w:r w:rsidRPr="00652615" w:rsidR="004B55C5">
              <w:rPr>
                <w:szCs w:val="18"/>
                <w:lang w:val="nl-NL"/>
              </w:rPr>
              <w:t xml:space="preserve"> ILT + NEa</w:t>
            </w:r>
            <w:r w:rsidRPr="00652615" w:rsidR="00DB4574">
              <w:rPr>
                <w:szCs w:val="18"/>
                <w:lang w:val="nl-NL"/>
              </w:rPr>
              <w:t>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2615" w:rsidR="00DB4574" w:rsidP="0033055A" w:rsidRDefault="001C303F" w14:paraId="00760518" w14:textId="086A5DC1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>og geen uitvoerder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2615" w:rsidR="00DB4574" w:rsidP="0033055A" w:rsidRDefault="001C303F" w14:paraId="4AAE2463" w14:textId="03DC497A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Nog </w:t>
            </w:r>
            <w:r w:rsidRPr="00652615" w:rsidR="00DB4574">
              <w:rPr>
                <w:szCs w:val="18"/>
                <w:lang w:val="nl-NL"/>
              </w:rPr>
              <w:t>geen uitvoerder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652615" w:rsidR="00DB4574" w:rsidP="0033055A" w:rsidRDefault="001C303F" w14:paraId="2E4DBE41" w14:textId="30B0F676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>og geen uitvoerder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Pr="00652615" w:rsidR="00DB4574" w:rsidP="0033055A" w:rsidRDefault="001C303F" w14:paraId="1701DF39" w14:textId="678E6478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 xml:space="preserve">og </w:t>
            </w:r>
            <w:r w:rsidRPr="00652615" w:rsidR="004B55C5">
              <w:rPr>
                <w:szCs w:val="18"/>
                <w:lang w:val="nl-NL"/>
              </w:rPr>
              <w:t>geen concreet voorstel, nog geen uitvoerder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652615" w:rsidR="00DB4574" w:rsidP="0033055A" w:rsidRDefault="001C303F" w14:paraId="517D6D1E" w14:textId="65D59224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B</w:t>
            </w:r>
            <w:r w:rsidRPr="00652615" w:rsidR="00DB4574">
              <w:rPr>
                <w:szCs w:val="18"/>
                <w:lang w:val="nl-NL"/>
              </w:rPr>
              <w:t>estaand instrument</w:t>
            </w:r>
            <w:r>
              <w:rPr>
                <w:szCs w:val="18"/>
                <w:lang w:val="nl-NL"/>
              </w:rPr>
              <w:t xml:space="preserve">: </w:t>
            </w:r>
            <w:r w:rsidRPr="00652615" w:rsidR="004B55C5">
              <w:rPr>
                <w:szCs w:val="18"/>
                <w:lang w:val="nl-NL"/>
              </w:rPr>
              <w:t>Belastingdienst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652615" w:rsidR="00DB4574" w:rsidP="004B55C5" w:rsidRDefault="001C303F" w14:paraId="7D1E509C" w14:textId="10FD4ECB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B</w:t>
            </w:r>
            <w:r w:rsidRPr="00652615" w:rsidR="00DB4574">
              <w:rPr>
                <w:szCs w:val="18"/>
                <w:lang w:val="nl-NL"/>
              </w:rPr>
              <w:t>estaand instrumen</w:t>
            </w:r>
            <w:r>
              <w:rPr>
                <w:szCs w:val="18"/>
                <w:lang w:val="nl-NL"/>
              </w:rPr>
              <w:t xml:space="preserve">t: </w:t>
            </w:r>
            <w:r w:rsidRPr="00652615" w:rsidR="004B55C5">
              <w:rPr>
                <w:szCs w:val="18"/>
                <w:lang w:val="nl-NL"/>
              </w:rPr>
              <w:t>NEa</w:t>
            </w:r>
          </w:p>
        </w:tc>
      </w:tr>
      <w:tr w:rsidRPr="00362B16" w:rsidR="00367F9E" w:rsidTr="0C44B9A3" w14:paraId="1195B3E6" w14:textId="0F075AD9">
        <w:trPr>
          <w:cantSplit/>
          <w:trHeight w:val="992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0F6F487E" w14:textId="2B46678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U</w:t>
            </w:r>
            <w:r w:rsidRPr="004E33DB">
              <w:rPr>
                <w:b/>
                <w:bCs/>
                <w:szCs w:val="18"/>
                <w:lang w:val="nl-NL"/>
              </w:rPr>
              <w:t>itvoerbaarheid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2D6929" w:rsidR="00367F9E" w:rsidP="00367F9E" w:rsidRDefault="00367F9E" w14:paraId="5839D93D" w14:textId="0F67CA8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Resultaten HUF-toetsen zijn meegenomen in aanpassingen en uitwerking wetsvoorstel.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2615" w:rsidR="00367F9E" w:rsidP="00367F9E" w:rsidRDefault="00367F9E" w14:paraId="4A4C95FE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 xml:space="preserve">PM oordeel uitvoeringsscan </w:t>
            </w:r>
          </w:p>
          <w:p w:rsidRPr="00652615" w:rsidR="00367F9E" w:rsidP="00367F9E" w:rsidRDefault="00367F9E" w14:paraId="3B3CB5AF" w14:textId="18B5AEF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</w:rPr>
            </w:pPr>
            <w:r w:rsidRPr="00652615">
              <w:rPr>
                <w:bCs/>
                <w:szCs w:val="18"/>
                <w:lang w:val="nl-NL"/>
              </w:rPr>
              <w:t>Overzichtelijk aantal entiteiten.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2615" w:rsidR="00367F9E" w:rsidP="00367F9E" w:rsidRDefault="00367F9E" w14:paraId="2CF89433" w14:textId="77777777">
            <w:pPr>
              <w:rPr>
                <w:bCs/>
                <w:szCs w:val="18"/>
              </w:rPr>
            </w:pPr>
            <w:r w:rsidRPr="00652615">
              <w:rPr>
                <w:bCs/>
                <w:szCs w:val="18"/>
              </w:rPr>
              <w:t xml:space="preserve">PM oordeel uitvoeringsscan </w:t>
            </w:r>
          </w:p>
          <w:p w:rsidRPr="00652615" w:rsidR="00367F9E" w:rsidP="00367F9E" w:rsidRDefault="00367F9E" w14:paraId="575A3E2B" w14:textId="799C328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Uitvoerder heffing kan (deel van de) info verkrijgen via uitvoerders plasticsnorm.</w:t>
            </w:r>
          </w:p>
          <w:p w:rsidRPr="00652615" w:rsidR="00367F9E" w:rsidP="00367F9E" w:rsidRDefault="00367F9E" w14:paraId="2312BEFC" w14:textId="3C0FE9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</w:rPr>
            </w:pPr>
            <w:r w:rsidRPr="00652615">
              <w:rPr>
                <w:bCs/>
                <w:szCs w:val="18"/>
                <w:lang w:val="nl-NL"/>
              </w:rPr>
              <w:t>Veel gereguleerde entiteiten</w:t>
            </w:r>
            <w:r w:rsidRPr="00652615">
              <w:rPr>
                <w:bCs/>
                <w:szCs w:val="18"/>
              </w:rPr>
              <w:t>.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652615" w:rsidR="00367F9E" w:rsidP="00367F9E" w:rsidRDefault="00367F9E" w14:paraId="3D110510" w14:textId="5BC02F18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oordeel uitvoeringsscan</w:t>
            </w:r>
          </w:p>
          <w:p w:rsidRPr="00652615" w:rsidR="00367F9E" w:rsidP="00367F9E" w:rsidRDefault="00367F9E" w14:paraId="4CDCB608" w14:textId="734939C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652615" w:rsidR="00367F9E" w:rsidP="00367F9E" w:rsidRDefault="00367F9E" w14:paraId="5C6F467C" w14:textId="22BE31F8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uitkomsten onderzoek Ecorys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652615" w:rsidR="00367F9E" w:rsidP="00367F9E" w:rsidRDefault="00367F9E" w14:paraId="3705C9A5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oordeel Belastingdienst</w:t>
            </w:r>
          </w:p>
          <w:p w:rsidRPr="00652615" w:rsidR="00367F9E" w:rsidP="00367F9E" w:rsidRDefault="00367F9E" w14:paraId="6E1A5311" w14:textId="74158D6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lang w:val="nl-NL"/>
              </w:rPr>
            </w:pPr>
            <w:r w:rsidRPr="00652615">
              <w:rPr>
                <w:bCs/>
                <w:lang w:val="nl-NL"/>
              </w:rPr>
              <w:t>Parameterwijziging en evt</w:t>
            </w:r>
            <w:r>
              <w:rPr>
                <w:bCs/>
                <w:lang w:val="nl-NL"/>
              </w:rPr>
              <w:t>.</w:t>
            </w:r>
            <w:r w:rsidRPr="00652615">
              <w:rPr>
                <w:bCs/>
                <w:lang w:val="nl-NL"/>
              </w:rPr>
              <w:t xml:space="preserve"> vereenvoudigende structuurwijziging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652615" w:rsidR="00367F9E" w:rsidP="00367F9E" w:rsidRDefault="00367F9E" w14:paraId="57FE4AAC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oordeel NEa</w:t>
            </w:r>
          </w:p>
          <w:p w:rsidRPr="00652615" w:rsidR="00367F9E" w:rsidP="00367F9E" w:rsidRDefault="00367F9E" w14:paraId="2834F925" w14:textId="4C37D8B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  <w:r w:rsidRPr="00652615">
              <w:rPr>
                <w:bCs/>
                <w:lang w:val="nl-NL"/>
              </w:rPr>
              <w:t>Parameterwijziging en evt</w:t>
            </w:r>
            <w:r>
              <w:rPr>
                <w:bCs/>
                <w:lang w:val="nl-NL"/>
              </w:rPr>
              <w:t>.</w:t>
            </w:r>
            <w:r w:rsidRPr="00652615">
              <w:rPr>
                <w:bCs/>
                <w:lang w:val="nl-NL"/>
              </w:rPr>
              <w:t xml:space="preserve"> structuurwijziging aangaande handel</w:t>
            </w:r>
          </w:p>
        </w:tc>
      </w:tr>
      <w:tr w:rsidRPr="00362B16" w:rsidR="0033055A" w:rsidTr="0C44B9A3" w14:paraId="78B1FD54" w14:textId="77777777">
        <w:trPr>
          <w:cantSplit/>
          <w:trHeight w:val="137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DB4574" w:rsidP="00DB4574" w:rsidRDefault="00DB4574" w14:paraId="50E454EB" w14:textId="0EC9346E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Interactie met norm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09549F" w:rsidR="00DB4574" w:rsidP="00DB4574" w:rsidRDefault="004629EB" w14:paraId="629AA099" w14:textId="39B0E286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Niet van toepassing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2503FD" w:rsidR="00DB4574" w:rsidP="0033055A" w:rsidRDefault="007E2438" w14:paraId="610FF6A1" w14:textId="4711102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Verschillende inzichten over </w:t>
            </w:r>
            <w:r w:rsidR="002575E7">
              <w:rPr>
                <w:szCs w:val="18"/>
                <w:lang w:val="nl-NL"/>
              </w:rPr>
              <w:t xml:space="preserve">of de maatregel en de norm complementair zijn of lasten stapelen 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8403C" w:rsidR="00DB4574" w:rsidP="00DB4574" w:rsidRDefault="002575E7" w14:paraId="3C7571A7" w14:textId="447071E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Maatregel dubbelt </w:t>
            </w:r>
            <w:r w:rsidR="007E2438">
              <w:rPr>
                <w:szCs w:val="18"/>
                <w:lang w:val="nl-NL"/>
              </w:rPr>
              <w:t xml:space="preserve">met </w:t>
            </w:r>
            <w:r>
              <w:rPr>
                <w:szCs w:val="18"/>
                <w:lang w:val="nl-NL"/>
              </w:rPr>
              <w:t xml:space="preserve">de </w:t>
            </w:r>
            <w:r w:rsidR="007E2438">
              <w:rPr>
                <w:szCs w:val="18"/>
                <w:lang w:val="nl-NL"/>
              </w:rPr>
              <w:t xml:space="preserve">norm 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="002575E7" w:rsidP="00DB4574" w:rsidRDefault="002575E7" w14:paraId="132E4916" w14:textId="1580F85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Maatregel </w:t>
            </w:r>
            <w:r w:rsidRPr="004F5B96">
              <w:rPr>
                <w:szCs w:val="18"/>
                <w:lang w:val="nl-NL"/>
              </w:rPr>
              <w:t xml:space="preserve">vervangt </w:t>
            </w:r>
            <w:r w:rsidR="00E86A77">
              <w:rPr>
                <w:szCs w:val="18"/>
                <w:lang w:val="nl-NL"/>
              </w:rPr>
              <w:t xml:space="preserve">de norm of het </w:t>
            </w:r>
            <w:r w:rsidRPr="004F5B96" w:rsidR="006D1915">
              <w:rPr>
                <w:szCs w:val="18"/>
                <w:lang w:val="nl-NL"/>
              </w:rPr>
              <w:t xml:space="preserve">handelssysteem van </w:t>
            </w:r>
            <w:r w:rsidRPr="004F5B96">
              <w:rPr>
                <w:szCs w:val="18"/>
                <w:lang w:val="nl-NL"/>
              </w:rPr>
              <w:t>de norm</w:t>
            </w:r>
            <w:r>
              <w:rPr>
                <w:szCs w:val="18"/>
                <w:lang w:val="nl-NL"/>
              </w:rPr>
              <w:t xml:space="preserve">, met </w:t>
            </w:r>
            <w:r w:rsidR="00BF4A24">
              <w:rPr>
                <w:szCs w:val="18"/>
                <w:lang w:val="nl-NL"/>
              </w:rPr>
              <w:t xml:space="preserve">als gevolg </w:t>
            </w:r>
            <w:r>
              <w:rPr>
                <w:szCs w:val="18"/>
                <w:lang w:val="nl-NL"/>
              </w:rPr>
              <w:t xml:space="preserve">vertraging in implementatie. </w:t>
            </w:r>
          </w:p>
          <w:p w:rsidRPr="00A5200B" w:rsidR="00A5200B" w:rsidP="0033055A" w:rsidRDefault="00A5200B" w14:paraId="0095F47B" w14:textId="5F3CDC18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4629EB" w:rsidP="004629EB" w:rsidRDefault="003C4BB8" w14:paraId="4CFAFAF5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Nog afhankelijk van vormgeving. </w:t>
            </w:r>
          </w:p>
          <w:p w:rsidRPr="004629EB" w:rsidR="00DB4574" w:rsidP="004629EB" w:rsidRDefault="00AF6C3B" w14:paraId="13D0B9E0" w14:textId="5C0F2B3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629EB">
              <w:rPr>
                <w:szCs w:val="18"/>
                <w:lang w:val="nl-NL"/>
              </w:rPr>
              <w:t xml:space="preserve">Bij differentiatie circulaire plastics: complementair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33055A" w:rsidR="00DB4574" w:rsidP="008B2703" w:rsidRDefault="00052158" w14:paraId="497779C7" w14:textId="225DB22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33055A">
              <w:rPr>
                <w:szCs w:val="18"/>
                <w:lang w:val="nl-NL"/>
              </w:rPr>
              <w:t xml:space="preserve">Verschillende inzichten over of </w:t>
            </w:r>
            <w:r w:rsidR="007C5B55">
              <w:rPr>
                <w:szCs w:val="18"/>
                <w:lang w:val="nl-NL"/>
              </w:rPr>
              <w:t xml:space="preserve">de maatregel </w:t>
            </w:r>
            <w:r w:rsidRPr="0033055A">
              <w:rPr>
                <w:szCs w:val="18"/>
                <w:lang w:val="nl-NL"/>
              </w:rPr>
              <w:t xml:space="preserve">normdoelbereik vergemakkelijkt 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33055A" w:rsidR="00DB4574" w:rsidP="0033055A" w:rsidRDefault="00052158" w14:paraId="07879D80" w14:textId="30DD131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CE195D">
              <w:rPr>
                <w:szCs w:val="18"/>
                <w:lang w:val="nl-NL"/>
              </w:rPr>
              <w:t xml:space="preserve">Verschillende inzichten over of </w:t>
            </w:r>
            <w:r w:rsidR="007C5B55">
              <w:rPr>
                <w:szCs w:val="18"/>
                <w:lang w:val="nl-NL"/>
              </w:rPr>
              <w:t xml:space="preserve">de maatregel </w:t>
            </w:r>
            <w:r w:rsidRPr="00CE195D">
              <w:rPr>
                <w:szCs w:val="18"/>
                <w:lang w:val="nl-NL"/>
              </w:rPr>
              <w:t xml:space="preserve">normdoelbereik vergemakkelijkt </w:t>
            </w:r>
          </w:p>
        </w:tc>
      </w:tr>
    </w:tbl>
    <w:p w:rsidRPr="0009549F" w:rsidR="007E2166" w:rsidP="00FE1F36" w:rsidRDefault="007E2166" w14:paraId="0C55D89A" w14:textId="77777777">
      <w:pPr>
        <w:rPr>
          <w:szCs w:val="18"/>
          <w:lang w:val="nl-NL"/>
        </w:rPr>
      </w:pPr>
    </w:p>
    <w:sectPr w:rsidRPr="0009549F" w:rsidR="007E2166" w:rsidSect="006E72A7">
      <w:pgSz w:w="23811" w:h="16838" w:orient="landscape" w:code="8"/>
      <w:pgMar w:top="426" w:right="1440" w:bottom="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F928" w14:textId="77777777" w:rsidR="001A488B" w:rsidRDefault="001A488B" w:rsidP="001A4195">
      <w:pPr>
        <w:spacing w:after="0" w:line="240" w:lineRule="auto"/>
      </w:pPr>
      <w:r>
        <w:separator/>
      </w:r>
    </w:p>
  </w:endnote>
  <w:endnote w:type="continuationSeparator" w:id="0">
    <w:p w14:paraId="095C1BF0" w14:textId="77777777" w:rsidR="001A488B" w:rsidRDefault="001A488B" w:rsidP="001A4195">
      <w:pPr>
        <w:spacing w:after="0" w:line="240" w:lineRule="auto"/>
      </w:pPr>
      <w:r>
        <w:continuationSeparator/>
      </w:r>
    </w:p>
  </w:endnote>
  <w:endnote w:type="continuationNotice" w:id="1">
    <w:p w14:paraId="31423819" w14:textId="77777777" w:rsidR="001A488B" w:rsidRDefault="001A4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3371" w14:textId="77777777" w:rsidR="001A488B" w:rsidRDefault="001A488B" w:rsidP="001A4195">
      <w:pPr>
        <w:spacing w:after="0" w:line="240" w:lineRule="auto"/>
      </w:pPr>
      <w:r>
        <w:separator/>
      </w:r>
    </w:p>
  </w:footnote>
  <w:footnote w:type="continuationSeparator" w:id="0">
    <w:p w14:paraId="66D42DE4" w14:textId="77777777" w:rsidR="001A488B" w:rsidRDefault="001A488B" w:rsidP="001A4195">
      <w:pPr>
        <w:spacing w:after="0" w:line="240" w:lineRule="auto"/>
      </w:pPr>
      <w:r>
        <w:continuationSeparator/>
      </w:r>
    </w:p>
  </w:footnote>
  <w:footnote w:type="continuationNotice" w:id="1">
    <w:p w14:paraId="6BF956DD" w14:textId="77777777" w:rsidR="001A488B" w:rsidRDefault="001A48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11"/>
    <w:multiLevelType w:val="hybridMultilevel"/>
    <w:tmpl w:val="7B6EC276"/>
    <w:lvl w:ilvl="0" w:tplc="5312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56B"/>
    <w:multiLevelType w:val="hybridMultilevel"/>
    <w:tmpl w:val="BC02313C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061129"/>
    <w:multiLevelType w:val="hybridMultilevel"/>
    <w:tmpl w:val="0762AA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65D5D"/>
    <w:multiLevelType w:val="hybridMultilevel"/>
    <w:tmpl w:val="1A0CAB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56DE"/>
    <w:multiLevelType w:val="hybridMultilevel"/>
    <w:tmpl w:val="98A42F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97AAF"/>
    <w:multiLevelType w:val="multilevel"/>
    <w:tmpl w:val="DCBA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D144C6"/>
    <w:multiLevelType w:val="hybridMultilevel"/>
    <w:tmpl w:val="8E00FA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70960"/>
    <w:multiLevelType w:val="hybridMultilevel"/>
    <w:tmpl w:val="AA10A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6FA"/>
    <w:multiLevelType w:val="hybridMultilevel"/>
    <w:tmpl w:val="2D22D6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843CF"/>
    <w:multiLevelType w:val="hybridMultilevel"/>
    <w:tmpl w:val="4A5C3C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552DA"/>
    <w:multiLevelType w:val="hybridMultilevel"/>
    <w:tmpl w:val="F66E87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E7037"/>
    <w:multiLevelType w:val="hybridMultilevel"/>
    <w:tmpl w:val="9D5659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67B11"/>
    <w:multiLevelType w:val="hybridMultilevel"/>
    <w:tmpl w:val="05027A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93DDA"/>
    <w:multiLevelType w:val="hybridMultilevel"/>
    <w:tmpl w:val="45BCD3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D1115B"/>
    <w:multiLevelType w:val="hybridMultilevel"/>
    <w:tmpl w:val="F2344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0F1318"/>
    <w:multiLevelType w:val="hybridMultilevel"/>
    <w:tmpl w:val="796454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1761D"/>
    <w:multiLevelType w:val="multilevel"/>
    <w:tmpl w:val="0EE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C9B7628"/>
    <w:multiLevelType w:val="hybridMultilevel"/>
    <w:tmpl w:val="56F6A040"/>
    <w:lvl w:ilvl="0" w:tplc="3B606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E3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2D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8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28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88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C9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E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AB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AE37D8"/>
    <w:multiLevelType w:val="hybridMultilevel"/>
    <w:tmpl w:val="82208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A5B52"/>
    <w:multiLevelType w:val="hybridMultilevel"/>
    <w:tmpl w:val="968033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A240D"/>
    <w:multiLevelType w:val="hybridMultilevel"/>
    <w:tmpl w:val="BACA5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EA4074"/>
    <w:multiLevelType w:val="hybridMultilevel"/>
    <w:tmpl w:val="CE1493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B3EF5"/>
    <w:multiLevelType w:val="hybridMultilevel"/>
    <w:tmpl w:val="F934DC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95A3E"/>
    <w:multiLevelType w:val="hybridMultilevel"/>
    <w:tmpl w:val="A8BEF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CC0A7D"/>
    <w:multiLevelType w:val="hybridMultilevel"/>
    <w:tmpl w:val="1A268D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4453E1"/>
    <w:multiLevelType w:val="hybridMultilevel"/>
    <w:tmpl w:val="476A3C6E"/>
    <w:lvl w:ilvl="0" w:tplc="AADC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40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82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62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2A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6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6B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0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60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8435B0"/>
    <w:multiLevelType w:val="hybridMultilevel"/>
    <w:tmpl w:val="B896F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606921"/>
    <w:multiLevelType w:val="hybridMultilevel"/>
    <w:tmpl w:val="9990B944"/>
    <w:lvl w:ilvl="0" w:tplc="A7E2343E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70E2E"/>
    <w:multiLevelType w:val="hybridMultilevel"/>
    <w:tmpl w:val="58E850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B3062"/>
    <w:multiLevelType w:val="hybridMultilevel"/>
    <w:tmpl w:val="A8EE5B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683DCE"/>
    <w:multiLevelType w:val="hybridMultilevel"/>
    <w:tmpl w:val="581233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E1363"/>
    <w:multiLevelType w:val="hybridMultilevel"/>
    <w:tmpl w:val="8AA42BDC"/>
    <w:lvl w:ilvl="0" w:tplc="A7E2343E">
      <w:start w:val="1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E01E40"/>
    <w:multiLevelType w:val="hybridMultilevel"/>
    <w:tmpl w:val="8B6EA2D8"/>
    <w:lvl w:ilvl="0" w:tplc="A7E2343E">
      <w:start w:val="17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9E4DFB"/>
    <w:multiLevelType w:val="hybridMultilevel"/>
    <w:tmpl w:val="4D8ED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7455D"/>
    <w:multiLevelType w:val="hybridMultilevel"/>
    <w:tmpl w:val="87149A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A62885"/>
    <w:multiLevelType w:val="hybridMultilevel"/>
    <w:tmpl w:val="494403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46F5C"/>
    <w:multiLevelType w:val="hybridMultilevel"/>
    <w:tmpl w:val="91DE8F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31889">
    <w:abstractNumId w:val="25"/>
  </w:num>
  <w:num w:numId="2" w16cid:durableId="1043796329">
    <w:abstractNumId w:val="12"/>
  </w:num>
  <w:num w:numId="3" w16cid:durableId="1936084833">
    <w:abstractNumId w:val="36"/>
  </w:num>
  <w:num w:numId="4" w16cid:durableId="1725762498">
    <w:abstractNumId w:val="20"/>
  </w:num>
  <w:num w:numId="5" w16cid:durableId="2112701817">
    <w:abstractNumId w:val="31"/>
  </w:num>
  <w:num w:numId="6" w16cid:durableId="1536652017">
    <w:abstractNumId w:val="7"/>
  </w:num>
  <w:num w:numId="7" w16cid:durableId="2125734538">
    <w:abstractNumId w:val="27"/>
  </w:num>
  <w:num w:numId="8" w16cid:durableId="650015622">
    <w:abstractNumId w:val="0"/>
  </w:num>
  <w:num w:numId="9" w16cid:durableId="1126696359">
    <w:abstractNumId w:val="17"/>
  </w:num>
  <w:num w:numId="10" w16cid:durableId="1048381917">
    <w:abstractNumId w:val="19"/>
  </w:num>
  <w:num w:numId="11" w16cid:durableId="2074967592">
    <w:abstractNumId w:val="14"/>
  </w:num>
  <w:num w:numId="12" w16cid:durableId="1029724416">
    <w:abstractNumId w:val="9"/>
  </w:num>
  <w:num w:numId="13" w16cid:durableId="1276641391">
    <w:abstractNumId w:val="26"/>
  </w:num>
  <w:num w:numId="14" w16cid:durableId="824979884">
    <w:abstractNumId w:val="22"/>
  </w:num>
  <w:num w:numId="15" w16cid:durableId="1442651393">
    <w:abstractNumId w:val="29"/>
  </w:num>
  <w:num w:numId="16" w16cid:durableId="2140874853">
    <w:abstractNumId w:val="24"/>
  </w:num>
  <w:num w:numId="17" w16cid:durableId="916016767">
    <w:abstractNumId w:val="13"/>
  </w:num>
  <w:num w:numId="18" w16cid:durableId="118577134">
    <w:abstractNumId w:val="4"/>
  </w:num>
  <w:num w:numId="19" w16cid:durableId="1976639161">
    <w:abstractNumId w:val="23"/>
  </w:num>
  <w:num w:numId="20" w16cid:durableId="58287314">
    <w:abstractNumId w:val="2"/>
  </w:num>
  <w:num w:numId="21" w16cid:durableId="1503274354">
    <w:abstractNumId w:val="21"/>
  </w:num>
  <w:num w:numId="22" w16cid:durableId="2062508839">
    <w:abstractNumId w:val="6"/>
  </w:num>
  <w:num w:numId="23" w16cid:durableId="319191374">
    <w:abstractNumId w:val="34"/>
  </w:num>
  <w:num w:numId="24" w16cid:durableId="1063792376">
    <w:abstractNumId w:val="10"/>
  </w:num>
  <w:num w:numId="25" w16cid:durableId="1015423367">
    <w:abstractNumId w:val="30"/>
  </w:num>
  <w:num w:numId="26" w16cid:durableId="1832521308">
    <w:abstractNumId w:val="11"/>
  </w:num>
  <w:num w:numId="27" w16cid:durableId="834228823">
    <w:abstractNumId w:val="15"/>
  </w:num>
  <w:num w:numId="28" w16cid:durableId="13239670">
    <w:abstractNumId w:val="18"/>
  </w:num>
  <w:num w:numId="29" w16cid:durableId="172885554">
    <w:abstractNumId w:val="28"/>
  </w:num>
  <w:num w:numId="30" w16cid:durableId="1276248343">
    <w:abstractNumId w:val="35"/>
  </w:num>
  <w:num w:numId="31" w16cid:durableId="554319589">
    <w:abstractNumId w:val="3"/>
  </w:num>
  <w:num w:numId="32" w16cid:durableId="839587651">
    <w:abstractNumId w:val="8"/>
  </w:num>
  <w:num w:numId="33" w16cid:durableId="2079010267">
    <w:abstractNumId w:val="16"/>
  </w:num>
  <w:num w:numId="34" w16cid:durableId="1899978642">
    <w:abstractNumId w:val="5"/>
  </w:num>
  <w:num w:numId="35" w16cid:durableId="1458182362">
    <w:abstractNumId w:val="33"/>
  </w:num>
  <w:num w:numId="36" w16cid:durableId="2009596170">
    <w:abstractNumId w:val="1"/>
  </w:num>
  <w:num w:numId="37" w16cid:durableId="663583521">
    <w:abstractNumId w:val="32"/>
  </w:num>
  <w:num w:numId="38" w16cid:durableId="127135325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88"/>
    <w:rsid w:val="00001710"/>
    <w:rsid w:val="00010437"/>
    <w:rsid w:val="00012E5F"/>
    <w:rsid w:val="0001529C"/>
    <w:rsid w:val="000158E7"/>
    <w:rsid w:val="000209BD"/>
    <w:rsid w:val="00025E6D"/>
    <w:rsid w:val="0003043B"/>
    <w:rsid w:val="00033E7E"/>
    <w:rsid w:val="00041D0B"/>
    <w:rsid w:val="00046455"/>
    <w:rsid w:val="00047FFB"/>
    <w:rsid w:val="00052158"/>
    <w:rsid w:val="000600BC"/>
    <w:rsid w:val="00060F22"/>
    <w:rsid w:val="00065E7F"/>
    <w:rsid w:val="00066A86"/>
    <w:rsid w:val="000727CC"/>
    <w:rsid w:val="00075CB5"/>
    <w:rsid w:val="000775E1"/>
    <w:rsid w:val="0007783B"/>
    <w:rsid w:val="00081656"/>
    <w:rsid w:val="0008216D"/>
    <w:rsid w:val="00082DF0"/>
    <w:rsid w:val="00084BE5"/>
    <w:rsid w:val="0008655F"/>
    <w:rsid w:val="000867C7"/>
    <w:rsid w:val="00090E0A"/>
    <w:rsid w:val="00094CBA"/>
    <w:rsid w:val="0009549F"/>
    <w:rsid w:val="000A3529"/>
    <w:rsid w:val="000A6202"/>
    <w:rsid w:val="000B0438"/>
    <w:rsid w:val="000B0D3B"/>
    <w:rsid w:val="000B0E0E"/>
    <w:rsid w:val="000B126E"/>
    <w:rsid w:val="000B4C01"/>
    <w:rsid w:val="000B7330"/>
    <w:rsid w:val="000B77FD"/>
    <w:rsid w:val="000B7E45"/>
    <w:rsid w:val="000C0218"/>
    <w:rsid w:val="000C02B3"/>
    <w:rsid w:val="000C0D31"/>
    <w:rsid w:val="000D195C"/>
    <w:rsid w:val="000D1BBC"/>
    <w:rsid w:val="000D3374"/>
    <w:rsid w:val="000D40B1"/>
    <w:rsid w:val="000D4CF3"/>
    <w:rsid w:val="000D56B9"/>
    <w:rsid w:val="000D5E47"/>
    <w:rsid w:val="000E2248"/>
    <w:rsid w:val="000E2655"/>
    <w:rsid w:val="000E3341"/>
    <w:rsid w:val="000E4834"/>
    <w:rsid w:val="000E4A82"/>
    <w:rsid w:val="000E5C04"/>
    <w:rsid w:val="000E61EE"/>
    <w:rsid w:val="000E67B7"/>
    <w:rsid w:val="000F0DDA"/>
    <w:rsid w:val="000F5262"/>
    <w:rsid w:val="00100D44"/>
    <w:rsid w:val="0010120B"/>
    <w:rsid w:val="00102E55"/>
    <w:rsid w:val="00106AA8"/>
    <w:rsid w:val="00110929"/>
    <w:rsid w:val="00114D87"/>
    <w:rsid w:val="00115CEE"/>
    <w:rsid w:val="00121BA0"/>
    <w:rsid w:val="00126FF0"/>
    <w:rsid w:val="00130F1B"/>
    <w:rsid w:val="00131072"/>
    <w:rsid w:val="001373E3"/>
    <w:rsid w:val="0014225F"/>
    <w:rsid w:val="001436A6"/>
    <w:rsid w:val="00143B76"/>
    <w:rsid w:val="00152996"/>
    <w:rsid w:val="001548D7"/>
    <w:rsid w:val="00155A94"/>
    <w:rsid w:val="00161868"/>
    <w:rsid w:val="00167696"/>
    <w:rsid w:val="00167851"/>
    <w:rsid w:val="0016785C"/>
    <w:rsid w:val="001704DD"/>
    <w:rsid w:val="00170D2B"/>
    <w:rsid w:val="00173470"/>
    <w:rsid w:val="001854AB"/>
    <w:rsid w:val="00185D7B"/>
    <w:rsid w:val="00186E7E"/>
    <w:rsid w:val="00187A6C"/>
    <w:rsid w:val="00191037"/>
    <w:rsid w:val="00191E71"/>
    <w:rsid w:val="00193B63"/>
    <w:rsid w:val="00195A28"/>
    <w:rsid w:val="00195B6D"/>
    <w:rsid w:val="001A0B8A"/>
    <w:rsid w:val="001A29AB"/>
    <w:rsid w:val="001A4195"/>
    <w:rsid w:val="001A488B"/>
    <w:rsid w:val="001B0057"/>
    <w:rsid w:val="001B0210"/>
    <w:rsid w:val="001B0331"/>
    <w:rsid w:val="001B1F8B"/>
    <w:rsid w:val="001B40EE"/>
    <w:rsid w:val="001B4F3D"/>
    <w:rsid w:val="001C2168"/>
    <w:rsid w:val="001C2E48"/>
    <w:rsid w:val="001C303F"/>
    <w:rsid w:val="001C6F88"/>
    <w:rsid w:val="001D06D7"/>
    <w:rsid w:val="001D1199"/>
    <w:rsid w:val="001D2378"/>
    <w:rsid w:val="001D2C1E"/>
    <w:rsid w:val="001D7C4C"/>
    <w:rsid w:val="001E1A50"/>
    <w:rsid w:val="001E3E79"/>
    <w:rsid w:val="001E6A24"/>
    <w:rsid w:val="001E6F81"/>
    <w:rsid w:val="001F2A16"/>
    <w:rsid w:val="001F3C49"/>
    <w:rsid w:val="001F4193"/>
    <w:rsid w:val="001F693C"/>
    <w:rsid w:val="001F7A73"/>
    <w:rsid w:val="00200270"/>
    <w:rsid w:val="00204961"/>
    <w:rsid w:val="00206234"/>
    <w:rsid w:val="002068B6"/>
    <w:rsid w:val="002108E6"/>
    <w:rsid w:val="00212F1C"/>
    <w:rsid w:val="00221660"/>
    <w:rsid w:val="00227A5A"/>
    <w:rsid w:val="00237F69"/>
    <w:rsid w:val="00242213"/>
    <w:rsid w:val="00242DD2"/>
    <w:rsid w:val="002458CC"/>
    <w:rsid w:val="0024643F"/>
    <w:rsid w:val="002503FD"/>
    <w:rsid w:val="002510BE"/>
    <w:rsid w:val="002542A6"/>
    <w:rsid w:val="002575E7"/>
    <w:rsid w:val="00262463"/>
    <w:rsid w:val="002627FA"/>
    <w:rsid w:val="002724B7"/>
    <w:rsid w:val="00275A8D"/>
    <w:rsid w:val="002934A4"/>
    <w:rsid w:val="002A4773"/>
    <w:rsid w:val="002B02FC"/>
    <w:rsid w:val="002C1CC9"/>
    <w:rsid w:val="002C214A"/>
    <w:rsid w:val="002C73D4"/>
    <w:rsid w:val="002D6929"/>
    <w:rsid w:val="002E665F"/>
    <w:rsid w:val="002F078B"/>
    <w:rsid w:val="002F50DB"/>
    <w:rsid w:val="002F6910"/>
    <w:rsid w:val="002F79AB"/>
    <w:rsid w:val="0030073D"/>
    <w:rsid w:val="00301093"/>
    <w:rsid w:val="00315778"/>
    <w:rsid w:val="0031588A"/>
    <w:rsid w:val="003221A9"/>
    <w:rsid w:val="00325888"/>
    <w:rsid w:val="003268E6"/>
    <w:rsid w:val="0033055A"/>
    <w:rsid w:val="0033266B"/>
    <w:rsid w:val="00334DF2"/>
    <w:rsid w:val="003353CB"/>
    <w:rsid w:val="00340802"/>
    <w:rsid w:val="00344F5E"/>
    <w:rsid w:val="00346295"/>
    <w:rsid w:val="0034772C"/>
    <w:rsid w:val="0035109C"/>
    <w:rsid w:val="00354507"/>
    <w:rsid w:val="00360956"/>
    <w:rsid w:val="00362B16"/>
    <w:rsid w:val="00367F9E"/>
    <w:rsid w:val="00370748"/>
    <w:rsid w:val="00371A1F"/>
    <w:rsid w:val="003742F9"/>
    <w:rsid w:val="00377E8C"/>
    <w:rsid w:val="00380D8B"/>
    <w:rsid w:val="00386A9B"/>
    <w:rsid w:val="003A14DA"/>
    <w:rsid w:val="003A517E"/>
    <w:rsid w:val="003A7C56"/>
    <w:rsid w:val="003B3DF0"/>
    <w:rsid w:val="003C0414"/>
    <w:rsid w:val="003C0520"/>
    <w:rsid w:val="003C2FE0"/>
    <w:rsid w:val="003C4BB8"/>
    <w:rsid w:val="003D3414"/>
    <w:rsid w:val="003D6519"/>
    <w:rsid w:val="003E697E"/>
    <w:rsid w:val="003F49A1"/>
    <w:rsid w:val="003F6035"/>
    <w:rsid w:val="00400F12"/>
    <w:rsid w:val="00404E29"/>
    <w:rsid w:val="00406CBC"/>
    <w:rsid w:val="00410873"/>
    <w:rsid w:val="004123D3"/>
    <w:rsid w:val="004163B1"/>
    <w:rsid w:val="0041778D"/>
    <w:rsid w:val="00420278"/>
    <w:rsid w:val="004265DD"/>
    <w:rsid w:val="004278CE"/>
    <w:rsid w:val="00431682"/>
    <w:rsid w:val="00434783"/>
    <w:rsid w:val="00435ED9"/>
    <w:rsid w:val="00437644"/>
    <w:rsid w:val="00440228"/>
    <w:rsid w:val="0044045F"/>
    <w:rsid w:val="0044576C"/>
    <w:rsid w:val="004467BF"/>
    <w:rsid w:val="00452B5B"/>
    <w:rsid w:val="004536F0"/>
    <w:rsid w:val="004603C7"/>
    <w:rsid w:val="004629EB"/>
    <w:rsid w:val="00467DFE"/>
    <w:rsid w:val="00470030"/>
    <w:rsid w:val="0047700D"/>
    <w:rsid w:val="004802B7"/>
    <w:rsid w:val="00487BB6"/>
    <w:rsid w:val="0049307A"/>
    <w:rsid w:val="004958EE"/>
    <w:rsid w:val="004A3863"/>
    <w:rsid w:val="004A6A8E"/>
    <w:rsid w:val="004A6B1F"/>
    <w:rsid w:val="004A7CEA"/>
    <w:rsid w:val="004A7E9E"/>
    <w:rsid w:val="004B54BB"/>
    <w:rsid w:val="004B55C5"/>
    <w:rsid w:val="004B6AB7"/>
    <w:rsid w:val="004B7F36"/>
    <w:rsid w:val="004C0AF8"/>
    <w:rsid w:val="004C3CF6"/>
    <w:rsid w:val="004C5903"/>
    <w:rsid w:val="004C5B9A"/>
    <w:rsid w:val="004C621E"/>
    <w:rsid w:val="004D1873"/>
    <w:rsid w:val="004D52DC"/>
    <w:rsid w:val="004E1C64"/>
    <w:rsid w:val="004E33DB"/>
    <w:rsid w:val="004F0DDC"/>
    <w:rsid w:val="004F3063"/>
    <w:rsid w:val="004F5B96"/>
    <w:rsid w:val="004F7EC3"/>
    <w:rsid w:val="00502C4D"/>
    <w:rsid w:val="00506E19"/>
    <w:rsid w:val="0051004B"/>
    <w:rsid w:val="00514CF6"/>
    <w:rsid w:val="0051789B"/>
    <w:rsid w:val="00524228"/>
    <w:rsid w:val="00525C36"/>
    <w:rsid w:val="00534953"/>
    <w:rsid w:val="00534E9C"/>
    <w:rsid w:val="00545498"/>
    <w:rsid w:val="0054747C"/>
    <w:rsid w:val="0055612C"/>
    <w:rsid w:val="00562FD3"/>
    <w:rsid w:val="00563E4F"/>
    <w:rsid w:val="00564135"/>
    <w:rsid w:val="00565C1A"/>
    <w:rsid w:val="0056789F"/>
    <w:rsid w:val="00571080"/>
    <w:rsid w:val="0057425E"/>
    <w:rsid w:val="00577B2A"/>
    <w:rsid w:val="0058086E"/>
    <w:rsid w:val="00584ADA"/>
    <w:rsid w:val="005923FC"/>
    <w:rsid w:val="00595808"/>
    <w:rsid w:val="00596787"/>
    <w:rsid w:val="005A39E5"/>
    <w:rsid w:val="005A3AEF"/>
    <w:rsid w:val="005A6E4B"/>
    <w:rsid w:val="005B184F"/>
    <w:rsid w:val="005B1D7B"/>
    <w:rsid w:val="005C01E0"/>
    <w:rsid w:val="005C1E42"/>
    <w:rsid w:val="005D092E"/>
    <w:rsid w:val="005D4F0D"/>
    <w:rsid w:val="005D733D"/>
    <w:rsid w:val="005E0021"/>
    <w:rsid w:val="005E115A"/>
    <w:rsid w:val="005E1995"/>
    <w:rsid w:val="005E7A69"/>
    <w:rsid w:val="005F21D2"/>
    <w:rsid w:val="005F2529"/>
    <w:rsid w:val="005F3E43"/>
    <w:rsid w:val="005F3EBE"/>
    <w:rsid w:val="005F590F"/>
    <w:rsid w:val="005F6727"/>
    <w:rsid w:val="005F6DD7"/>
    <w:rsid w:val="006015E7"/>
    <w:rsid w:val="0061055F"/>
    <w:rsid w:val="00611840"/>
    <w:rsid w:val="00613027"/>
    <w:rsid w:val="00613582"/>
    <w:rsid w:val="006232F6"/>
    <w:rsid w:val="00624417"/>
    <w:rsid w:val="00631579"/>
    <w:rsid w:val="0063382F"/>
    <w:rsid w:val="006341FA"/>
    <w:rsid w:val="00634498"/>
    <w:rsid w:val="00640CF6"/>
    <w:rsid w:val="006418D8"/>
    <w:rsid w:val="006437B5"/>
    <w:rsid w:val="006512EF"/>
    <w:rsid w:val="00652615"/>
    <w:rsid w:val="00652A0F"/>
    <w:rsid w:val="0065464A"/>
    <w:rsid w:val="006608EE"/>
    <w:rsid w:val="0066206F"/>
    <w:rsid w:val="006700AA"/>
    <w:rsid w:val="00673080"/>
    <w:rsid w:val="00674E62"/>
    <w:rsid w:val="006803C1"/>
    <w:rsid w:val="0068403C"/>
    <w:rsid w:val="00690EF1"/>
    <w:rsid w:val="006A1F6D"/>
    <w:rsid w:val="006A211C"/>
    <w:rsid w:val="006A5CED"/>
    <w:rsid w:val="006B1272"/>
    <w:rsid w:val="006C0AA8"/>
    <w:rsid w:val="006D1915"/>
    <w:rsid w:val="006D2515"/>
    <w:rsid w:val="006D4208"/>
    <w:rsid w:val="006D5831"/>
    <w:rsid w:val="006D680E"/>
    <w:rsid w:val="006E72A7"/>
    <w:rsid w:val="006E75DF"/>
    <w:rsid w:val="006F207D"/>
    <w:rsid w:val="006F2684"/>
    <w:rsid w:val="006F3487"/>
    <w:rsid w:val="006F5FA4"/>
    <w:rsid w:val="006F6E09"/>
    <w:rsid w:val="00701C7C"/>
    <w:rsid w:val="00706126"/>
    <w:rsid w:val="0071046A"/>
    <w:rsid w:val="00711FAF"/>
    <w:rsid w:val="00714459"/>
    <w:rsid w:val="007236B1"/>
    <w:rsid w:val="00724992"/>
    <w:rsid w:val="0072584E"/>
    <w:rsid w:val="007330F3"/>
    <w:rsid w:val="00733CFC"/>
    <w:rsid w:val="00734AE0"/>
    <w:rsid w:val="00734EFB"/>
    <w:rsid w:val="00743EDD"/>
    <w:rsid w:val="00747D4A"/>
    <w:rsid w:val="007550F9"/>
    <w:rsid w:val="0076077C"/>
    <w:rsid w:val="00761AA4"/>
    <w:rsid w:val="00763D68"/>
    <w:rsid w:val="00766AEB"/>
    <w:rsid w:val="00767BFD"/>
    <w:rsid w:val="007728E3"/>
    <w:rsid w:val="00775044"/>
    <w:rsid w:val="007771F2"/>
    <w:rsid w:val="00782961"/>
    <w:rsid w:val="007842F7"/>
    <w:rsid w:val="007A0959"/>
    <w:rsid w:val="007B06D7"/>
    <w:rsid w:val="007B3F3A"/>
    <w:rsid w:val="007B5759"/>
    <w:rsid w:val="007B5E88"/>
    <w:rsid w:val="007B6422"/>
    <w:rsid w:val="007B64AB"/>
    <w:rsid w:val="007C07F9"/>
    <w:rsid w:val="007C4B8F"/>
    <w:rsid w:val="007C55C4"/>
    <w:rsid w:val="007C5B55"/>
    <w:rsid w:val="007C7F97"/>
    <w:rsid w:val="007D120F"/>
    <w:rsid w:val="007D2F67"/>
    <w:rsid w:val="007D3CAC"/>
    <w:rsid w:val="007D7469"/>
    <w:rsid w:val="007E0EB8"/>
    <w:rsid w:val="007E2166"/>
    <w:rsid w:val="007E2438"/>
    <w:rsid w:val="007E5A14"/>
    <w:rsid w:val="007F0FFE"/>
    <w:rsid w:val="007F5678"/>
    <w:rsid w:val="007F5F85"/>
    <w:rsid w:val="007F7697"/>
    <w:rsid w:val="00800945"/>
    <w:rsid w:val="00817B85"/>
    <w:rsid w:val="00822C70"/>
    <w:rsid w:val="00830BCF"/>
    <w:rsid w:val="008370C2"/>
    <w:rsid w:val="00845847"/>
    <w:rsid w:val="008467B9"/>
    <w:rsid w:val="0084714B"/>
    <w:rsid w:val="00853A50"/>
    <w:rsid w:val="008540AF"/>
    <w:rsid w:val="008551BA"/>
    <w:rsid w:val="008604EE"/>
    <w:rsid w:val="00864594"/>
    <w:rsid w:val="00865471"/>
    <w:rsid w:val="008679BB"/>
    <w:rsid w:val="00870528"/>
    <w:rsid w:val="00870898"/>
    <w:rsid w:val="008807AF"/>
    <w:rsid w:val="0088202C"/>
    <w:rsid w:val="008850C2"/>
    <w:rsid w:val="00885BFE"/>
    <w:rsid w:val="00893292"/>
    <w:rsid w:val="00896B3B"/>
    <w:rsid w:val="008A5781"/>
    <w:rsid w:val="008A61CA"/>
    <w:rsid w:val="008B2593"/>
    <w:rsid w:val="008B2703"/>
    <w:rsid w:val="008B4FD9"/>
    <w:rsid w:val="008C5275"/>
    <w:rsid w:val="008C65C1"/>
    <w:rsid w:val="008D4829"/>
    <w:rsid w:val="008D4FEA"/>
    <w:rsid w:val="008E1376"/>
    <w:rsid w:val="008F7140"/>
    <w:rsid w:val="00900BC3"/>
    <w:rsid w:val="009016AF"/>
    <w:rsid w:val="0090281E"/>
    <w:rsid w:val="00903F93"/>
    <w:rsid w:val="009043AA"/>
    <w:rsid w:val="00911E81"/>
    <w:rsid w:val="00912355"/>
    <w:rsid w:val="009124C5"/>
    <w:rsid w:val="00912D6A"/>
    <w:rsid w:val="00913457"/>
    <w:rsid w:val="009149FA"/>
    <w:rsid w:val="00922A58"/>
    <w:rsid w:val="0093608B"/>
    <w:rsid w:val="009375A6"/>
    <w:rsid w:val="0094460F"/>
    <w:rsid w:val="0094471D"/>
    <w:rsid w:val="0094739F"/>
    <w:rsid w:val="009478AB"/>
    <w:rsid w:val="00956B00"/>
    <w:rsid w:val="00964505"/>
    <w:rsid w:val="00966625"/>
    <w:rsid w:val="009707BF"/>
    <w:rsid w:val="009711D3"/>
    <w:rsid w:val="00973EAB"/>
    <w:rsid w:val="00980AFF"/>
    <w:rsid w:val="009810D6"/>
    <w:rsid w:val="00983277"/>
    <w:rsid w:val="0098661D"/>
    <w:rsid w:val="0099000F"/>
    <w:rsid w:val="00994B06"/>
    <w:rsid w:val="0099621B"/>
    <w:rsid w:val="0099796B"/>
    <w:rsid w:val="009A1A29"/>
    <w:rsid w:val="009A62ED"/>
    <w:rsid w:val="009A7F63"/>
    <w:rsid w:val="009B0211"/>
    <w:rsid w:val="009B4A7F"/>
    <w:rsid w:val="009B56E2"/>
    <w:rsid w:val="009B7324"/>
    <w:rsid w:val="009C1672"/>
    <w:rsid w:val="009C54ED"/>
    <w:rsid w:val="009C6BDE"/>
    <w:rsid w:val="009D0776"/>
    <w:rsid w:val="009D24A8"/>
    <w:rsid w:val="009E0664"/>
    <w:rsid w:val="009E0B1F"/>
    <w:rsid w:val="009E6C09"/>
    <w:rsid w:val="009F2F35"/>
    <w:rsid w:val="009F3267"/>
    <w:rsid w:val="00A0069E"/>
    <w:rsid w:val="00A0249C"/>
    <w:rsid w:val="00A02ECF"/>
    <w:rsid w:val="00A071AD"/>
    <w:rsid w:val="00A113A8"/>
    <w:rsid w:val="00A12033"/>
    <w:rsid w:val="00A17A43"/>
    <w:rsid w:val="00A22669"/>
    <w:rsid w:val="00A250CB"/>
    <w:rsid w:val="00A26605"/>
    <w:rsid w:val="00A306E1"/>
    <w:rsid w:val="00A3312D"/>
    <w:rsid w:val="00A37BEC"/>
    <w:rsid w:val="00A4563D"/>
    <w:rsid w:val="00A46971"/>
    <w:rsid w:val="00A46B68"/>
    <w:rsid w:val="00A477EE"/>
    <w:rsid w:val="00A513E1"/>
    <w:rsid w:val="00A5200B"/>
    <w:rsid w:val="00A53265"/>
    <w:rsid w:val="00A549A5"/>
    <w:rsid w:val="00A54F13"/>
    <w:rsid w:val="00A55733"/>
    <w:rsid w:val="00A62E4E"/>
    <w:rsid w:val="00A635A7"/>
    <w:rsid w:val="00A662C5"/>
    <w:rsid w:val="00A72DF9"/>
    <w:rsid w:val="00A7730C"/>
    <w:rsid w:val="00A80BEE"/>
    <w:rsid w:val="00A833F9"/>
    <w:rsid w:val="00A83DE8"/>
    <w:rsid w:val="00A8481B"/>
    <w:rsid w:val="00A87F02"/>
    <w:rsid w:val="00A91182"/>
    <w:rsid w:val="00A92524"/>
    <w:rsid w:val="00A94EE4"/>
    <w:rsid w:val="00A9774C"/>
    <w:rsid w:val="00AA02D2"/>
    <w:rsid w:val="00AA2232"/>
    <w:rsid w:val="00AA41D1"/>
    <w:rsid w:val="00AB758C"/>
    <w:rsid w:val="00AC174E"/>
    <w:rsid w:val="00AC2153"/>
    <w:rsid w:val="00AD4557"/>
    <w:rsid w:val="00AD76F6"/>
    <w:rsid w:val="00AE3322"/>
    <w:rsid w:val="00AE4B52"/>
    <w:rsid w:val="00AE5497"/>
    <w:rsid w:val="00AE66E6"/>
    <w:rsid w:val="00AE77BB"/>
    <w:rsid w:val="00AF0AEC"/>
    <w:rsid w:val="00AF19D7"/>
    <w:rsid w:val="00AF309A"/>
    <w:rsid w:val="00AF3B2D"/>
    <w:rsid w:val="00AF6C3B"/>
    <w:rsid w:val="00B009A7"/>
    <w:rsid w:val="00B02CC6"/>
    <w:rsid w:val="00B045CC"/>
    <w:rsid w:val="00B06701"/>
    <w:rsid w:val="00B212C1"/>
    <w:rsid w:val="00B23C8B"/>
    <w:rsid w:val="00B30C02"/>
    <w:rsid w:val="00B30E4B"/>
    <w:rsid w:val="00B341A9"/>
    <w:rsid w:val="00B35CCA"/>
    <w:rsid w:val="00B414D1"/>
    <w:rsid w:val="00B51F8D"/>
    <w:rsid w:val="00B619BF"/>
    <w:rsid w:val="00B664E7"/>
    <w:rsid w:val="00B667A7"/>
    <w:rsid w:val="00B70698"/>
    <w:rsid w:val="00B776C1"/>
    <w:rsid w:val="00B8093A"/>
    <w:rsid w:val="00B8140A"/>
    <w:rsid w:val="00B8176C"/>
    <w:rsid w:val="00B87BEF"/>
    <w:rsid w:val="00B907DA"/>
    <w:rsid w:val="00B937FE"/>
    <w:rsid w:val="00B941B7"/>
    <w:rsid w:val="00B96223"/>
    <w:rsid w:val="00B962A0"/>
    <w:rsid w:val="00B96F98"/>
    <w:rsid w:val="00B97858"/>
    <w:rsid w:val="00BA0072"/>
    <w:rsid w:val="00BA2244"/>
    <w:rsid w:val="00BA2EC5"/>
    <w:rsid w:val="00BA7EB2"/>
    <w:rsid w:val="00BC5077"/>
    <w:rsid w:val="00BC63AD"/>
    <w:rsid w:val="00BD50E1"/>
    <w:rsid w:val="00BD5429"/>
    <w:rsid w:val="00BD6C51"/>
    <w:rsid w:val="00BE18FB"/>
    <w:rsid w:val="00BE2101"/>
    <w:rsid w:val="00BF1092"/>
    <w:rsid w:val="00BF2043"/>
    <w:rsid w:val="00BF3333"/>
    <w:rsid w:val="00BF4A24"/>
    <w:rsid w:val="00BF5806"/>
    <w:rsid w:val="00BF78C8"/>
    <w:rsid w:val="00C04C30"/>
    <w:rsid w:val="00C06935"/>
    <w:rsid w:val="00C11CEB"/>
    <w:rsid w:val="00C1654E"/>
    <w:rsid w:val="00C312D6"/>
    <w:rsid w:val="00C45AA6"/>
    <w:rsid w:val="00C45B81"/>
    <w:rsid w:val="00C4611C"/>
    <w:rsid w:val="00C50F40"/>
    <w:rsid w:val="00C5218F"/>
    <w:rsid w:val="00C560EF"/>
    <w:rsid w:val="00C568D9"/>
    <w:rsid w:val="00C57AB6"/>
    <w:rsid w:val="00C60115"/>
    <w:rsid w:val="00C611F0"/>
    <w:rsid w:val="00C65FF8"/>
    <w:rsid w:val="00C67876"/>
    <w:rsid w:val="00C70890"/>
    <w:rsid w:val="00C75571"/>
    <w:rsid w:val="00C77FB3"/>
    <w:rsid w:val="00C80658"/>
    <w:rsid w:val="00C8068E"/>
    <w:rsid w:val="00C9163F"/>
    <w:rsid w:val="00C92053"/>
    <w:rsid w:val="00C92113"/>
    <w:rsid w:val="00CA39E6"/>
    <w:rsid w:val="00CB4055"/>
    <w:rsid w:val="00CC1620"/>
    <w:rsid w:val="00CC165D"/>
    <w:rsid w:val="00CC1C50"/>
    <w:rsid w:val="00CC4533"/>
    <w:rsid w:val="00CD2013"/>
    <w:rsid w:val="00CE41F7"/>
    <w:rsid w:val="00CE4F55"/>
    <w:rsid w:val="00CF188E"/>
    <w:rsid w:val="00CF27A1"/>
    <w:rsid w:val="00CF2F27"/>
    <w:rsid w:val="00CF3ECF"/>
    <w:rsid w:val="00CF5C55"/>
    <w:rsid w:val="00CF69AE"/>
    <w:rsid w:val="00CF7198"/>
    <w:rsid w:val="00D01EC9"/>
    <w:rsid w:val="00D1011B"/>
    <w:rsid w:val="00D10551"/>
    <w:rsid w:val="00D12321"/>
    <w:rsid w:val="00D15119"/>
    <w:rsid w:val="00D219B2"/>
    <w:rsid w:val="00D2339E"/>
    <w:rsid w:val="00D23D70"/>
    <w:rsid w:val="00D26C4E"/>
    <w:rsid w:val="00D33DCD"/>
    <w:rsid w:val="00D346C7"/>
    <w:rsid w:val="00D4765A"/>
    <w:rsid w:val="00D52CC4"/>
    <w:rsid w:val="00D653FB"/>
    <w:rsid w:val="00D7129F"/>
    <w:rsid w:val="00D725D6"/>
    <w:rsid w:val="00D73B6F"/>
    <w:rsid w:val="00D767D3"/>
    <w:rsid w:val="00D77738"/>
    <w:rsid w:val="00D80324"/>
    <w:rsid w:val="00D865E4"/>
    <w:rsid w:val="00D86A38"/>
    <w:rsid w:val="00D90456"/>
    <w:rsid w:val="00D936E1"/>
    <w:rsid w:val="00DA4B29"/>
    <w:rsid w:val="00DA6862"/>
    <w:rsid w:val="00DA7A6C"/>
    <w:rsid w:val="00DA7E77"/>
    <w:rsid w:val="00DB06C5"/>
    <w:rsid w:val="00DB3782"/>
    <w:rsid w:val="00DB4574"/>
    <w:rsid w:val="00DB7B01"/>
    <w:rsid w:val="00DC46FB"/>
    <w:rsid w:val="00DC5E5A"/>
    <w:rsid w:val="00DC6EC4"/>
    <w:rsid w:val="00DD3129"/>
    <w:rsid w:val="00DD4482"/>
    <w:rsid w:val="00DD7DA9"/>
    <w:rsid w:val="00DE0E49"/>
    <w:rsid w:val="00DE4A6B"/>
    <w:rsid w:val="00DF0C30"/>
    <w:rsid w:val="00DF1F22"/>
    <w:rsid w:val="00DF59CF"/>
    <w:rsid w:val="00E00114"/>
    <w:rsid w:val="00E01D81"/>
    <w:rsid w:val="00E01DF8"/>
    <w:rsid w:val="00E02B0F"/>
    <w:rsid w:val="00E13CB5"/>
    <w:rsid w:val="00E20AB7"/>
    <w:rsid w:val="00E21108"/>
    <w:rsid w:val="00E2173D"/>
    <w:rsid w:val="00E23E3C"/>
    <w:rsid w:val="00E24CB0"/>
    <w:rsid w:val="00E27701"/>
    <w:rsid w:val="00E30C3D"/>
    <w:rsid w:val="00E367D9"/>
    <w:rsid w:val="00E373EB"/>
    <w:rsid w:val="00E4214B"/>
    <w:rsid w:val="00E434ED"/>
    <w:rsid w:val="00E43C10"/>
    <w:rsid w:val="00E47072"/>
    <w:rsid w:val="00E478E2"/>
    <w:rsid w:val="00E5308D"/>
    <w:rsid w:val="00E53A4C"/>
    <w:rsid w:val="00E55FDF"/>
    <w:rsid w:val="00E6082F"/>
    <w:rsid w:val="00E63538"/>
    <w:rsid w:val="00E63606"/>
    <w:rsid w:val="00E7104B"/>
    <w:rsid w:val="00E73FFE"/>
    <w:rsid w:val="00E765A1"/>
    <w:rsid w:val="00E82990"/>
    <w:rsid w:val="00E86A77"/>
    <w:rsid w:val="00E96230"/>
    <w:rsid w:val="00EA2114"/>
    <w:rsid w:val="00EA319C"/>
    <w:rsid w:val="00EA4D55"/>
    <w:rsid w:val="00EB1FA1"/>
    <w:rsid w:val="00EB2CCA"/>
    <w:rsid w:val="00EB4002"/>
    <w:rsid w:val="00EB5619"/>
    <w:rsid w:val="00EC2310"/>
    <w:rsid w:val="00EC547C"/>
    <w:rsid w:val="00ED037C"/>
    <w:rsid w:val="00ED709B"/>
    <w:rsid w:val="00ED7175"/>
    <w:rsid w:val="00EE09BE"/>
    <w:rsid w:val="00EE3D83"/>
    <w:rsid w:val="00EF0548"/>
    <w:rsid w:val="00EF0ABC"/>
    <w:rsid w:val="00EF3176"/>
    <w:rsid w:val="00EF74CF"/>
    <w:rsid w:val="00F025E3"/>
    <w:rsid w:val="00F0353B"/>
    <w:rsid w:val="00F128EA"/>
    <w:rsid w:val="00F13DED"/>
    <w:rsid w:val="00F13E9C"/>
    <w:rsid w:val="00F1401E"/>
    <w:rsid w:val="00F216C6"/>
    <w:rsid w:val="00F24EB2"/>
    <w:rsid w:val="00F25BF5"/>
    <w:rsid w:val="00F264B5"/>
    <w:rsid w:val="00F456A9"/>
    <w:rsid w:val="00F53240"/>
    <w:rsid w:val="00F568AB"/>
    <w:rsid w:val="00F62699"/>
    <w:rsid w:val="00F634FE"/>
    <w:rsid w:val="00F66994"/>
    <w:rsid w:val="00F671AA"/>
    <w:rsid w:val="00F82644"/>
    <w:rsid w:val="00F8678B"/>
    <w:rsid w:val="00F86E0B"/>
    <w:rsid w:val="00F872AB"/>
    <w:rsid w:val="00F912BE"/>
    <w:rsid w:val="00F950A5"/>
    <w:rsid w:val="00F96B1B"/>
    <w:rsid w:val="00FA437E"/>
    <w:rsid w:val="00FA4BB0"/>
    <w:rsid w:val="00FB1601"/>
    <w:rsid w:val="00FB3E81"/>
    <w:rsid w:val="00FB7C33"/>
    <w:rsid w:val="00FC0F15"/>
    <w:rsid w:val="00FC1AB4"/>
    <w:rsid w:val="00FD4028"/>
    <w:rsid w:val="00FD7E60"/>
    <w:rsid w:val="00FE1C66"/>
    <w:rsid w:val="00FE1F36"/>
    <w:rsid w:val="00FE5B9C"/>
    <w:rsid w:val="00FF7648"/>
    <w:rsid w:val="03BB75B5"/>
    <w:rsid w:val="04F8A810"/>
    <w:rsid w:val="0697296A"/>
    <w:rsid w:val="0A041F40"/>
    <w:rsid w:val="0C44B9A3"/>
    <w:rsid w:val="0EE7C4A3"/>
    <w:rsid w:val="12342AD7"/>
    <w:rsid w:val="15087314"/>
    <w:rsid w:val="1625CF60"/>
    <w:rsid w:val="1867DB8C"/>
    <w:rsid w:val="19425EDF"/>
    <w:rsid w:val="1B55F03F"/>
    <w:rsid w:val="1BE8B8DA"/>
    <w:rsid w:val="1E56BB36"/>
    <w:rsid w:val="1F5F212E"/>
    <w:rsid w:val="2131FC52"/>
    <w:rsid w:val="27DE06F6"/>
    <w:rsid w:val="27E728D7"/>
    <w:rsid w:val="29DA1396"/>
    <w:rsid w:val="29F608B0"/>
    <w:rsid w:val="2BABD6AE"/>
    <w:rsid w:val="2BD4EC6A"/>
    <w:rsid w:val="3082C66B"/>
    <w:rsid w:val="31D15244"/>
    <w:rsid w:val="329E17CB"/>
    <w:rsid w:val="37338C2C"/>
    <w:rsid w:val="37D4BCAD"/>
    <w:rsid w:val="39E8EB9A"/>
    <w:rsid w:val="3A5C4BAC"/>
    <w:rsid w:val="3ED43B8F"/>
    <w:rsid w:val="402C63CF"/>
    <w:rsid w:val="40339723"/>
    <w:rsid w:val="4454B52A"/>
    <w:rsid w:val="44A15648"/>
    <w:rsid w:val="489A5B19"/>
    <w:rsid w:val="4992DCC1"/>
    <w:rsid w:val="4ACF0D97"/>
    <w:rsid w:val="4DE46BCA"/>
    <w:rsid w:val="4F5FBF5F"/>
    <w:rsid w:val="50226153"/>
    <w:rsid w:val="54F96AD4"/>
    <w:rsid w:val="5B0E0514"/>
    <w:rsid w:val="5E8F9C2A"/>
    <w:rsid w:val="5FB05A53"/>
    <w:rsid w:val="6672221F"/>
    <w:rsid w:val="68EAB635"/>
    <w:rsid w:val="6A44148D"/>
    <w:rsid w:val="6E2151E4"/>
    <w:rsid w:val="70B14008"/>
    <w:rsid w:val="73CAC62A"/>
    <w:rsid w:val="796629F3"/>
    <w:rsid w:val="7AA25C46"/>
    <w:rsid w:val="7DE9B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30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F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F078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07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07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07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07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078B"/>
    <w:rPr>
      <w:b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E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0B1F"/>
  </w:style>
  <w:style w:type="paragraph" w:styleId="Lijstalinea">
    <w:name w:val="List Paragraph"/>
    <w:basedOn w:val="Standaard"/>
    <w:uiPriority w:val="34"/>
    <w:qFormat/>
    <w:rsid w:val="005E7A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2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2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1858</ap:Words>
  <ap:Characters>10224</ap:Characters>
  <ap:DocSecurity>0</ap:DocSecurity>
  <ap:Lines>85</ap:Lines>
  <ap:Paragraphs>24</ap:Paragraphs>
  <ap:ScaleCrop>false</ap:ScaleCrop>
  <ap:LinksUpToDate>false</ap:LinksUpToDate>
  <ap:CharactersWithSpaces>12058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2025-06-02T14:26:00.0000000Z</dcterms:created>
  <dcterms:modified xsi:type="dcterms:W3CDTF">2025-06-02T14:26:00.0000000Z</dcterms:modified>
  <version/>
  <category/>
</coreProperties>
</file>