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1372" w:rsidR="00D61372" w:rsidRDefault="00D61372" w14:paraId="12EE7D47" w14:textId="6437DA9C">
      <w:pPr>
        <w:spacing w:line="276" w:lineRule="auto"/>
        <w:rPr>
          <w:b/>
          <w:bCs/>
          <w:szCs w:val="18"/>
        </w:rPr>
      </w:pPr>
      <w:r w:rsidRPr="00D61372">
        <w:rPr>
          <w:b/>
          <w:bCs/>
          <w:szCs w:val="18"/>
        </w:rPr>
        <w:t>Stuk 21</w:t>
      </w:r>
      <w:r w:rsidR="009630D2">
        <w:rPr>
          <w:b/>
          <w:bCs/>
          <w:szCs w:val="18"/>
        </w:rPr>
        <w:t>A</w:t>
      </w:r>
    </w:p>
    <w:p w:rsidR="00122C19" w:rsidRDefault="002F51FD" w14:paraId="566C9873" w14:textId="1C76C19E">
      <w:pPr>
        <w:spacing w:line="276" w:lineRule="auto"/>
        <w:rPr>
          <w:b/>
          <w:bCs/>
          <w:u w:val="single"/>
        </w:rPr>
      </w:pPr>
      <w:r>
        <w:rPr>
          <w:b/>
          <w:bCs/>
          <w:szCs w:val="18"/>
          <w:u w:val="single"/>
        </w:rPr>
        <w:t xml:space="preserve">Memo varianten glastuinbouw </w:t>
      </w:r>
    </w:p>
    <w:p w:rsidR="00DF1618" w:rsidRDefault="00DF1618" w14:paraId="65F39865" w14:textId="77777777">
      <w:pPr>
        <w:spacing w:line="276" w:lineRule="auto"/>
        <w:rPr>
          <w:b/>
          <w:bCs/>
          <w:szCs w:val="18"/>
        </w:rPr>
      </w:pPr>
    </w:p>
    <w:p w:rsidR="00122C19" w:rsidRDefault="002F51FD" w14:paraId="1F2161C7" w14:textId="6AAA5AEB">
      <w:pPr>
        <w:spacing w:line="276" w:lineRule="auto"/>
        <w:rPr>
          <w:b/>
          <w:bCs/>
        </w:rPr>
      </w:pPr>
      <w:r>
        <w:rPr>
          <w:b/>
          <w:bCs/>
          <w:szCs w:val="18"/>
        </w:rPr>
        <w:t>Aanleiding</w:t>
      </w:r>
    </w:p>
    <w:p w:rsidR="00122C19" w:rsidRDefault="002F51FD" w14:paraId="5EB0C0BE" w14:textId="77777777">
      <w:pPr>
        <w:spacing w:line="276" w:lineRule="auto"/>
      </w:pPr>
      <w:r>
        <w:rPr>
          <w:szCs w:val="18"/>
        </w:rPr>
        <w:t xml:space="preserve">De glastuinbouw ligt volgens de KEV2024 nog niet op koers om het afgesproken restemissiedoel van 4,3 </w:t>
      </w:r>
      <w:proofErr w:type="spellStart"/>
      <w:r>
        <w:rPr>
          <w:szCs w:val="18"/>
        </w:rPr>
        <w:t>Mton</w:t>
      </w:r>
      <w:proofErr w:type="spellEnd"/>
      <w:r>
        <w:rPr>
          <w:szCs w:val="18"/>
        </w:rPr>
        <w:t xml:space="preserve"> in 2030 te halen. Volgens de tariefstudie is hiervoor een verhoging van de CO2-heffing van 17,70 euro/ton CO2 naar 42,50 euro/ton CO2 in 2030 nodig. Daarnaast moet een besluit worden genomen over het samenspel van </w:t>
      </w:r>
      <w:proofErr w:type="spellStart"/>
      <w:r>
        <w:rPr>
          <w:szCs w:val="18"/>
        </w:rPr>
        <w:t>beprijzingsinstrumenten</w:t>
      </w:r>
      <w:proofErr w:type="spellEnd"/>
      <w:r>
        <w:rPr>
          <w:szCs w:val="18"/>
        </w:rPr>
        <w:t xml:space="preserve"> en aanvullende maatregelen om de randvoorwaarden op orde te brengen. </w:t>
      </w:r>
    </w:p>
    <w:p w:rsidR="00DF1618" w:rsidRDefault="00DF1618" w14:paraId="6A449383" w14:textId="77777777">
      <w:pPr>
        <w:spacing w:line="276" w:lineRule="auto"/>
        <w:rPr>
          <w:b/>
          <w:bCs/>
          <w:szCs w:val="18"/>
        </w:rPr>
      </w:pPr>
    </w:p>
    <w:p w:rsidR="00122C19" w:rsidRDefault="002F51FD" w14:paraId="3DDF34BB" w14:textId="0C87326C">
      <w:pPr>
        <w:spacing w:line="276" w:lineRule="auto"/>
        <w:rPr>
          <w:b/>
          <w:bCs/>
        </w:rPr>
      </w:pPr>
      <w:r>
        <w:rPr>
          <w:b/>
          <w:bCs/>
          <w:szCs w:val="18"/>
        </w:rPr>
        <w:t xml:space="preserve">Beslispunt </w:t>
      </w:r>
    </w:p>
    <w:p w:rsidR="00122C19" w:rsidP="00DF1618" w:rsidRDefault="00DF1618" w14:paraId="331D7BF9" w14:textId="4DD22DC8">
      <w:pPr>
        <w:spacing w:line="276" w:lineRule="auto"/>
      </w:pPr>
      <w:r>
        <w:t xml:space="preserve">Welke variant van samenspel aan </w:t>
      </w:r>
      <w:proofErr w:type="spellStart"/>
      <w:r>
        <w:t>beprijzingsinstrumenten</w:t>
      </w:r>
      <w:proofErr w:type="spellEnd"/>
      <w:r>
        <w:t xml:space="preserve"> wilt u agenderen voor het Bestuurlijk Overleg met Glastuinbouw Nederland:</w:t>
      </w:r>
    </w:p>
    <w:p w:rsidR="00122C19" w:rsidRDefault="006B6306" w14:paraId="0D29DD92" w14:textId="3330263A">
      <w:pPr>
        <w:pStyle w:val="Lijstalinea"/>
        <w:numPr>
          <w:ilvl w:val="0"/>
          <w:numId w:val="10"/>
        </w:numPr>
        <w:spacing w:line="276" w:lineRule="auto"/>
      </w:pPr>
      <w:r>
        <w:rPr>
          <w:b/>
          <w:bCs/>
          <w:szCs w:val="18"/>
        </w:rPr>
        <w:t>Variant</w:t>
      </w:r>
      <w:r w:rsidR="00DF1618">
        <w:rPr>
          <w:b/>
          <w:bCs/>
          <w:szCs w:val="18"/>
        </w:rPr>
        <w:t xml:space="preserve"> </w:t>
      </w:r>
      <w:r w:rsidR="002F51FD">
        <w:rPr>
          <w:b/>
          <w:bCs/>
          <w:szCs w:val="18"/>
        </w:rPr>
        <w:t xml:space="preserve">1: </w:t>
      </w:r>
      <w:r w:rsidR="002F51FD">
        <w:rPr>
          <w:szCs w:val="18"/>
        </w:rPr>
        <w:t>Verhogen CO2-heffing glastuinbouw conform Berenschot/</w:t>
      </w:r>
      <w:proofErr w:type="spellStart"/>
      <w:r w:rsidR="002F51FD">
        <w:rPr>
          <w:szCs w:val="18"/>
        </w:rPr>
        <w:t>Kalavasta</w:t>
      </w:r>
      <w:proofErr w:type="spellEnd"/>
      <w:r w:rsidR="002F51FD">
        <w:rPr>
          <w:szCs w:val="18"/>
        </w:rPr>
        <w:t xml:space="preserve">, </w:t>
      </w:r>
      <w:r>
        <w:rPr>
          <w:szCs w:val="18"/>
        </w:rPr>
        <w:t xml:space="preserve">geen </w:t>
      </w:r>
      <w:proofErr w:type="spellStart"/>
      <w:r>
        <w:rPr>
          <w:szCs w:val="18"/>
        </w:rPr>
        <w:t>opt</w:t>
      </w:r>
      <w:proofErr w:type="spellEnd"/>
      <w:r>
        <w:rPr>
          <w:szCs w:val="18"/>
        </w:rPr>
        <w:t xml:space="preserve">-in ETS2, </w:t>
      </w:r>
      <w:r w:rsidR="000C5EBA">
        <w:rPr>
          <w:szCs w:val="18"/>
        </w:rPr>
        <w:t>teruggaafregeling ETS2 en geen bijmengverplichting</w:t>
      </w:r>
    </w:p>
    <w:p w:rsidR="00122C19" w:rsidRDefault="006B6306" w14:paraId="1A25E2EA" w14:textId="246ED904">
      <w:pPr>
        <w:pStyle w:val="Lijstalinea"/>
        <w:numPr>
          <w:ilvl w:val="0"/>
          <w:numId w:val="10"/>
        </w:numPr>
        <w:spacing w:line="276" w:lineRule="auto"/>
      </w:pPr>
      <w:r>
        <w:rPr>
          <w:b/>
          <w:bCs/>
          <w:szCs w:val="18"/>
        </w:rPr>
        <w:t xml:space="preserve">Variant </w:t>
      </w:r>
      <w:r w:rsidR="002F51FD">
        <w:rPr>
          <w:b/>
          <w:bCs/>
          <w:szCs w:val="18"/>
        </w:rPr>
        <w:t>2:</w:t>
      </w:r>
      <w:r w:rsidR="002F51FD">
        <w:rPr>
          <w:szCs w:val="18"/>
        </w:rPr>
        <w:t xml:space="preserve"> </w:t>
      </w:r>
      <w:proofErr w:type="spellStart"/>
      <w:r w:rsidR="002F51FD">
        <w:rPr>
          <w:szCs w:val="18"/>
        </w:rPr>
        <w:t>Opt</w:t>
      </w:r>
      <w:proofErr w:type="spellEnd"/>
      <w:r w:rsidR="002F51FD">
        <w:rPr>
          <w:szCs w:val="18"/>
        </w:rPr>
        <w:t xml:space="preserve">-in ETS2, kostencompensatieregeling </w:t>
      </w:r>
      <w:r w:rsidR="00DF1618">
        <w:rPr>
          <w:szCs w:val="18"/>
        </w:rPr>
        <w:t xml:space="preserve">ETS2 </w:t>
      </w:r>
      <w:r w:rsidR="002F51FD">
        <w:rPr>
          <w:szCs w:val="18"/>
        </w:rPr>
        <w:t>en geen bijmengverplichting</w:t>
      </w:r>
    </w:p>
    <w:p w:rsidRPr="00DF1618" w:rsidR="00122C19" w:rsidP="006A4FA9" w:rsidRDefault="006B6306" w14:paraId="60EAF541" w14:textId="4B883AA8">
      <w:pPr>
        <w:pStyle w:val="Lijstalinea"/>
        <w:numPr>
          <w:ilvl w:val="0"/>
          <w:numId w:val="10"/>
        </w:numPr>
        <w:spacing w:line="276" w:lineRule="auto"/>
      </w:pPr>
      <w:r>
        <w:rPr>
          <w:b/>
          <w:bCs/>
          <w:szCs w:val="18"/>
        </w:rPr>
        <w:t xml:space="preserve">Variant </w:t>
      </w:r>
      <w:r w:rsidR="00DF1618">
        <w:rPr>
          <w:b/>
          <w:bCs/>
          <w:szCs w:val="18"/>
        </w:rPr>
        <w:t>3</w:t>
      </w:r>
      <w:r w:rsidRPr="005A6D82" w:rsidR="002F51FD">
        <w:rPr>
          <w:b/>
          <w:bCs/>
          <w:szCs w:val="18"/>
        </w:rPr>
        <w:t>:</w:t>
      </w:r>
      <w:r w:rsidRPr="005A6D82" w:rsidR="002F51FD">
        <w:rPr>
          <w:szCs w:val="18"/>
        </w:rPr>
        <w:t xml:space="preserve"> </w:t>
      </w:r>
      <w:proofErr w:type="spellStart"/>
      <w:r w:rsidRPr="005A6D82" w:rsidR="002F51FD">
        <w:rPr>
          <w:szCs w:val="18"/>
        </w:rPr>
        <w:t>Opt</w:t>
      </w:r>
      <w:proofErr w:type="spellEnd"/>
      <w:r w:rsidRPr="005A6D82" w:rsidR="002F51FD">
        <w:rPr>
          <w:szCs w:val="18"/>
        </w:rPr>
        <w:t>-in ETS2</w:t>
      </w:r>
      <w:r w:rsidR="00DF1618">
        <w:rPr>
          <w:szCs w:val="18"/>
        </w:rPr>
        <w:t>, kostencompensatieregeling ETS2</w:t>
      </w:r>
      <w:r w:rsidR="003F67FE">
        <w:rPr>
          <w:szCs w:val="18"/>
        </w:rPr>
        <w:t>,</w:t>
      </w:r>
      <w:r w:rsidR="00DF1618">
        <w:rPr>
          <w:szCs w:val="18"/>
        </w:rPr>
        <w:t xml:space="preserve"> wel </w:t>
      </w:r>
      <w:r w:rsidRPr="005A6D82" w:rsidR="005A6D82">
        <w:rPr>
          <w:szCs w:val="18"/>
        </w:rPr>
        <w:t>bijmengverplichting</w:t>
      </w:r>
      <w:r w:rsidR="00846E38">
        <w:rPr>
          <w:szCs w:val="18"/>
        </w:rPr>
        <w:t xml:space="preserve"> en aanvullende compensatie via Energiebelasting</w:t>
      </w:r>
    </w:p>
    <w:p w:rsidR="00DF1618" w:rsidP="00DF1618" w:rsidRDefault="00DF1618" w14:paraId="3B2A28E9" w14:textId="77777777">
      <w:pPr>
        <w:spacing w:line="276" w:lineRule="auto"/>
      </w:pPr>
    </w:p>
    <w:p w:rsidR="00122C19" w:rsidRDefault="00DF1618" w14:paraId="30CFB7B3" w14:textId="70B8AF1E">
      <w:pPr>
        <w:pStyle w:val="Geenafstand"/>
        <w:spacing w:line="276" w:lineRule="auto"/>
        <w:rPr>
          <w:b/>
          <w:bCs/>
        </w:rPr>
      </w:pPr>
      <w:r>
        <w:rPr>
          <w:b/>
          <w:bCs/>
          <w:szCs w:val="18"/>
        </w:rPr>
        <w:t>Toelichting</w:t>
      </w:r>
      <w:r w:rsidR="002F51FD">
        <w:rPr>
          <w:b/>
          <w:bCs/>
          <w:szCs w:val="18"/>
        </w:rPr>
        <w:t xml:space="preserve"> </w:t>
      </w:r>
      <w:r w:rsidR="006B6306">
        <w:rPr>
          <w:b/>
          <w:bCs/>
          <w:szCs w:val="18"/>
        </w:rPr>
        <w:t>varianten</w:t>
      </w:r>
      <w:r w:rsidR="00041519">
        <w:rPr>
          <w:rStyle w:val="Voetnootmarkering"/>
          <w:b/>
          <w:bCs/>
        </w:rPr>
        <w:footnoteReference w:id="1"/>
      </w:r>
    </w:p>
    <w:p w:rsidR="00122C19" w:rsidRDefault="00122C19" w14:paraId="2BC715E3" w14:textId="77777777">
      <w:pPr>
        <w:pStyle w:val="Geenafstand"/>
        <w:spacing w:line="276" w:lineRule="auto"/>
        <w:rPr>
          <w:b/>
          <w:bCs/>
        </w:rPr>
      </w:pPr>
    </w:p>
    <w:p w:rsidR="00122C19" w:rsidRDefault="00122C19" w14:paraId="0F9F605D" w14:textId="77777777">
      <w:pPr>
        <w:pStyle w:val="Geenafstand"/>
        <w:spacing w:line="276" w:lineRule="auto"/>
        <w:rPr>
          <w:b/>
          <w:bCs/>
        </w:rPr>
      </w:pPr>
    </w:p>
    <w:p w:rsidR="00122C19" w:rsidRDefault="006B6306" w14:paraId="70407A6B" w14:textId="7822F8EC">
      <w:pPr>
        <w:pStyle w:val="Geenafstand"/>
        <w:spacing w:line="276" w:lineRule="auto"/>
        <w:rPr>
          <w:b/>
          <w:bCs/>
          <w:i/>
          <w:iCs/>
        </w:rPr>
      </w:pPr>
      <w:r>
        <w:rPr>
          <w:b/>
          <w:bCs/>
          <w:szCs w:val="18"/>
        </w:rPr>
        <w:t xml:space="preserve">Variant </w:t>
      </w:r>
      <w:r w:rsidR="002F51FD">
        <w:rPr>
          <w:b/>
          <w:bCs/>
          <w:szCs w:val="18"/>
        </w:rPr>
        <w:t>1: Verhogen CO2-heffing glastuinbouw conform Berenschot/</w:t>
      </w:r>
      <w:proofErr w:type="spellStart"/>
      <w:r w:rsidR="002F51FD">
        <w:rPr>
          <w:b/>
          <w:bCs/>
          <w:szCs w:val="18"/>
        </w:rPr>
        <w:t>Kalavasta</w:t>
      </w:r>
      <w:proofErr w:type="spellEnd"/>
    </w:p>
    <w:p w:rsidRPr="00DF179F" w:rsidR="007352C5" w:rsidP="00E455B7" w:rsidRDefault="002F51FD" w14:paraId="6DB8161E" w14:textId="2C0A7A25">
      <w:pPr>
        <w:pStyle w:val="Geenafstand"/>
        <w:numPr>
          <w:ilvl w:val="0"/>
          <w:numId w:val="9"/>
        </w:numPr>
        <w:spacing w:line="276" w:lineRule="auto"/>
      </w:pPr>
      <w:r w:rsidRPr="00655C71">
        <w:rPr>
          <w:szCs w:val="18"/>
        </w:rPr>
        <w:t xml:space="preserve">Het tarief van de CO2-heffing glastuinbouw wordt - conform de studie van Berenschot en </w:t>
      </w:r>
      <w:proofErr w:type="spellStart"/>
      <w:r w:rsidRPr="00655C71">
        <w:rPr>
          <w:szCs w:val="18"/>
        </w:rPr>
        <w:t>Kalavasta</w:t>
      </w:r>
      <w:proofErr w:type="spellEnd"/>
      <w:r w:rsidRPr="00655C71">
        <w:rPr>
          <w:szCs w:val="18"/>
        </w:rPr>
        <w:t xml:space="preserve"> - in 2030 verhoogd van € 17,70 naar € 42,50 per ton kooldioxide. </w:t>
      </w:r>
      <w:r w:rsidR="006B6306">
        <w:rPr>
          <w:szCs w:val="18"/>
        </w:rPr>
        <w:t xml:space="preserve">Dit conform het Convenant Energietransitie Glastuinbouw om de benodigde CO2-reductie in 2030 te realiseren.  </w:t>
      </w:r>
      <w:r w:rsidRPr="00655C71">
        <w:rPr>
          <w:szCs w:val="18"/>
        </w:rPr>
        <w:t xml:space="preserve">In onderstaande tabel is een indicatief </w:t>
      </w:r>
      <w:proofErr w:type="spellStart"/>
      <w:r w:rsidRPr="00655C71">
        <w:rPr>
          <w:szCs w:val="18"/>
        </w:rPr>
        <w:t>tariefpad</w:t>
      </w:r>
      <w:proofErr w:type="spellEnd"/>
      <w:r w:rsidRPr="00655C71">
        <w:rPr>
          <w:szCs w:val="18"/>
        </w:rPr>
        <w:t xml:space="preserve"> geschetst</w:t>
      </w:r>
      <w:r w:rsidR="00CF2485">
        <w:rPr>
          <w:szCs w:val="18"/>
        </w:rPr>
        <w:t xml:space="preserve"> conform de huidige beleidsuitgangspunten van Berenschot en </w:t>
      </w:r>
      <w:proofErr w:type="spellStart"/>
      <w:r w:rsidR="00CF2485">
        <w:rPr>
          <w:szCs w:val="18"/>
        </w:rPr>
        <w:t>Kalavasta</w:t>
      </w:r>
      <w:proofErr w:type="spellEnd"/>
      <w:r w:rsidRPr="00655C71">
        <w:rPr>
          <w:szCs w:val="18"/>
        </w:rPr>
        <w:t>.</w:t>
      </w:r>
      <w:r w:rsidR="00B50562">
        <w:rPr>
          <w:rStyle w:val="Voetnootmarkering"/>
          <w:szCs w:val="18"/>
        </w:rPr>
        <w:footnoteReference w:id="2"/>
      </w:r>
      <w:r w:rsidRPr="00655C71" w:rsidR="00B72589">
        <w:rPr>
          <w:szCs w:val="18"/>
        </w:rPr>
        <w:t xml:space="preserve"> </w:t>
      </w:r>
    </w:p>
    <w:p w:rsidRPr="007352C5" w:rsidR="00DF179F" w:rsidP="00DF179F" w:rsidRDefault="00DF179F" w14:paraId="4F07489E" w14:textId="77777777">
      <w:pPr>
        <w:pStyle w:val="Geenafstand"/>
        <w:spacing w:line="276" w:lineRule="auto"/>
        <w:ind w:left="360"/>
      </w:pPr>
    </w:p>
    <w:tbl>
      <w:tblPr>
        <w:tblStyle w:val="Rastertabel4-Accent5"/>
        <w:tblW w:w="9385" w:type="dxa"/>
        <w:tblLook w:val="04A0" w:firstRow="1" w:lastRow="0" w:firstColumn="1" w:lastColumn="0" w:noHBand="0" w:noVBand="1"/>
      </w:tblPr>
      <w:tblGrid>
        <w:gridCol w:w="2581"/>
        <w:gridCol w:w="1134"/>
        <w:gridCol w:w="1134"/>
        <w:gridCol w:w="1134"/>
        <w:gridCol w:w="1134"/>
        <w:gridCol w:w="1134"/>
        <w:gridCol w:w="1134"/>
      </w:tblGrid>
      <w:tr w:rsidRPr="007352C5" w:rsidR="007352C5" w:rsidTr="007352C5" w14:paraId="019CD9BB"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7"/>
            <w:shd w:val="clear" w:color="auto" w:fill="002060"/>
            <w:vAlign w:val="center"/>
            <w:hideMark/>
          </w:tcPr>
          <w:p w:rsidRPr="007352C5" w:rsidR="007352C5" w:rsidP="007352C5" w:rsidRDefault="007352C5" w14:paraId="4A3580D9" w14:textId="77777777">
            <w:pPr>
              <w:pStyle w:val="Geenafstand"/>
              <w:spacing w:line="276" w:lineRule="auto"/>
            </w:pPr>
            <w:proofErr w:type="spellStart"/>
            <w:r w:rsidRPr="007352C5">
              <w:t>Tariefpad</w:t>
            </w:r>
            <w:proofErr w:type="spellEnd"/>
            <w:r w:rsidRPr="007352C5">
              <w:t xml:space="preserve"> CO2-heffing glastuinbouw in euro/ton CO2 (prijspeil 2024)</w:t>
            </w:r>
          </w:p>
        </w:tc>
      </w:tr>
      <w:tr w:rsidRPr="007352C5" w:rsidR="007352C5" w:rsidTr="007352C5" w14:paraId="1FF809CF"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8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7352C5" w:rsidR="007352C5" w:rsidP="007352C5" w:rsidRDefault="007352C5" w14:paraId="795986B0" w14:textId="77777777">
            <w:pPr>
              <w:pStyle w:val="Geenafstand"/>
              <w:spacing w:line="276" w:lineRule="auto"/>
            </w:pP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7A911123"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2025</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2A4B5331"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2026</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26C352CC"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2027</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2E4C2757"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2028</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3A8DF62B"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2029</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7329A6FC"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7352C5">
              <w:rPr>
                <w:b/>
                <w:bCs/>
                <w:lang w:val="en-US"/>
              </w:rPr>
              <w:t>2030</w:t>
            </w:r>
          </w:p>
        </w:tc>
      </w:tr>
      <w:tr w:rsidRPr="007352C5" w:rsidR="007352C5" w:rsidTr="007352C5" w14:paraId="7EFED4AC" w14:textId="77777777">
        <w:trPr>
          <w:trHeight w:val="202"/>
        </w:trPr>
        <w:tc>
          <w:tcPr>
            <w:cnfStyle w:val="001000000000" w:firstRow="0" w:lastRow="0" w:firstColumn="1" w:lastColumn="0" w:oddVBand="0" w:evenVBand="0" w:oddHBand="0" w:evenHBand="0" w:firstRowFirstColumn="0" w:firstRowLastColumn="0" w:lastRowFirstColumn="0" w:lastRowLastColumn="0"/>
            <w:tcW w:w="258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099D1235" w14:textId="77777777">
            <w:pPr>
              <w:pStyle w:val="Geenafstand"/>
              <w:spacing w:line="276" w:lineRule="auto"/>
              <w:rPr>
                <w:lang w:val="en-US"/>
              </w:rPr>
            </w:pPr>
            <w:proofErr w:type="spellStart"/>
            <w:r w:rsidRPr="007352C5">
              <w:rPr>
                <w:lang w:val="en-US"/>
              </w:rPr>
              <w:t>Basispad</w:t>
            </w:r>
            <w:proofErr w:type="spellEnd"/>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69D04415"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9,50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75D0C8BF"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11,14</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65B22F89"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12,78</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7FD68730"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14,42</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640D3645"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16,06</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7352C5" w:rsidR="007352C5" w:rsidP="007352C5" w:rsidRDefault="007352C5" w14:paraId="69E7DC64"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7352C5">
              <w:rPr>
                <w:lang w:val="en-US"/>
              </w:rPr>
              <w:t>17,70</w:t>
            </w:r>
          </w:p>
        </w:tc>
      </w:tr>
      <w:tr w:rsidRPr="007352C5" w:rsidR="007352C5" w:rsidTr="007352C5" w14:paraId="72C0A1AF"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58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1131BD5A" w14:textId="77777777">
            <w:pPr>
              <w:pStyle w:val="Geenafstand"/>
              <w:spacing w:line="276" w:lineRule="auto"/>
              <w:rPr>
                <w:lang w:val="en-US"/>
              </w:rPr>
            </w:pPr>
            <w:proofErr w:type="spellStart"/>
            <w:r w:rsidRPr="007352C5">
              <w:rPr>
                <w:lang w:val="en-US"/>
              </w:rPr>
              <w:t>Tariefpad</w:t>
            </w:r>
            <w:proofErr w:type="spellEnd"/>
            <w:r w:rsidRPr="007352C5">
              <w:rPr>
                <w:lang w:val="en-US"/>
              </w:rPr>
              <w:t xml:space="preserve"> </w:t>
            </w:r>
            <w:proofErr w:type="spellStart"/>
            <w:r w:rsidRPr="007352C5">
              <w:rPr>
                <w:lang w:val="en-US"/>
              </w:rPr>
              <w:t>na</w:t>
            </w:r>
            <w:proofErr w:type="spellEnd"/>
            <w:r w:rsidRPr="007352C5">
              <w:rPr>
                <w:lang w:val="en-US"/>
              </w:rPr>
              <w:t xml:space="preserve"> </w:t>
            </w:r>
            <w:proofErr w:type="spellStart"/>
            <w:r w:rsidRPr="007352C5">
              <w:rPr>
                <w:lang w:val="en-US"/>
              </w:rPr>
              <w:t>ophoging</w:t>
            </w:r>
            <w:proofErr w:type="spellEnd"/>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3C39EAB4"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9,50</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14EDE06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16,1</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04C656D7"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22,7</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47FE28E8"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29,3</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7C742BF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35,9</w:t>
            </w:r>
          </w:p>
        </w:tc>
        <w:tc>
          <w:tcPr>
            <w:tcW w:w="1134"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7352C5" w:rsidR="007352C5" w:rsidP="007352C5" w:rsidRDefault="007352C5" w14:paraId="0FC77AD9"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7352C5">
              <w:rPr>
                <w:lang w:val="en-US"/>
              </w:rPr>
              <w:t>42,5</w:t>
            </w:r>
          </w:p>
        </w:tc>
      </w:tr>
    </w:tbl>
    <w:p w:rsidR="00122C19" w:rsidRDefault="00122C19" w14:paraId="650E9454" w14:textId="77777777">
      <w:pPr>
        <w:pStyle w:val="Geenafstand"/>
        <w:spacing w:line="276" w:lineRule="auto"/>
      </w:pPr>
    </w:p>
    <w:p w:rsidR="004953CC" w:rsidP="004953CC" w:rsidRDefault="002F51FD" w14:paraId="06FF7580" w14:textId="539A4A6A">
      <w:pPr>
        <w:pStyle w:val="Geenafstand"/>
        <w:numPr>
          <w:ilvl w:val="0"/>
          <w:numId w:val="1"/>
        </w:numPr>
        <w:spacing w:line="276" w:lineRule="auto"/>
      </w:pPr>
      <w:r>
        <w:rPr>
          <w:szCs w:val="18"/>
        </w:rPr>
        <w:t xml:space="preserve">Conform huidige besluitvorming </w:t>
      </w:r>
      <w:r w:rsidR="00974A00">
        <w:rPr>
          <w:szCs w:val="18"/>
        </w:rPr>
        <w:t xml:space="preserve">komt er geen </w:t>
      </w:r>
      <w:proofErr w:type="spellStart"/>
      <w:r w:rsidR="00974A00">
        <w:rPr>
          <w:szCs w:val="18"/>
        </w:rPr>
        <w:t>opt</w:t>
      </w:r>
      <w:proofErr w:type="spellEnd"/>
      <w:r w:rsidR="00974A00">
        <w:rPr>
          <w:szCs w:val="18"/>
        </w:rPr>
        <w:t xml:space="preserve">-in ETS2 voor de glastuinbouw en wordt </w:t>
      </w:r>
      <w:r>
        <w:rPr>
          <w:szCs w:val="18"/>
        </w:rPr>
        <w:t>er een nationale teruggaafregeling uitgewerkt.</w:t>
      </w:r>
      <w:r w:rsidR="004953CC">
        <w:rPr>
          <w:szCs w:val="18"/>
        </w:rPr>
        <w:t xml:space="preserve"> Lidstaten mogen – binnen bepaalde kaders – de teruggaafregeling zelf vormgeven. De kosten van deze teruggaafregeling komen voor rekening van de lidstaten.</w:t>
      </w:r>
    </w:p>
    <w:p w:rsidR="004953CC" w:rsidP="004953CC" w:rsidRDefault="004953CC" w14:paraId="114B6467" w14:textId="77777777">
      <w:pPr>
        <w:pStyle w:val="Geenafstand"/>
        <w:numPr>
          <w:ilvl w:val="0"/>
          <w:numId w:val="1"/>
        </w:numPr>
        <w:spacing w:line="276" w:lineRule="auto"/>
      </w:pPr>
      <w:r>
        <w:rPr>
          <w:szCs w:val="18"/>
        </w:rPr>
        <w:t>Op Europees niveau worden de onterecht ingeleverde ETS2-rechten twee jaar na dato opnieuw geveild. Deze veilinginkomsten worden vervolgens via een vaste verdeelsleutel over alle lidstaten verdeeld (voor Nederland 4,4%).</w:t>
      </w:r>
    </w:p>
    <w:p w:rsidR="00122C19" w:rsidRDefault="002F51FD" w14:paraId="4637A47C" w14:textId="30C68FF9">
      <w:pPr>
        <w:pStyle w:val="Geenafstand"/>
        <w:numPr>
          <w:ilvl w:val="0"/>
          <w:numId w:val="9"/>
        </w:numPr>
        <w:spacing w:line="276" w:lineRule="auto"/>
      </w:pPr>
      <w:r>
        <w:rPr>
          <w:szCs w:val="18"/>
        </w:rPr>
        <w:t>De bijmengverplichting groen gas</w:t>
      </w:r>
      <w:r w:rsidR="00A35A23">
        <w:rPr>
          <w:szCs w:val="18"/>
        </w:rPr>
        <w:t xml:space="preserve"> geldt niet voor de glastuinbouw doordat het wetsvoorstel in het geheel wordt teruggetrokken of alleen van toepassing is op kleinverbruikers.</w:t>
      </w:r>
    </w:p>
    <w:p w:rsidR="00122C19" w:rsidRDefault="002F51FD" w14:paraId="5FADF34D" w14:textId="4C8E235D">
      <w:pPr>
        <w:pStyle w:val="Geenafstand"/>
        <w:numPr>
          <w:ilvl w:val="0"/>
          <w:numId w:val="9"/>
        </w:numPr>
        <w:spacing w:line="276" w:lineRule="auto"/>
      </w:pPr>
      <w:r>
        <w:rPr>
          <w:szCs w:val="18"/>
        </w:rPr>
        <w:lastRenderedPageBreak/>
        <w:t>De verwachte opbrengst van de verhoging van de CO2-heffing wordt voor de glastuinbouw gereserveerd</w:t>
      </w:r>
      <w:r w:rsidR="00DE6A8B">
        <w:rPr>
          <w:szCs w:val="18"/>
        </w:rPr>
        <w:t>. Dit kan worden ingezet voor</w:t>
      </w:r>
      <w:r w:rsidR="00974A00">
        <w:rPr>
          <w:szCs w:val="18"/>
        </w:rPr>
        <w:t xml:space="preserve"> financiering van de teruggaafregeling maar is zeker in de eerste twee jaar nog onvoldoende.</w:t>
      </w:r>
      <w:r w:rsidR="004E23A0">
        <w:rPr>
          <w:szCs w:val="18"/>
        </w:rPr>
        <w:t xml:space="preserve"> Er is daarom </w:t>
      </w:r>
      <w:r w:rsidR="004628BA">
        <w:rPr>
          <w:szCs w:val="18"/>
        </w:rPr>
        <w:t>(</w:t>
      </w:r>
      <w:r w:rsidR="004E23A0">
        <w:rPr>
          <w:szCs w:val="18"/>
        </w:rPr>
        <w:t>aanvullende</w:t>
      </w:r>
      <w:r w:rsidR="004628BA">
        <w:rPr>
          <w:szCs w:val="18"/>
        </w:rPr>
        <w:t>)</w:t>
      </w:r>
      <w:r w:rsidR="004E23A0">
        <w:rPr>
          <w:szCs w:val="18"/>
        </w:rPr>
        <w:t xml:space="preserve"> dekking nodig</w:t>
      </w:r>
      <w:r w:rsidR="00655C71">
        <w:rPr>
          <w:szCs w:val="18"/>
        </w:rPr>
        <w:t>.</w:t>
      </w:r>
    </w:p>
    <w:p w:rsidRPr="00E455B7" w:rsidR="00122C19" w:rsidRDefault="009915B0" w14:paraId="6ABD5ED8" w14:textId="5F6609CE">
      <w:pPr>
        <w:pStyle w:val="Geenafstand"/>
        <w:numPr>
          <w:ilvl w:val="0"/>
          <w:numId w:val="9"/>
        </w:numPr>
        <w:spacing w:line="276" w:lineRule="auto"/>
      </w:pPr>
      <w:r>
        <w:rPr>
          <w:szCs w:val="18"/>
        </w:rPr>
        <w:t xml:space="preserve">In augustus vindt definitieve besluitvorming plaats aangaande het exacte </w:t>
      </w:r>
      <w:proofErr w:type="spellStart"/>
      <w:r>
        <w:rPr>
          <w:szCs w:val="18"/>
        </w:rPr>
        <w:t>tariefpad</w:t>
      </w:r>
      <w:proofErr w:type="spellEnd"/>
      <w:r>
        <w:rPr>
          <w:szCs w:val="18"/>
        </w:rPr>
        <w:t xml:space="preserve"> van de CO2-heffing, financiering van de teruggaafregeling en mogelijke inzet van aanvullend beleid  (waarvoor instemming van de minister van Financiën benodigd is). </w:t>
      </w:r>
      <w:r w:rsidR="00CF2485">
        <w:rPr>
          <w:szCs w:val="18"/>
        </w:rPr>
        <w:t xml:space="preserve">Ook zal hierbij rekening moeten worden  gehouden met verschillende lasteneffecten voor glastuinbouwbedrijven (recht op teruggaafregeling) en energiebedrijven voor de glastuinbouw (verplicht deelnemer aan ETS2). </w:t>
      </w:r>
      <w:r w:rsidR="002F51FD">
        <w:rPr>
          <w:szCs w:val="18"/>
        </w:rPr>
        <w:t xml:space="preserve">Dit mede op basis van de volledige tariefstudie van Berenschot en </w:t>
      </w:r>
      <w:proofErr w:type="spellStart"/>
      <w:r w:rsidR="002F51FD">
        <w:rPr>
          <w:szCs w:val="18"/>
        </w:rPr>
        <w:t>Kalavasta</w:t>
      </w:r>
      <w:proofErr w:type="spellEnd"/>
      <w:r w:rsidR="002F51FD">
        <w:rPr>
          <w:szCs w:val="18"/>
        </w:rPr>
        <w:t>.</w:t>
      </w:r>
    </w:p>
    <w:p w:rsidR="00E455B7" w:rsidP="00E455B7" w:rsidRDefault="00E455B7" w14:paraId="533B79AF" w14:textId="77777777">
      <w:pPr>
        <w:pStyle w:val="Geenafstand"/>
        <w:spacing w:line="276" w:lineRule="auto"/>
        <w:ind w:left="360"/>
      </w:pPr>
    </w:p>
    <w:tbl>
      <w:tblPr>
        <w:tblStyle w:val="Rastertabel4-Accent5"/>
        <w:tblW w:w="9385" w:type="dxa"/>
        <w:tblLook w:val="04A0" w:firstRow="1" w:lastRow="0" w:firstColumn="1" w:lastColumn="0" w:noHBand="0" w:noVBand="1"/>
      </w:tblPr>
      <w:tblGrid>
        <w:gridCol w:w="2689"/>
        <w:gridCol w:w="1026"/>
        <w:gridCol w:w="1134"/>
        <w:gridCol w:w="1134"/>
        <w:gridCol w:w="1134"/>
        <w:gridCol w:w="1134"/>
        <w:gridCol w:w="1134"/>
      </w:tblGrid>
      <w:tr w:rsidR="00122C19" w:rsidTr="5FA50F9D" w14:paraId="01C6F8B2"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7"/>
            <w:shd w:val="clear" w:color="auto" w:fill="002060"/>
            <w:vAlign w:val="center"/>
          </w:tcPr>
          <w:p w:rsidR="00122C19" w:rsidRDefault="002F51FD" w14:paraId="73BF0245" w14:textId="426B655D">
            <w:pPr>
              <w:rPr>
                <w:rFonts w:eastAsia="Times New Roman" w:cs="Calibri"/>
                <w:szCs w:val="18"/>
              </w:rPr>
            </w:pPr>
            <w:r>
              <w:rPr>
                <w:rFonts w:eastAsia="Times New Roman" w:cs="Calibri"/>
                <w:color w:val="FFFFFF"/>
                <w:szCs w:val="18"/>
              </w:rPr>
              <w:t>Verwachte budgettaire opbrengst CO2-heffing glastuinbouw</w:t>
            </w:r>
            <w:r w:rsidR="00041519">
              <w:rPr>
                <w:rFonts w:eastAsia="Times New Roman" w:cs="Calibri"/>
                <w:color w:val="FFFFFF"/>
                <w:szCs w:val="18"/>
              </w:rPr>
              <w:t xml:space="preserve"> </w:t>
            </w:r>
            <w:r w:rsidR="00E14830">
              <w:rPr>
                <w:rFonts w:eastAsia="Times New Roman" w:cs="Calibri"/>
                <w:color w:val="FFFFFF"/>
                <w:szCs w:val="18"/>
              </w:rPr>
              <w:t>en teruggaafregeling ETS2 in mln. euro (</w:t>
            </w:r>
            <w:r w:rsidR="00041519">
              <w:rPr>
                <w:rFonts w:eastAsia="Times New Roman" w:cs="Calibri"/>
                <w:color w:val="FFFFFF"/>
                <w:szCs w:val="18"/>
              </w:rPr>
              <w:t>prijspeil 2025</w:t>
            </w:r>
            <w:r w:rsidR="00E14830">
              <w:rPr>
                <w:rFonts w:eastAsia="Times New Roman" w:cs="Calibri"/>
                <w:color w:val="FFFFFF"/>
                <w:szCs w:val="18"/>
              </w:rPr>
              <w:t>)</w:t>
            </w:r>
            <w:r>
              <w:rPr>
                <w:rFonts w:eastAsia="Times New Roman" w:cs="Calibri"/>
                <w:color w:val="FFFFFF"/>
                <w:szCs w:val="18"/>
              </w:rPr>
              <w:t xml:space="preserve"> </w:t>
            </w:r>
          </w:p>
        </w:tc>
      </w:tr>
      <w:tr w:rsidR="00122C19" w:rsidTr="5FA50F9D" w14:paraId="220707F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vAlign w:val="center"/>
          </w:tcPr>
          <w:p w:rsidR="00122C19" w:rsidRDefault="00122C19" w14:paraId="493F803B" w14:textId="77777777">
            <w:pPr>
              <w:rPr>
                <w:rFonts w:eastAsia="Times New Roman" w:cs="Times New Roman"/>
                <w:szCs w:val="18"/>
              </w:rPr>
            </w:pPr>
          </w:p>
        </w:tc>
        <w:tc>
          <w:tcPr>
            <w:tcW w:w="1026" w:type="dxa"/>
            <w:vAlign w:val="center"/>
          </w:tcPr>
          <w:p w:rsidR="00122C19" w:rsidRDefault="002F51FD" w14:paraId="242740C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1134" w:type="dxa"/>
            <w:vAlign w:val="center"/>
          </w:tcPr>
          <w:p w:rsidR="00122C19" w:rsidRDefault="002F51FD" w14:paraId="10ED385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1134" w:type="dxa"/>
            <w:vAlign w:val="center"/>
          </w:tcPr>
          <w:p w:rsidR="00122C19" w:rsidRDefault="002F51FD" w14:paraId="7797027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1134" w:type="dxa"/>
            <w:vAlign w:val="center"/>
          </w:tcPr>
          <w:p w:rsidR="00122C19" w:rsidRDefault="002F51FD" w14:paraId="7747B85F"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1134" w:type="dxa"/>
            <w:vAlign w:val="center"/>
          </w:tcPr>
          <w:p w:rsidR="00122C19" w:rsidRDefault="002F51FD" w14:paraId="157906A1"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1134" w:type="dxa"/>
            <w:vAlign w:val="center"/>
          </w:tcPr>
          <w:p w:rsidR="00122C19" w:rsidRDefault="002F51FD" w14:paraId="5F001A8A"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r>
      <w:tr w:rsidR="00E14830" w:rsidTr="5FA50F9D" w14:paraId="4DC94750"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vAlign w:val="center"/>
          </w:tcPr>
          <w:p w:rsidRPr="008B48B0" w:rsidR="00E14830" w:rsidP="009B056E" w:rsidRDefault="00E14830" w14:paraId="0967179E" w14:textId="77777777">
            <w:pPr>
              <w:rPr>
                <w:rFonts w:eastAsia="Times New Roman" w:cs="Calibri"/>
                <w:color w:val="000000"/>
                <w:szCs w:val="18"/>
              </w:rPr>
            </w:pPr>
          </w:p>
        </w:tc>
        <w:tc>
          <w:tcPr>
            <w:tcW w:w="1026" w:type="dxa"/>
          </w:tcPr>
          <w:p w:rsidRPr="008B48B0" w:rsidR="00E14830" w:rsidP="009B056E" w:rsidRDefault="00E14830" w14:paraId="5301B115"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Pr="008B48B0" w:rsidR="00E14830" w:rsidP="009B056E" w:rsidRDefault="00E14830" w14:paraId="02F364AC"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Pr="008B48B0" w:rsidR="00E14830" w:rsidP="009B056E" w:rsidRDefault="00E14830" w14:paraId="4E69DF7E"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Pr="008B48B0" w:rsidR="00E14830" w:rsidP="009B056E" w:rsidRDefault="00E14830" w14:paraId="4EAFC9C7"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Pr="008B48B0" w:rsidR="00E14830" w:rsidP="009B056E" w:rsidRDefault="00E14830" w14:paraId="48DCC271"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tcPr>
          <w:p w:rsidRPr="008B48B0" w:rsidR="00E14830" w:rsidP="009B056E" w:rsidRDefault="00E14830" w14:paraId="581C3926" w14:textId="77777777">
            <w:pPr>
              <w:jc w:val="center"/>
              <w:cnfStyle w:val="000000000000" w:firstRow="0" w:lastRow="0" w:firstColumn="0" w:lastColumn="0" w:oddVBand="0" w:evenVBand="0" w:oddHBand="0" w:evenHBand="0" w:firstRowFirstColumn="0" w:firstRowLastColumn="0" w:lastRowFirstColumn="0" w:lastRowLastColumn="0"/>
            </w:pPr>
          </w:p>
        </w:tc>
      </w:tr>
      <w:tr w:rsidRPr="008B48B0" w:rsidR="00E14830" w:rsidTr="5FA50F9D" w14:paraId="33AD029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vAlign w:val="center"/>
          </w:tcPr>
          <w:p w:rsidRPr="00031556" w:rsidR="00E14830" w:rsidP="009B056E" w:rsidRDefault="00E14830" w14:paraId="14D08834" w14:textId="144ED1EB">
            <w:pPr>
              <w:rPr>
                <w:rFonts w:eastAsia="Times New Roman" w:cs="Calibri"/>
                <w:color w:val="000000"/>
                <w:szCs w:val="18"/>
              </w:rPr>
            </w:pPr>
            <w:r w:rsidRPr="00031556">
              <w:rPr>
                <w:rFonts w:eastAsia="Times New Roman" w:cs="Calibri"/>
                <w:color w:val="000000"/>
                <w:szCs w:val="18"/>
              </w:rPr>
              <w:t>CO2-heffing GTB</w:t>
            </w:r>
          </w:p>
        </w:tc>
        <w:tc>
          <w:tcPr>
            <w:tcW w:w="1026" w:type="dxa"/>
          </w:tcPr>
          <w:p w:rsidRPr="008B48B0" w:rsidR="00E14830" w:rsidP="009B056E" w:rsidRDefault="00E14830" w14:paraId="1F05F38E"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Pr="008B48B0" w:rsidR="00E14830" w:rsidP="009B056E" w:rsidRDefault="00E14830" w14:paraId="425D5F0F"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Pr="008B48B0" w:rsidR="00E14830" w:rsidP="009B056E" w:rsidRDefault="00E14830" w14:paraId="13149F70"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Pr="008B48B0" w:rsidR="00E14830" w:rsidP="009B056E" w:rsidRDefault="00E14830" w14:paraId="19354F20"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Pr="008B48B0" w:rsidR="00E14830" w:rsidP="009B056E" w:rsidRDefault="00E14830" w14:paraId="2D294462"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tcPr>
          <w:p w:rsidRPr="008B48B0" w:rsidR="00E14830" w:rsidP="009B056E" w:rsidRDefault="00E14830" w14:paraId="23314190" w14:textId="77777777">
            <w:pPr>
              <w:jc w:val="center"/>
              <w:cnfStyle w:val="000000100000" w:firstRow="0" w:lastRow="0" w:firstColumn="0" w:lastColumn="0" w:oddVBand="0" w:evenVBand="0" w:oddHBand="1" w:evenHBand="0" w:firstRowFirstColumn="0" w:firstRowLastColumn="0" w:lastRowFirstColumn="0" w:lastRowLastColumn="0"/>
            </w:pPr>
          </w:p>
        </w:tc>
      </w:tr>
      <w:tr w:rsidR="009B056E" w:rsidTr="5FA50F9D" w14:paraId="04A73480"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vAlign w:val="center"/>
          </w:tcPr>
          <w:p w:rsidRPr="00031556" w:rsidR="009B056E" w:rsidP="009B056E" w:rsidRDefault="009B056E" w14:paraId="02CA1EF3" w14:textId="77777777">
            <w:pPr>
              <w:rPr>
                <w:rFonts w:eastAsia="Times New Roman" w:cs="Calibri"/>
                <w:b w:val="0"/>
                <w:bCs w:val="0"/>
                <w:color w:val="000000"/>
                <w:szCs w:val="18"/>
              </w:rPr>
            </w:pPr>
            <w:r w:rsidRPr="00031556">
              <w:rPr>
                <w:rFonts w:eastAsia="Times New Roman" w:cs="Calibri"/>
                <w:b w:val="0"/>
                <w:bCs w:val="0"/>
                <w:color w:val="000000"/>
                <w:szCs w:val="18"/>
              </w:rPr>
              <w:t>Meeropbrengst CO2-heffing</w:t>
            </w:r>
          </w:p>
        </w:tc>
        <w:tc>
          <w:tcPr>
            <w:tcW w:w="1026" w:type="dxa"/>
          </w:tcPr>
          <w:p w:rsidRPr="008B48B0" w:rsidR="009B056E" w:rsidP="5FA50F9D" w:rsidRDefault="009B056E" w14:paraId="1F11FFEF" w14:textId="52A6DAE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-1</w:t>
            </w:r>
          </w:p>
        </w:tc>
        <w:tc>
          <w:tcPr>
            <w:tcW w:w="1134" w:type="dxa"/>
          </w:tcPr>
          <w:p w:rsidRPr="008B48B0" w:rsidR="009B056E" w:rsidP="5FA50F9D" w:rsidRDefault="009B056E" w14:paraId="10943B63" w14:textId="3CC0F2D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20 </w:t>
            </w:r>
          </w:p>
        </w:tc>
        <w:tc>
          <w:tcPr>
            <w:tcW w:w="1134" w:type="dxa"/>
          </w:tcPr>
          <w:p w:rsidRPr="008B48B0" w:rsidR="009B056E" w:rsidP="5FA50F9D" w:rsidRDefault="009B056E" w14:paraId="21B6FAFE" w14:textId="7B89FEA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39 </w:t>
            </w:r>
          </w:p>
        </w:tc>
        <w:tc>
          <w:tcPr>
            <w:tcW w:w="1134" w:type="dxa"/>
          </w:tcPr>
          <w:p w:rsidRPr="008B48B0" w:rsidR="009B056E" w:rsidP="5FA50F9D" w:rsidRDefault="009B056E" w14:paraId="03C79454" w14:textId="6DA5E5A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5</w:t>
            </w:r>
            <w:r w:rsidR="00963BFC">
              <w:t>7</w:t>
            </w:r>
            <w:r>
              <w:t xml:space="preserve"> </w:t>
            </w:r>
          </w:p>
        </w:tc>
        <w:tc>
          <w:tcPr>
            <w:tcW w:w="1134" w:type="dxa"/>
          </w:tcPr>
          <w:p w:rsidRPr="008B48B0" w:rsidR="009B056E" w:rsidP="5FA50F9D" w:rsidRDefault="009B056E" w14:paraId="1A921AE2" w14:textId="19D6039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6</w:t>
            </w:r>
            <w:r w:rsidR="00963BFC">
              <w:t>4</w:t>
            </w:r>
            <w:r>
              <w:t xml:space="preserve"> </w:t>
            </w:r>
          </w:p>
        </w:tc>
        <w:tc>
          <w:tcPr>
            <w:tcW w:w="1134" w:type="dxa"/>
          </w:tcPr>
          <w:p w:rsidRPr="008B48B0" w:rsidR="009B056E" w:rsidP="5FA50F9D" w:rsidRDefault="009B056E" w14:paraId="721E04B3" w14:textId="66B33DB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 xml:space="preserve"> 8</w:t>
            </w:r>
            <w:r w:rsidR="00963BFC">
              <w:t>1</w:t>
            </w:r>
            <w:r>
              <w:t xml:space="preserve"> </w:t>
            </w:r>
          </w:p>
        </w:tc>
      </w:tr>
      <w:tr w:rsidR="00963BFC" w:rsidTr="5FA50F9D" w14:paraId="0C0C071E"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031556" w:rsidR="00963BFC" w:rsidP="009B056E" w:rsidRDefault="00963BFC" w14:paraId="5B717032" w14:textId="326499DB">
            <w:pPr>
              <w:rPr>
                <w:rFonts w:eastAsia="Times New Roman" w:cs="Calibri"/>
                <w:b w:val="0"/>
                <w:bCs w:val="0"/>
                <w:color w:val="000000"/>
                <w:szCs w:val="18"/>
              </w:rPr>
            </w:pPr>
            <w:r w:rsidRPr="00031556">
              <w:rPr>
                <w:rFonts w:eastAsia="Times New Roman" w:cs="Calibri"/>
                <w:b w:val="0"/>
                <w:bCs w:val="0"/>
                <w:color w:val="000000"/>
                <w:szCs w:val="18"/>
              </w:rPr>
              <w:t xml:space="preserve">Uitzonderen energie </w:t>
            </w:r>
            <w:proofErr w:type="spellStart"/>
            <w:r w:rsidRPr="00031556">
              <w:rPr>
                <w:rFonts w:eastAsia="Times New Roman" w:cs="Calibri"/>
                <w:b w:val="0"/>
                <w:bCs w:val="0"/>
                <w:color w:val="000000"/>
                <w:szCs w:val="18"/>
              </w:rPr>
              <w:t>BV’s</w:t>
            </w:r>
            <w:proofErr w:type="spellEnd"/>
          </w:p>
        </w:tc>
        <w:tc>
          <w:tcPr>
            <w:tcW w:w="1026" w:type="dxa"/>
            <w:shd w:val="clear" w:color="auto" w:fill="FFFFFF" w:themeFill="background1"/>
          </w:tcPr>
          <w:p w:rsidRPr="008B48B0" w:rsidR="00963BFC" w:rsidP="5FA50F9D" w:rsidRDefault="00963BFC" w14:paraId="29EA1AD0" w14:textId="3D62AD9C">
            <w:pPr>
              <w:jc w:val="center"/>
              <w:cnfStyle w:val="000000100000" w:firstRow="0" w:lastRow="0" w:firstColumn="0" w:lastColumn="0" w:oddVBand="0" w:evenVBand="0" w:oddHBand="1" w:evenHBand="0" w:firstRowFirstColumn="0" w:firstRowLastColumn="0" w:lastRowFirstColumn="0" w:lastRowLastColumn="0"/>
            </w:pPr>
            <w:r>
              <w:t>-4</w:t>
            </w:r>
          </w:p>
        </w:tc>
        <w:tc>
          <w:tcPr>
            <w:tcW w:w="1134" w:type="dxa"/>
            <w:shd w:val="clear" w:color="auto" w:fill="FFFFFF" w:themeFill="background1"/>
          </w:tcPr>
          <w:p w:rsidRPr="008B48B0" w:rsidR="00963BFC" w:rsidP="5FA50F9D" w:rsidRDefault="00963BFC" w14:paraId="15135F94" w14:textId="75356FFC">
            <w:pPr>
              <w:jc w:val="center"/>
              <w:cnfStyle w:val="000000100000" w:firstRow="0" w:lastRow="0" w:firstColumn="0" w:lastColumn="0" w:oddVBand="0" w:evenVBand="0" w:oddHBand="1" w:evenHBand="0" w:firstRowFirstColumn="0" w:firstRowLastColumn="0" w:lastRowFirstColumn="0" w:lastRowLastColumn="0"/>
            </w:pPr>
            <w:r>
              <w:t>-5</w:t>
            </w:r>
          </w:p>
        </w:tc>
        <w:tc>
          <w:tcPr>
            <w:tcW w:w="1134" w:type="dxa"/>
            <w:shd w:val="clear" w:color="auto" w:fill="FFFFFF" w:themeFill="background1"/>
          </w:tcPr>
          <w:p w:rsidRPr="008B48B0" w:rsidR="00963BFC" w:rsidP="5FA50F9D" w:rsidRDefault="00963BFC" w14:paraId="23466538" w14:textId="50A7532B">
            <w:pPr>
              <w:jc w:val="center"/>
              <w:cnfStyle w:val="000000100000" w:firstRow="0" w:lastRow="0" w:firstColumn="0" w:lastColumn="0" w:oddVBand="0" w:evenVBand="0" w:oddHBand="1" w:evenHBand="0" w:firstRowFirstColumn="0" w:firstRowLastColumn="0" w:lastRowFirstColumn="0" w:lastRowLastColumn="0"/>
            </w:pPr>
            <w:r>
              <w:t>-5</w:t>
            </w:r>
          </w:p>
        </w:tc>
        <w:tc>
          <w:tcPr>
            <w:tcW w:w="1134" w:type="dxa"/>
            <w:shd w:val="clear" w:color="auto" w:fill="FFFFFF" w:themeFill="background1"/>
          </w:tcPr>
          <w:p w:rsidRPr="008B48B0" w:rsidR="00963BFC" w:rsidP="5FA50F9D" w:rsidRDefault="00963BFC" w14:paraId="5EA5CE83" w14:textId="1845BAE5">
            <w:pPr>
              <w:jc w:val="center"/>
              <w:cnfStyle w:val="000000100000" w:firstRow="0" w:lastRow="0" w:firstColumn="0" w:lastColumn="0" w:oddVBand="0" w:evenVBand="0" w:oddHBand="1" w:evenHBand="0" w:firstRowFirstColumn="0" w:firstRowLastColumn="0" w:lastRowFirstColumn="0" w:lastRowLastColumn="0"/>
            </w:pPr>
            <w:r>
              <w:t>-6</w:t>
            </w:r>
          </w:p>
        </w:tc>
        <w:tc>
          <w:tcPr>
            <w:tcW w:w="1134" w:type="dxa"/>
            <w:shd w:val="clear" w:color="auto" w:fill="FFFFFF" w:themeFill="background1"/>
          </w:tcPr>
          <w:p w:rsidRPr="008B48B0" w:rsidR="00963BFC" w:rsidP="5FA50F9D" w:rsidRDefault="00963BFC" w14:paraId="19F06823" w14:textId="44D59071">
            <w:pPr>
              <w:jc w:val="center"/>
              <w:cnfStyle w:val="000000100000" w:firstRow="0" w:lastRow="0" w:firstColumn="0" w:lastColumn="0" w:oddVBand="0" w:evenVBand="0" w:oddHBand="1" w:evenHBand="0" w:firstRowFirstColumn="0" w:firstRowLastColumn="0" w:lastRowFirstColumn="0" w:lastRowLastColumn="0"/>
            </w:pPr>
            <w:r>
              <w:t>-6</w:t>
            </w:r>
          </w:p>
        </w:tc>
        <w:tc>
          <w:tcPr>
            <w:tcW w:w="1134" w:type="dxa"/>
            <w:shd w:val="clear" w:color="auto" w:fill="FFFFFF" w:themeFill="background1"/>
          </w:tcPr>
          <w:p w:rsidRPr="008B48B0" w:rsidR="00963BFC" w:rsidP="5FA50F9D" w:rsidRDefault="00963BFC" w14:paraId="36D7B373" w14:textId="04F433EE">
            <w:pPr>
              <w:jc w:val="center"/>
              <w:cnfStyle w:val="000000100000" w:firstRow="0" w:lastRow="0" w:firstColumn="0" w:lastColumn="0" w:oddVBand="0" w:evenVBand="0" w:oddHBand="1" w:evenHBand="0" w:firstRowFirstColumn="0" w:firstRowLastColumn="0" w:lastRowFirstColumn="0" w:lastRowLastColumn="0"/>
            </w:pPr>
            <w:r>
              <w:t>-6</w:t>
            </w:r>
          </w:p>
        </w:tc>
      </w:tr>
      <w:tr w:rsidR="009B056E" w:rsidTr="5FA50F9D" w14:paraId="68329BFE"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031556" w:rsidR="009B056E" w:rsidP="009B056E" w:rsidRDefault="009B056E" w14:paraId="1D95D484" w14:textId="77777777">
            <w:pPr>
              <w:rPr>
                <w:rFonts w:eastAsia="Times New Roman" w:cs="Calibri"/>
                <w:b w:val="0"/>
                <w:bCs w:val="0"/>
                <w:color w:val="000000"/>
                <w:szCs w:val="18"/>
              </w:rPr>
            </w:pPr>
            <w:r w:rsidRPr="00031556">
              <w:rPr>
                <w:rFonts w:eastAsia="Times New Roman" w:cs="Calibri"/>
                <w:b w:val="0"/>
                <w:bCs w:val="0"/>
                <w:color w:val="000000"/>
                <w:szCs w:val="18"/>
              </w:rPr>
              <w:t>Derving energiebelasting aardgas</w:t>
            </w:r>
          </w:p>
        </w:tc>
        <w:tc>
          <w:tcPr>
            <w:tcW w:w="1026" w:type="dxa"/>
            <w:shd w:val="clear" w:color="auto" w:fill="FFFFFF" w:themeFill="background1"/>
            <w:vAlign w:val="center"/>
          </w:tcPr>
          <w:p w:rsidRPr="00197A06" w:rsidR="009B056E" w:rsidP="5FA50F9D" w:rsidRDefault="009B056E" w14:paraId="18068068" w14:textId="6579C21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-1</w:t>
            </w:r>
          </w:p>
        </w:tc>
        <w:tc>
          <w:tcPr>
            <w:tcW w:w="1134" w:type="dxa"/>
            <w:shd w:val="clear" w:color="auto" w:fill="FFFFFF" w:themeFill="background1"/>
            <w:vAlign w:val="center"/>
          </w:tcPr>
          <w:p w:rsidRPr="00197A06" w:rsidR="009B056E" w:rsidP="5FA50F9D" w:rsidRDefault="009B056E" w14:paraId="4C78CEF3" w14:textId="0B18E83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-2</w:t>
            </w:r>
          </w:p>
        </w:tc>
        <w:tc>
          <w:tcPr>
            <w:tcW w:w="1134" w:type="dxa"/>
            <w:shd w:val="clear" w:color="auto" w:fill="FFFFFF" w:themeFill="background1"/>
            <w:vAlign w:val="center"/>
          </w:tcPr>
          <w:p w:rsidRPr="00197A06" w:rsidR="009B056E" w:rsidP="5FA50F9D" w:rsidRDefault="009B056E" w14:paraId="51A830D2" w14:textId="5592693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w:t>
            </w:r>
            <w:r w:rsidR="00963BFC">
              <w:t>3</w:t>
            </w:r>
          </w:p>
        </w:tc>
        <w:tc>
          <w:tcPr>
            <w:tcW w:w="1134" w:type="dxa"/>
            <w:shd w:val="clear" w:color="auto" w:fill="FFFFFF" w:themeFill="background1"/>
            <w:vAlign w:val="center"/>
          </w:tcPr>
          <w:p w:rsidRPr="00197A06" w:rsidR="009B056E" w:rsidP="5FA50F9D" w:rsidRDefault="009B056E" w14:paraId="3C65BB63" w14:textId="6CDB42E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w:t>
            </w:r>
            <w:r w:rsidR="00963BFC">
              <w:t>4</w:t>
            </w:r>
          </w:p>
        </w:tc>
        <w:tc>
          <w:tcPr>
            <w:tcW w:w="1134" w:type="dxa"/>
            <w:shd w:val="clear" w:color="auto" w:fill="FFFFFF" w:themeFill="background1"/>
            <w:vAlign w:val="center"/>
          </w:tcPr>
          <w:p w:rsidRPr="00197A06" w:rsidR="009B056E" w:rsidP="5FA50F9D" w:rsidRDefault="009B056E" w14:paraId="25D2894D" w14:textId="32A1EB7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-1</w:t>
            </w:r>
            <w:r w:rsidR="00963BFC">
              <w:t>5</w:t>
            </w:r>
          </w:p>
        </w:tc>
        <w:tc>
          <w:tcPr>
            <w:tcW w:w="1134" w:type="dxa"/>
            <w:shd w:val="clear" w:color="auto" w:fill="FFFFFF" w:themeFill="background1"/>
            <w:vAlign w:val="center"/>
          </w:tcPr>
          <w:p w:rsidRPr="00197A06" w:rsidR="009B056E" w:rsidP="5FA50F9D" w:rsidRDefault="009B056E" w14:paraId="18EA1BA1" w14:textId="08D3D8F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t>-1</w:t>
            </w:r>
            <w:r w:rsidR="00963BFC">
              <w:t>0</w:t>
            </w:r>
          </w:p>
        </w:tc>
      </w:tr>
      <w:tr w:rsidR="009B056E" w:rsidTr="5FA50F9D" w14:paraId="66832E90"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197A06" w:rsidR="009B056E" w:rsidP="009B056E" w:rsidRDefault="009B056E" w14:paraId="78975B6D" w14:textId="0468F1EB">
            <w:pPr>
              <w:rPr>
                <w:rFonts w:eastAsia="Times New Roman" w:cs="Calibri"/>
                <w:color w:val="000000"/>
                <w:szCs w:val="18"/>
              </w:rPr>
            </w:pPr>
            <w:r w:rsidRPr="00197A06">
              <w:rPr>
                <w:rFonts w:eastAsia="Times New Roman" w:cs="Calibri"/>
                <w:color w:val="000000"/>
                <w:szCs w:val="18"/>
              </w:rPr>
              <w:t xml:space="preserve">Saldo </w:t>
            </w:r>
            <w:r w:rsidR="00E14830">
              <w:rPr>
                <w:rFonts w:eastAsia="Times New Roman" w:cs="Calibri"/>
                <w:color w:val="000000"/>
                <w:szCs w:val="18"/>
              </w:rPr>
              <w:t>CO2-heffing</w:t>
            </w:r>
            <w:r w:rsidR="00031556">
              <w:rPr>
                <w:rFonts w:eastAsia="Times New Roman" w:cs="Calibri"/>
                <w:color w:val="000000"/>
                <w:szCs w:val="18"/>
              </w:rPr>
              <w:t xml:space="preserve"> GTB</w:t>
            </w:r>
          </w:p>
        </w:tc>
        <w:tc>
          <w:tcPr>
            <w:tcW w:w="1026" w:type="dxa"/>
            <w:shd w:val="clear" w:color="auto" w:fill="FFFFFF" w:themeFill="background1"/>
          </w:tcPr>
          <w:p w:rsidRPr="00197A06" w:rsidR="009B056E" w:rsidP="5FA50F9D" w:rsidRDefault="009B056E" w14:paraId="619B63F9" w14:textId="4BBF283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t>-</w:t>
            </w:r>
            <w:r w:rsidR="00963BFC">
              <w:t>6</w:t>
            </w:r>
            <w:r>
              <w:t xml:space="preserve"> </w:t>
            </w:r>
          </w:p>
        </w:tc>
        <w:tc>
          <w:tcPr>
            <w:tcW w:w="1134" w:type="dxa"/>
            <w:shd w:val="clear" w:color="auto" w:fill="FFFFFF" w:themeFill="background1"/>
          </w:tcPr>
          <w:p w:rsidRPr="00197A06" w:rsidR="009B056E" w:rsidP="5FA50F9D" w:rsidRDefault="009B056E" w14:paraId="21573F92" w14:textId="7A3067F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t xml:space="preserve"> 1</w:t>
            </w:r>
            <w:r w:rsidR="00963BFC">
              <w:t>4</w:t>
            </w:r>
            <w:r>
              <w:t xml:space="preserve"> </w:t>
            </w:r>
          </w:p>
        </w:tc>
        <w:tc>
          <w:tcPr>
            <w:tcW w:w="1134" w:type="dxa"/>
            <w:shd w:val="clear" w:color="auto" w:fill="FFFFFF" w:themeFill="background1"/>
          </w:tcPr>
          <w:p w:rsidRPr="00197A06" w:rsidR="009B056E" w:rsidP="5FA50F9D" w:rsidRDefault="009B056E" w14:paraId="2B2E7E09" w14:textId="51F559D1">
            <w:pPr>
              <w:jc w:val="center"/>
              <w:cnfStyle w:val="000000100000" w:firstRow="0" w:lastRow="0" w:firstColumn="0" w:lastColumn="0" w:oddVBand="0" w:evenVBand="0" w:oddHBand="1" w:evenHBand="0" w:firstRowFirstColumn="0" w:firstRowLastColumn="0" w:lastRowFirstColumn="0" w:lastRowLastColumn="0"/>
            </w:pPr>
            <w:r>
              <w:t xml:space="preserve"> 3</w:t>
            </w:r>
            <w:r w:rsidR="00963BFC">
              <w:t>1</w:t>
            </w:r>
            <w:r>
              <w:t xml:space="preserve"> </w:t>
            </w:r>
          </w:p>
        </w:tc>
        <w:tc>
          <w:tcPr>
            <w:tcW w:w="1134" w:type="dxa"/>
            <w:shd w:val="clear" w:color="auto" w:fill="FFFFFF" w:themeFill="background1"/>
          </w:tcPr>
          <w:p w:rsidRPr="00197A06" w:rsidR="009B056E" w:rsidP="5FA50F9D" w:rsidRDefault="00963BFC" w14:paraId="31A5E960" w14:textId="6EE1D0D1">
            <w:pPr>
              <w:jc w:val="center"/>
              <w:cnfStyle w:val="000000100000" w:firstRow="0" w:lastRow="0" w:firstColumn="0" w:lastColumn="0" w:oddVBand="0" w:evenVBand="0" w:oddHBand="1" w:evenHBand="0" w:firstRowFirstColumn="0" w:firstRowLastColumn="0" w:lastRowFirstColumn="0" w:lastRowLastColumn="0"/>
            </w:pPr>
            <w:r>
              <w:t>47</w:t>
            </w:r>
            <w:r w:rsidR="009B056E">
              <w:t xml:space="preserve"> </w:t>
            </w:r>
          </w:p>
        </w:tc>
        <w:tc>
          <w:tcPr>
            <w:tcW w:w="1134" w:type="dxa"/>
            <w:shd w:val="clear" w:color="auto" w:fill="FFFFFF" w:themeFill="background1"/>
          </w:tcPr>
          <w:p w:rsidRPr="00197A06" w:rsidR="009B056E" w:rsidP="5FA50F9D" w:rsidRDefault="009B056E" w14:paraId="44F6D401" w14:textId="3F7DDB61">
            <w:pPr>
              <w:jc w:val="center"/>
              <w:cnfStyle w:val="000000100000" w:firstRow="0" w:lastRow="0" w:firstColumn="0" w:lastColumn="0" w:oddVBand="0" w:evenVBand="0" w:oddHBand="1" w:evenHBand="0" w:firstRowFirstColumn="0" w:firstRowLastColumn="0" w:lastRowFirstColumn="0" w:lastRowLastColumn="0"/>
            </w:pPr>
            <w:r>
              <w:t xml:space="preserve"> </w:t>
            </w:r>
            <w:r w:rsidR="00963BFC">
              <w:t>43</w:t>
            </w:r>
            <w:r>
              <w:t xml:space="preserve"> </w:t>
            </w:r>
          </w:p>
        </w:tc>
        <w:tc>
          <w:tcPr>
            <w:tcW w:w="1134" w:type="dxa"/>
            <w:shd w:val="clear" w:color="auto" w:fill="FFFFFF" w:themeFill="background1"/>
          </w:tcPr>
          <w:p w:rsidRPr="00197A06" w:rsidR="009B056E" w:rsidP="5FA50F9D" w:rsidRDefault="00963BFC" w14:paraId="4C2FF2D2" w14:textId="6F4FDCDD">
            <w:pPr>
              <w:jc w:val="center"/>
              <w:cnfStyle w:val="000000100000" w:firstRow="0" w:lastRow="0" w:firstColumn="0" w:lastColumn="0" w:oddVBand="0" w:evenVBand="0" w:oddHBand="1" w:evenHBand="0" w:firstRowFirstColumn="0" w:firstRowLastColumn="0" w:lastRowFirstColumn="0" w:lastRowLastColumn="0"/>
            </w:pPr>
            <w:r>
              <w:t>65</w:t>
            </w:r>
            <w:r w:rsidR="009B056E">
              <w:t xml:space="preserve"> </w:t>
            </w:r>
          </w:p>
        </w:tc>
      </w:tr>
      <w:tr w:rsidR="00E14830" w:rsidTr="5FA50F9D" w14:paraId="3104E788"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197A06" w:rsidR="00E14830" w:rsidP="009B056E" w:rsidRDefault="00E14830" w14:paraId="7D12A663" w14:textId="77777777">
            <w:pPr>
              <w:rPr>
                <w:rFonts w:eastAsia="Times New Roman" w:cs="Calibri"/>
                <w:color w:val="000000"/>
                <w:szCs w:val="18"/>
              </w:rPr>
            </w:pPr>
          </w:p>
        </w:tc>
        <w:tc>
          <w:tcPr>
            <w:tcW w:w="1026" w:type="dxa"/>
            <w:shd w:val="clear" w:color="auto" w:fill="FFFFFF" w:themeFill="background1"/>
          </w:tcPr>
          <w:p w:rsidRPr="008826E3" w:rsidR="00E14830" w:rsidP="5FA50F9D" w:rsidRDefault="00E14830" w14:paraId="4F863028"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69F242AC"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0DF4C004"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FFFFFF" w:themeFill="background1"/>
          </w:tcPr>
          <w:p w:rsidR="00E14830" w:rsidP="5FA50F9D" w:rsidRDefault="00E14830" w14:paraId="017712C7"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50180E0B" w14:textId="77777777">
            <w:pPr>
              <w:jc w:val="center"/>
              <w:cnfStyle w:val="000000000000" w:firstRow="0" w:lastRow="0" w:firstColumn="0" w:lastColumn="0" w:oddVBand="0" w:evenVBand="0" w:oddHBand="0" w:evenHBand="0" w:firstRowFirstColumn="0" w:firstRowLastColumn="0" w:lastRowFirstColumn="0" w:lastRowLastColumn="0"/>
            </w:pPr>
          </w:p>
        </w:tc>
        <w:tc>
          <w:tcPr>
            <w:tcW w:w="1134" w:type="dxa"/>
            <w:shd w:val="clear" w:color="auto" w:fill="FFFFFF" w:themeFill="background1"/>
          </w:tcPr>
          <w:p w:rsidR="00E14830" w:rsidP="5FA50F9D" w:rsidRDefault="00E14830" w14:paraId="45DFAD37" w14:textId="77777777">
            <w:pPr>
              <w:jc w:val="center"/>
              <w:cnfStyle w:val="000000000000" w:firstRow="0" w:lastRow="0" w:firstColumn="0" w:lastColumn="0" w:oddVBand="0" w:evenVBand="0" w:oddHBand="0" w:evenHBand="0" w:firstRowFirstColumn="0" w:firstRowLastColumn="0" w:lastRowFirstColumn="0" w:lastRowLastColumn="0"/>
            </w:pPr>
          </w:p>
        </w:tc>
      </w:tr>
      <w:tr w:rsidR="00E14830" w:rsidTr="5FA50F9D" w14:paraId="653CE215"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031556" w:rsidR="00E14830" w:rsidP="009B056E" w:rsidRDefault="008B48B0" w14:paraId="475A1990" w14:textId="66ED32A4">
            <w:pPr>
              <w:rPr>
                <w:rFonts w:eastAsia="Times New Roman" w:cs="Calibri"/>
                <w:color w:val="000000"/>
                <w:szCs w:val="18"/>
              </w:rPr>
            </w:pPr>
            <w:r w:rsidRPr="00031556">
              <w:rPr>
                <w:rFonts w:eastAsia="Times New Roman" w:cs="Calibri"/>
                <w:color w:val="000000"/>
                <w:szCs w:val="18"/>
              </w:rPr>
              <w:t>Teruggaafregeling ETS2</w:t>
            </w:r>
          </w:p>
        </w:tc>
        <w:tc>
          <w:tcPr>
            <w:tcW w:w="1026" w:type="dxa"/>
            <w:shd w:val="clear" w:color="auto" w:fill="FFFFFF" w:themeFill="background1"/>
          </w:tcPr>
          <w:p w:rsidRPr="008826E3" w:rsidR="00E14830" w:rsidP="5FA50F9D" w:rsidRDefault="00E14830" w14:paraId="66939043"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46124A35"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46B5B45C"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00E14830" w:rsidP="5FA50F9D" w:rsidRDefault="00E14830" w14:paraId="43D516D9"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E14830" w:rsidP="5FA50F9D" w:rsidRDefault="00E14830" w14:paraId="60DA4C1C"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00E14830" w:rsidP="5FA50F9D" w:rsidRDefault="00E14830" w14:paraId="31A6C0BD" w14:textId="77777777">
            <w:pPr>
              <w:jc w:val="center"/>
              <w:cnfStyle w:val="000000100000" w:firstRow="0" w:lastRow="0" w:firstColumn="0" w:lastColumn="0" w:oddVBand="0" w:evenVBand="0" w:oddHBand="1" w:evenHBand="0" w:firstRowFirstColumn="0" w:firstRowLastColumn="0" w:lastRowFirstColumn="0" w:lastRowLastColumn="0"/>
            </w:pPr>
          </w:p>
        </w:tc>
      </w:tr>
      <w:tr w:rsidR="008B48B0" w:rsidTr="5FA50F9D" w14:paraId="16F02D48"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031556" w:rsidR="008B48B0" w:rsidP="008B48B0" w:rsidRDefault="008B48B0" w14:paraId="0648BED8" w14:textId="54346C40">
            <w:pPr>
              <w:rPr>
                <w:rFonts w:eastAsia="Times New Roman" w:cs="Calibri"/>
                <w:b w:val="0"/>
                <w:bCs w:val="0"/>
                <w:color w:val="000000"/>
                <w:szCs w:val="18"/>
              </w:rPr>
            </w:pPr>
            <w:r w:rsidRPr="00031556">
              <w:rPr>
                <w:rFonts w:eastAsia="Times New Roman" w:cs="Calibri"/>
                <w:b w:val="0"/>
                <w:bCs w:val="0"/>
                <w:color w:val="000000"/>
                <w:szCs w:val="18"/>
              </w:rPr>
              <w:t>Verkoop teruggegeven rechten</w:t>
            </w:r>
          </w:p>
        </w:tc>
        <w:tc>
          <w:tcPr>
            <w:tcW w:w="1026" w:type="dxa"/>
            <w:shd w:val="clear" w:color="auto" w:fill="FFFFFF" w:themeFill="background1"/>
            <w:vAlign w:val="center"/>
          </w:tcPr>
          <w:p w:rsidRPr="008B48B0" w:rsidR="008B48B0" w:rsidP="5FA50F9D" w:rsidRDefault="008B48B0" w14:paraId="2FCE1566" w14:textId="7A29ADC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B48B0" w:rsidR="008B48B0" w:rsidP="5FA50F9D" w:rsidRDefault="008B48B0" w14:paraId="1017B4FC" w14:textId="2BFBFBD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B48B0" w:rsidR="008B48B0" w:rsidP="5FA50F9D" w:rsidRDefault="008B48B0" w14:paraId="7886F399" w14:textId="7CFA2805">
            <w:pPr>
              <w:jc w:val="center"/>
              <w:cnfStyle w:val="000000000000" w:firstRow="0" w:lastRow="0" w:firstColumn="0" w:lastColumn="0" w:oddVBand="0" w:evenVBand="0" w:oddHBand="0" w:evenHBand="0" w:firstRowFirstColumn="0" w:firstRowLastColumn="0" w:lastRowFirstColumn="0" w:lastRowLastColumn="0"/>
            </w:pPr>
            <w:r>
              <w:t>0</w:t>
            </w:r>
          </w:p>
        </w:tc>
        <w:tc>
          <w:tcPr>
            <w:tcW w:w="1134" w:type="dxa"/>
            <w:shd w:val="clear" w:color="auto" w:fill="FFFFFF" w:themeFill="background1"/>
            <w:vAlign w:val="center"/>
          </w:tcPr>
          <w:p w:rsidRPr="008B48B0" w:rsidR="008B48B0" w:rsidP="5FA50F9D" w:rsidRDefault="008B48B0" w14:paraId="6C3C1C6E" w14:textId="23DE46BF">
            <w:pPr>
              <w:jc w:val="center"/>
              <w:cnfStyle w:val="000000000000" w:firstRow="0" w:lastRow="0" w:firstColumn="0" w:lastColumn="0" w:oddVBand="0" w:evenVBand="0" w:oddHBand="0" w:evenHBand="0" w:firstRowFirstColumn="0" w:firstRowLastColumn="0" w:lastRowFirstColumn="0" w:lastRowLastColumn="0"/>
            </w:pPr>
            <w:r>
              <w:t>0</w:t>
            </w:r>
          </w:p>
        </w:tc>
        <w:tc>
          <w:tcPr>
            <w:tcW w:w="1134" w:type="dxa"/>
            <w:shd w:val="clear" w:color="auto" w:fill="FFFFFF" w:themeFill="background1"/>
            <w:vAlign w:val="center"/>
          </w:tcPr>
          <w:p w:rsidRPr="008B48B0" w:rsidR="008B48B0" w:rsidP="5FA50F9D" w:rsidRDefault="008B48B0" w14:paraId="591B9EDF" w14:textId="214CDBD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PM</w:t>
            </w:r>
          </w:p>
        </w:tc>
        <w:tc>
          <w:tcPr>
            <w:tcW w:w="1134" w:type="dxa"/>
            <w:shd w:val="clear" w:color="auto" w:fill="FFFFFF" w:themeFill="background1"/>
            <w:vAlign w:val="center"/>
          </w:tcPr>
          <w:p w:rsidRPr="008B48B0" w:rsidR="008B48B0" w:rsidP="5FA50F9D" w:rsidRDefault="008B48B0" w14:paraId="13AAB50B" w14:textId="1C9A816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PM</w:t>
            </w:r>
          </w:p>
        </w:tc>
      </w:tr>
      <w:tr w:rsidR="008B48B0" w:rsidTr="5FA50F9D" w14:paraId="2F87D1C7"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031556" w:rsidR="008B48B0" w:rsidP="008B48B0" w:rsidRDefault="008B48B0" w14:paraId="1705E52C" w14:textId="6E630C08">
            <w:pPr>
              <w:rPr>
                <w:rFonts w:eastAsia="Times New Roman" w:cs="Calibri"/>
                <w:b w:val="0"/>
                <w:bCs w:val="0"/>
                <w:color w:val="000000"/>
                <w:szCs w:val="18"/>
              </w:rPr>
            </w:pPr>
            <w:r w:rsidRPr="00031556">
              <w:rPr>
                <w:rFonts w:eastAsia="Times New Roman" w:cs="Calibri"/>
                <w:b w:val="0"/>
                <w:bCs w:val="0"/>
                <w:color w:val="000000"/>
                <w:szCs w:val="18"/>
              </w:rPr>
              <w:t xml:space="preserve">Teruggaaf ETS2 lasten </w:t>
            </w:r>
          </w:p>
        </w:tc>
        <w:tc>
          <w:tcPr>
            <w:tcW w:w="1026" w:type="dxa"/>
            <w:shd w:val="clear" w:color="auto" w:fill="FFFFFF" w:themeFill="background1"/>
            <w:vAlign w:val="center"/>
          </w:tcPr>
          <w:p w:rsidRPr="008826E3" w:rsidR="008B48B0" w:rsidP="5FA50F9D" w:rsidRDefault="008B48B0" w14:paraId="58357D6F" w14:textId="68D170E9">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826E3" w:rsidR="008B48B0" w:rsidP="5FA50F9D" w:rsidRDefault="008B48B0" w14:paraId="1719EADC" w14:textId="45E58AF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826E3" w:rsidR="008B48B0" w:rsidP="5FA50F9D" w:rsidRDefault="008B48B0" w14:paraId="5853C41A" w14:textId="1210E3ED">
            <w:pPr>
              <w:jc w:val="center"/>
              <w:cnfStyle w:val="000000100000" w:firstRow="0" w:lastRow="0" w:firstColumn="0" w:lastColumn="0" w:oddVBand="0" w:evenVBand="0" w:oddHBand="1" w:evenHBand="0" w:firstRowFirstColumn="0" w:firstRowLastColumn="0" w:lastRowFirstColumn="0" w:lastRowLastColumn="0"/>
            </w:pPr>
            <w:r>
              <w:t>-124</w:t>
            </w:r>
          </w:p>
        </w:tc>
        <w:tc>
          <w:tcPr>
            <w:tcW w:w="1134" w:type="dxa"/>
            <w:shd w:val="clear" w:color="auto" w:fill="FFFFFF" w:themeFill="background1"/>
            <w:vAlign w:val="center"/>
          </w:tcPr>
          <w:p w:rsidR="008B48B0" w:rsidP="5FA50F9D" w:rsidRDefault="008B48B0" w14:paraId="2096EC8B" w14:textId="2D04A56F">
            <w:pPr>
              <w:jc w:val="center"/>
              <w:cnfStyle w:val="000000100000" w:firstRow="0" w:lastRow="0" w:firstColumn="0" w:lastColumn="0" w:oddVBand="0" w:evenVBand="0" w:oddHBand="1" w:evenHBand="0" w:firstRowFirstColumn="0" w:firstRowLastColumn="0" w:lastRowFirstColumn="0" w:lastRowLastColumn="0"/>
            </w:pPr>
            <w:r>
              <w:t>-197</w:t>
            </w:r>
          </w:p>
        </w:tc>
        <w:tc>
          <w:tcPr>
            <w:tcW w:w="1134" w:type="dxa"/>
            <w:shd w:val="clear" w:color="auto" w:fill="FFFFFF" w:themeFill="background1"/>
            <w:vAlign w:val="center"/>
          </w:tcPr>
          <w:p w:rsidRPr="008B48B0" w:rsidR="008B48B0" w:rsidP="5FA50F9D" w:rsidRDefault="008B48B0" w14:paraId="58FD54D4" w14:textId="264B5EDB">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-191</w:t>
            </w:r>
          </w:p>
        </w:tc>
        <w:tc>
          <w:tcPr>
            <w:tcW w:w="1134" w:type="dxa"/>
            <w:shd w:val="clear" w:color="auto" w:fill="FFFFFF" w:themeFill="background1"/>
            <w:vAlign w:val="center"/>
          </w:tcPr>
          <w:p w:rsidRPr="008B48B0" w:rsidR="008B48B0" w:rsidP="5FA50F9D" w:rsidRDefault="008B48B0" w14:paraId="09AC3C09" w14:textId="3482AEA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-186</w:t>
            </w:r>
          </w:p>
        </w:tc>
      </w:tr>
      <w:tr w:rsidR="008B48B0" w:rsidTr="5FA50F9D" w14:paraId="64B4D6BE"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197A06" w:rsidR="008B48B0" w:rsidP="008B48B0" w:rsidRDefault="008B48B0" w14:paraId="117C7CFE" w14:textId="40A40B3F">
            <w:pPr>
              <w:rPr>
                <w:rFonts w:eastAsia="Times New Roman" w:cs="Calibri"/>
                <w:color w:val="000000"/>
                <w:szCs w:val="18"/>
              </w:rPr>
            </w:pPr>
            <w:r>
              <w:rPr>
                <w:rFonts w:eastAsia="Times New Roman" w:cs="Calibri"/>
                <w:color w:val="000000"/>
                <w:szCs w:val="18"/>
              </w:rPr>
              <w:t xml:space="preserve">Saldo </w:t>
            </w:r>
            <w:proofErr w:type="spellStart"/>
            <w:r>
              <w:rPr>
                <w:rFonts w:eastAsia="Times New Roman" w:cs="Calibri"/>
                <w:color w:val="000000"/>
                <w:szCs w:val="18"/>
              </w:rPr>
              <w:t>Teruggaaf-regeling</w:t>
            </w:r>
            <w:proofErr w:type="spellEnd"/>
            <w:r>
              <w:rPr>
                <w:rFonts w:eastAsia="Times New Roman" w:cs="Calibri"/>
                <w:color w:val="000000"/>
                <w:szCs w:val="18"/>
              </w:rPr>
              <w:t xml:space="preserve"> ETS2</w:t>
            </w:r>
          </w:p>
        </w:tc>
        <w:tc>
          <w:tcPr>
            <w:tcW w:w="1026" w:type="dxa"/>
            <w:shd w:val="clear" w:color="auto" w:fill="FFFFFF" w:themeFill="background1"/>
            <w:vAlign w:val="center"/>
          </w:tcPr>
          <w:p w:rsidRPr="008826E3" w:rsidR="008B48B0" w:rsidP="5FA50F9D" w:rsidRDefault="008B48B0" w14:paraId="6FD3C79E" w14:textId="7E9D56B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826E3" w:rsidR="008B48B0" w:rsidP="5FA50F9D" w:rsidRDefault="008B48B0" w14:paraId="2A9DF3F5" w14:textId="7513A48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0</w:t>
            </w:r>
          </w:p>
        </w:tc>
        <w:tc>
          <w:tcPr>
            <w:tcW w:w="1134" w:type="dxa"/>
            <w:shd w:val="clear" w:color="auto" w:fill="FFFFFF" w:themeFill="background1"/>
            <w:vAlign w:val="center"/>
          </w:tcPr>
          <w:p w:rsidRPr="008826E3" w:rsidR="008B48B0" w:rsidP="5FA50F9D" w:rsidRDefault="008B48B0" w14:paraId="08A4C5B7" w14:textId="0D9AF1C3">
            <w:pPr>
              <w:jc w:val="center"/>
              <w:cnfStyle w:val="000000000000" w:firstRow="0" w:lastRow="0" w:firstColumn="0" w:lastColumn="0" w:oddVBand="0" w:evenVBand="0" w:oddHBand="0" w:evenHBand="0" w:firstRowFirstColumn="0" w:firstRowLastColumn="0" w:lastRowFirstColumn="0" w:lastRowLastColumn="0"/>
            </w:pPr>
            <w:r>
              <w:t>-124</w:t>
            </w:r>
          </w:p>
        </w:tc>
        <w:tc>
          <w:tcPr>
            <w:tcW w:w="1134" w:type="dxa"/>
            <w:shd w:val="clear" w:color="auto" w:fill="FFFFFF" w:themeFill="background1"/>
            <w:vAlign w:val="center"/>
          </w:tcPr>
          <w:p w:rsidR="008B48B0" w:rsidP="5FA50F9D" w:rsidRDefault="008B48B0" w14:paraId="3441AA70" w14:textId="0C3973ED">
            <w:pPr>
              <w:jc w:val="center"/>
              <w:cnfStyle w:val="000000000000" w:firstRow="0" w:lastRow="0" w:firstColumn="0" w:lastColumn="0" w:oddVBand="0" w:evenVBand="0" w:oddHBand="0" w:evenHBand="0" w:firstRowFirstColumn="0" w:firstRowLastColumn="0" w:lastRowFirstColumn="0" w:lastRowLastColumn="0"/>
            </w:pPr>
            <w:r>
              <w:t>-197</w:t>
            </w:r>
          </w:p>
        </w:tc>
        <w:tc>
          <w:tcPr>
            <w:tcW w:w="1134" w:type="dxa"/>
            <w:shd w:val="clear" w:color="auto" w:fill="FFFFFF" w:themeFill="background1"/>
            <w:vAlign w:val="center"/>
          </w:tcPr>
          <w:p w:rsidRPr="008B48B0" w:rsidR="008B48B0" w:rsidP="5FA50F9D" w:rsidRDefault="008B48B0" w14:paraId="563463ED" w14:textId="695D5ABA">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-191</w:t>
            </w:r>
          </w:p>
        </w:tc>
        <w:tc>
          <w:tcPr>
            <w:tcW w:w="1134" w:type="dxa"/>
            <w:shd w:val="clear" w:color="auto" w:fill="FFFFFF" w:themeFill="background1"/>
            <w:vAlign w:val="center"/>
          </w:tcPr>
          <w:p w:rsidRPr="008B48B0" w:rsidR="008B48B0" w:rsidP="5FA50F9D" w:rsidRDefault="008B48B0" w14:paraId="32EA61C0" w14:textId="3D6E7B4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rPr>
            </w:pPr>
            <w:r w:rsidRPr="5FA50F9D">
              <w:rPr>
                <w:rFonts w:eastAsia="Times New Roman" w:cs="Calibri"/>
                <w:color w:val="000000" w:themeColor="text1"/>
              </w:rPr>
              <w:t>-186</w:t>
            </w:r>
          </w:p>
        </w:tc>
      </w:tr>
      <w:tr w:rsidR="008B48B0" w:rsidTr="5FA50F9D" w14:paraId="745FB2AD"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197A06" w:rsidR="008B48B0" w:rsidP="008B48B0" w:rsidRDefault="008B48B0" w14:paraId="07138A69" w14:textId="77777777">
            <w:pPr>
              <w:rPr>
                <w:rFonts w:eastAsia="Times New Roman" w:cs="Calibri"/>
                <w:color w:val="000000"/>
                <w:szCs w:val="18"/>
              </w:rPr>
            </w:pPr>
          </w:p>
        </w:tc>
        <w:tc>
          <w:tcPr>
            <w:tcW w:w="1026" w:type="dxa"/>
            <w:shd w:val="clear" w:color="auto" w:fill="FFFFFF" w:themeFill="background1"/>
          </w:tcPr>
          <w:p w:rsidRPr="008826E3" w:rsidR="008B48B0" w:rsidP="5FA50F9D" w:rsidRDefault="008B48B0" w14:paraId="13B18316"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8B48B0" w:rsidP="5FA50F9D" w:rsidRDefault="008B48B0" w14:paraId="1BFEAB86"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8B48B0" w:rsidP="5FA50F9D" w:rsidRDefault="008B48B0" w14:paraId="140706EE"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008B48B0" w:rsidP="5FA50F9D" w:rsidRDefault="008B48B0" w14:paraId="6CA1845E"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Pr="008826E3" w:rsidR="008B48B0" w:rsidP="5FA50F9D" w:rsidRDefault="008B48B0" w14:paraId="0B5FF4ED" w14:textId="77777777">
            <w:pPr>
              <w:jc w:val="center"/>
              <w:cnfStyle w:val="000000100000" w:firstRow="0" w:lastRow="0" w:firstColumn="0" w:lastColumn="0" w:oddVBand="0" w:evenVBand="0" w:oddHBand="1" w:evenHBand="0" w:firstRowFirstColumn="0" w:firstRowLastColumn="0" w:lastRowFirstColumn="0" w:lastRowLastColumn="0"/>
            </w:pPr>
          </w:p>
        </w:tc>
        <w:tc>
          <w:tcPr>
            <w:tcW w:w="1134" w:type="dxa"/>
            <w:shd w:val="clear" w:color="auto" w:fill="FFFFFF" w:themeFill="background1"/>
          </w:tcPr>
          <w:p w:rsidR="008B48B0" w:rsidP="5FA50F9D" w:rsidRDefault="008B48B0" w14:paraId="7B43D56D" w14:textId="77777777">
            <w:pPr>
              <w:jc w:val="center"/>
              <w:cnfStyle w:val="000000100000" w:firstRow="0" w:lastRow="0" w:firstColumn="0" w:lastColumn="0" w:oddVBand="0" w:evenVBand="0" w:oddHBand="1" w:evenHBand="0" w:firstRowFirstColumn="0" w:firstRowLastColumn="0" w:lastRowFirstColumn="0" w:lastRowLastColumn="0"/>
            </w:pPr>
          </w:p>
        </w:tc>
      </w:tr>
      <w:tr w:rsidR="008B48B0" w:rsidTr="5FA50F9D" w14:paraId="48820200" w14:textId="77777777">
        <w:trPr>
          <w:trHeight w:val="202"/>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vAlign w:val="center"/>
          </w:tcPr>
          <w:p w:rsidRPr="00197A06" w:rsidR="008B48B0" w:rsidP="008B48B0" w:rsidRDefault="008B48B0" w14:paraId="6E66335C" w14:textId="2E7FE899">
            <w:pPr>
              <w:rPr>
                <w:rFonts w:eastAsia="Times New Roman" w:cs="Calibri"/>
                <w:color w:val="000000"/>
                <w:szCs w:val="18"/>
              </w:rPr>
            </w:pPr>
            <w:r>
              <w:rPr>
                <w:rFonts w:eastAsia="Times New Roman" w:cs="Calibri"/>
                <w:color w:val="000000"/>
                <w:szCs w:val="18"/>
              </w:rPr>
              <w:t>Totaal saldo</w:t>
            </w:r>
          </w:p>
        </w:tc>
        <w:tc>
          <w:tcPr>
            <w:tcW w:w="1026" w:type="dxa"/>
            <w:shd w:val="clear" w:color="auto" w:fill="FFFFFF" w:themeFill="background1"/>
          </w:tcPr>
          <w:p w:rsidRPr="008826E3" w:rsidR="008B48B0" w:rsidP="5FA50F9D" w:rsidRDefault="008B48B0" w14:paraId="61CD3CD7" w14:textId="4F921173">
            <w:pPr>
              <w:jc w:val="center"/>
              <w:cnfStyle w:val="000000000000" w:firstRow="0" w:lastRow="0" w:firstColumn="0" w:lastColumn="0" w:oddVBand="0" w:evenVBand="0" w:oddHBand="0" w:evenHBand="0" w:firstRowFirstColumn="0" w:firstRowLastColumn="0" w:lastRowFirstColumn="0" w:lastRowLastColumn="0"/>
            </w:pPr>
            <w:r>
              <w:t>-6</w:t>
            </w:r>
          </w:p>
        </w:tc>
        <w:tc>
          <w:tcPr>
            <w:tcW w:w="1134" w:type="dxa"/>
            <w:shd w:val="clear" w:color="auto" w:fill="FFFFFF" w:themeFill="background1"/>
          </w:tcPr>
          <w:p w:rsidRPr="008826E3" w:rsidR="008B48B0" w:rsidP="5FA50F9D" w:rsidRDefault="008B48B0" w14:paraId="19A3FE04" w14:textId="6B21BC6E">
            <w:pPr>
              <w:jc w:val="center"/>
              <w:cnfStyle w:val="000000000000" w:firstRow="0" w:lastRow="0" w:firstColumn="0" w:lastColumn="0" w:oddVBand="0" w:evenVBand="0" w:oddHBand="0" w:evenHBand="0" w:firstRowFirstColumn="0" w:firstRowLastColumn="0" w:lastRowFirstColumn="0" w:lastRowLastColumn="0"/>
            </w:pPr>
            <w:r>
              <w:t>14</w:t>
            </w:r>
          </w:p>
        </w:tc>
        <w:tc>
          <w:tcPr>
            <w:tcW w:w="1134" w:type="dxa"/>
            <w:shd w:val="clear" w:color="auto" w:fill="FFFFFF" w:themeFill="background1"/>
          </w:tcPr>
          <w:p w:rsidRPr="008826E3" w:rsidR="008B48B0" w:rsidP="5FA50F9D" w:rsidRDefault="008B48B0" w14:paraId="4354A73C" w14:textId="01B943F9">
            <w:pPr>
              <w:jc w:val="center"/>
              <w:cnfStyle w:val="000000000000" w:firstRow="0" w:lastRow="0" w:firstColumn="0" w:lastColumn="0" w:oddVBand="0" w:evenVBand="0" w:oddHBand="0" w:evenHBand="0" w:firstRowFirstColumn="0" w:firstRowLastColumn="0" w:lastRowFirstColumn="0" w:lastRowLastColumn="0"/>
            </w:pPr>
            <w:r>
              <w:t>-93</w:t>
            </w:r>
          </w:p>
        </w:tc>
        <w:tc>
          <w:tcPr>
            <w:tcW w:w="1134" w:type="dxa"/>
            <w:shd w:val="clear" w:color="auto" w:fill="FFFFFF" w:themeFill="background1"/>
          </w:tcPr>
          <w:p w:rsidR="008B48B0" w:rsidP="5FA50F9D" w:rsidRDefault="008B48B0" w14:paraId="21A08316" w14:textId="65F55E40">
            <w:pPr>
              <w:jc w:val="center"/>
              <w:cnfStyle w:val="000000000000" w:firstRow="0" w:lastRow="0" w:firstColumn="0" w:lastColumn="0" w:oddVBand="0" w:evenVBand="0" w:oddHBand="0" w:evenHBand="0" w:firstRowFirstColumn="0" w:firstRowLastColumn="0" w:lastRowFirstColumn="0" w:lastRowLastColumn="0"/>
            </w:pPr>
            <w:r>
              <w:t>-150</w:t>
            </w:r>
          </w:p>
        </w:tc>
        <w:tc>
          <w:tcPr>
            <w:tcW w:w="1134" w:type="dxa"/>
            <w:shd w:val="clear" w:color="auto" w:fill="FFFFFF" w:themeFill="background1"/>
          </w:tcPr>
          <w:p w:rsidRPr="008826E3" w:rsidR="008B48B0" w:rsidP="5FA50F9D" w:rsidRDefault="008B48B0" w14:paraId="25D1B81D" w14:textId="527CD166">
            <w:pPr>
              <w:jc w:val="center"/>
              <w:cnfStyle w:val="000000000000" w:firstRow="0" w:lastRow="0" w:firstColumn="0" w:lastColumn="0" w:oddVBand="0" w:evenVBand="0" w:oddHBand="0" w:evenHBand="0" w:firstRowFirstColumn="0" w:firstRowLastColumn="0" w:lastRowFirstColumn="0" w:lastRowLastColumn="0"/>
            </w:pPr>
            <w:r>
              <w:t>-148</w:t>
            </w:r>
          </w:p>
        </w:tc>
        <w:tc>
          <w:tcPr>
            <w:tcW w:w="1134" w:type="dxa"/>
            <w:shd w:val="clear" w:color="auto" w:fill="FFFFFF" w:themeFill="background1"/>
          </w:tcPr>
          <w:p w:rsidR="008B48B0" w:rsidP="5FA50F9D" w:rsidRDefault="008B48B0" w14:paraId="7990F132" w14:textId="197A1823">
            <w:pPr>
              <w:jc w:val="center"/>
              <w:cnfStyle w:val="000000000000" w:firstRow="0" w:lastRow="0" w:firstColumn="0" w:lastColumn="0" w:oddVBand="0" w:evenVBand="0" w:oddHBand="0" w:evenHBand="0" w:firstRowFirstColumn="0" w:firstRowLastColumn="0" w:lastRowFirstColumn="0" w:lastRowLastColumn="0"/>
            </w:pPr>
            <w:r>
              <w:t>-121</w:t>
            </w:r>
          </w:p>
        </w:tc>
      </w:tr>
    </w:tbl>
    <w:p w:rsidR="00DE6A8B" w:rsidRDefault="00DE6A8B" w14:paraId="0918B34B" w14:textId="77777777">
      <w:pPr>
        <w:pStyle w:val="Geenafstand"/>
        <w:spacing w:line="276" w:lineRule="auto"/>
        <w:rPr>
          <w:szCs w:val="18"/>
          <w:u w:val="single"/>
        </w:rPr>
      </w:pPr>
    </w:p>
    <w:p w:rsidR="004953CC" w:rsidRDefault="004953CC" w14:paraId="18444C15" w14:textId="77777777">
      <w:pPr>
        <w:pStyle w:val="Geenafstand"/>
        <w:spacing w:line="276" w:lineRule="auto"/>
        <w:rPr>
          <w:b/>
          <w:bCs/>
          <w:szCs w:val="18"/>
        </w:rPr>
      </w:pPr>
    </w:p>
    <w:p w:rsidR="00122C19" w:rsidRDefault="006B6306" w14:paraId="274FE64C" w14:textId="5687F2A2">
      <w:pPr>
        <w:pStyle w:val="Geenafstand"/>
        <w:spacing w:line="276" w:lineRule="auto"/>
        <w:rPr>
          <w:b/>
          <w:bCs/>
          <w:i/>
          <w:iCs/>
        </w:rPr>
      </w:pPr>
      <w:r>
        <w:rPr>
          <w:b/>
          <w:bCs/>
          <w:szCs w:val="18"/>
        </w:rPr>
        <w:t>Variant</w:t>
      </w:r>
      <w:r w:rsidR="002F51FD">
        <w:rPr>
          <w:b/>
          <w:bCs/>
          <w:szCs w:val="18"/>
        </w:rPr>
        <w:t xml:space="preserve"> 2: </w:t>
      </w:r>
      <w:proofErr w:type="spellStart"/>
      <w:r w:rsidR="002F51FD">
        <w:rPr>
          <w:b/>
          <w:bCs/>
          <w:szCs w:val="18"/>
        </w:rPr>
        <w:t>Opt</w:t>
      </w:r>
      <w:proofErr w:type="spellEnd"/>
      <w:r w:rsidR="002F51FD">
        <w:rPr>
          <w:b/>
          <w:bCs/>
          <w:szCs w:val="18"/>
        </w:rPr>
        <w:t xml:space="preserve">-in ETS2, kostencompensatieregeling en geen bijmengverplichting </w:t>
      </w:r>
    </w:p>
    <w:p w:rsidR="00122C19" w:rsidRDefault="002F51FD" w14:paraId="3F42B0C6" w14:textId="766CE413">
      <w:pPr>
        <w:pStyle w:val="Geenafstand"/>
        <w:numPr>
          <w:ilvl w:val="0"/>
          <w:numId w:val="9"/>
        </w:numPr>
        <w:spacing w:line="276" w:lineRule="auto"/>
      </w:pPr>
      <w:r>
        <w:rPr>
          <w:szCs w:val="18"/>
        </w:rPr>
        <w:t xml:space="preserve">Dit voorjaar wordt besloten om de emissies van de glastuinbouw volledig onder te brengen in ETS2. </w:t>
      </w:r>
      <w:r w:rsidR="00A34C8F">
        <w:rPr>
          <w:szCs w:val="18"/>
        </w:rPr>
        <w:t>D</w:t>
      </w:r>
      <w:r>
        <w:rPr>
          <w:szCs w:val="18"/>
        </w:rPr>
        <w:t xml:space="preserve">e </w:t>
      </w:r>
      <w:proofErr w:type="spellStart"/>
      <w:r>
        <w:rPr>
          <w:szCs w:val="18"/>
        </w:rPr>
        <w:t>opt</w:t>
      </w:r>
      <w:proofErr w:type="spellEnd"/>
      <w:r>
        <w:rPr>
          <w:szCs w:val="18"/>
        </w:rPr>
        <w:t>-in leidt tot extra veilinginkomsten</w:t>
      </w:r>
      <w:r w:rsidR="00CC2A3F">
        <w:rPr>
          <w:szCs w:val="18"/>
        </w:rPr>
        <w:t xml:space="preserve"> voor de Nederlandse staat</w:t>
      </w:r>
      <w:r>
        <w:rPr>
          <w:szCs w:val="18"/>
        </w:rPr>
        <w:t xml:space="preserve"> (in tegenstelling tot de teruggaafregeling</w:t>
      </w:r>
      <w:r w:rsidR="002A75F6">
        <w:rPr>
          <w:szCs w:val="18"/>
        </w:rPr>
        <w:t xml:space="preserve"> waarbij </w:t>
      </w:r>
      <w:r w:rsidR="00655C71">
        <w:rPr>
          <w:szCs w:val="18"/>
        </w:rPr>
        <w:t xml:space="preserve">er alleen sprake is van </w:t>
      </w:r>
      <w:r w:rsidR="00086166">
        <w:rPr>
          <w:szCs w:val="18"/>
        </w:rPr>
        <w:t xml:space="preserve">4,4% van Europese </w:t>
      </w:r>
      <w:r w:rsidR="00655C71">
        <w:rPr>
          <w:szCs w:val="18"/>
        </w:rPr>
        <w:t>veilinginkomsten</w:t>
      </w:r>
      <w:r>
        <w:rPr>
          <w:szCs w:val="18"/>
        </w:rPr>
        <w:t>).</w:t>
      </w:r>
    </w:p>
    <w:p w:rsidR="00122C19" w:rsidRDefault="002F51FD" w14:paraId="7C847A7C" w14:textId="14FC28F7">
      <w:pPr>
        <w:pStyle w:val="Geenafstand"/>
        <w:numPr>
          <w:ilvl w:val="0"/>
          <w:numId w:val="9"/>
        </w:numPr>
        <w:spacing w:line="276" w:lineRule="auto"/>
      </w:pPr>
      <w:r>
        <w:rPr>
          <w:szCs w:val="18"/>
        </w:rPr>
        <w:t>De CO2-heffing glastuinbouw wordt per 2027 afgeschaft</w:t>
      </w:r>
      <w:r w:rsidR="00974A00">
        <w:rPr>
          <w:szCs w:val="18"/>
        </w:rPr>
        <w:t xml:space="preserve"> wanneer ETS2 volledig in werking treedt</w:t>
      </w:r>
      <w:r>
        <w:rPr>
          <w:szCs w:val="18"/>
        </w:rPr>
        <w:t>.</w:t>
      </w:r>
      <w:r w:rsidR="009F2B0F">
        <w:rPr>
          <w:szCs w:val="18"/>
        </w:rPr>
        <w:t xml:space="preserve"> </w:t>
      </w:r>
      <w:r w:rsidR="007C6047">
        <w:rPr>
          <w:szCs w:val="18"/>
        </w:rPr>
        <w:t>Het sectordoel wordt voortaan geborgd op basis van ETS2 en een kostencompensatieregeling.</w:t>
      </w:r>
    </w:p>
    <w:p w:rsidR="00122C19" w:rsidRDefault="002F51FD" w14:paraId="015BF018" w14:textId="13E601C3">
      <w:pPr>
        <w:pStyle w:val="Geenafstand"/>
        <w:numPr>
          <w:ilvl w:val="0"/>
          <w:numId w:val="9"/>
        </w:numPr>
        <w:spacing w:line="276" w:lineRule="auto"/>
      </w:pPr>
      <w:r>
        <w:rPr>
          <w:szCs w:val="18"/>
        </w:rPr>
        <w:t>Door invoering van ETS2 is er sprake van een “</w:t>
      </w:r>
      <w:proofErr w:type="spellStart"/>
      <w:r>
        <w:rPr>
          <w:szCs w:val="18"/>
        </w:rPr>
        <w:t>overshoot</w:t>
      </w:r>
      <w:proofErr w:type="spellEnd"/>
      <w:r>
        <w:rPr>
          <w:szCs w:val="18"/>
        </w:rPr>
        <w:t xml:space="preserve">” ten opzichte van de tariefstudie. Het verschil tussen de ETS2-prijs en het tarief </w:t>
      </w:r>
      <w:r w:rsidR="00655C71">
        <w:rPr>
          <w:szCs w:val="18"/>
        </w:rPr>
        <w:t xml:space="preserve">van de CO2-heffing </w:t>
      </w:r>
      <w:r>
        <w:rPr>
          <w:szCs w:val="18"/>
        </w:rPr>
        <w:t>staat in de onderstaande tabel aangegeven.</w:t>
      </w:r>
    </w:p>
    <w:p w:rsidRPr="00CE5CBF" w:rsidR="00CE5CBF" w:rsidP="00CE5CBF" w:rsidRDefault="00CE5CBF" w14:paraId="70703316" w14:textId="77777777">
      <w:pPr>
        <w:pStyle w:val="Geenafstand"/>
      </w:pPr>
      <w:bookmarkStart w:name="_Hlk192240755" w:id="0"/>
    </w:p>
    <w:tbl>
      <w:tblPr>
        <w:tblStyle w:val="Rastertabel4-Accent5"/>
        <w:tblW w:w="9385" w:type="dxa"/>
        <w:tblLook w:val="04A0" w:firstRow="1" w:lastRow="0" w:firstColumn="1" w:lastColumn="0" w:noHBand="0" w:noVBand="1"/>
      </w:tblPr>
      <w:tblGrid>
        <w:gridCol w:w="3031"/>
        <w:gridCol w:w="1059"/>
        <w:gridCol w:w="1059"/>
        <w:gridCol w:w="1059"/>
        <w:gridCol w:w="1059"/>
        <w:gridCol w:w="1059"/>
        <w:gridCol w:w="1059"/>
      </w:tblGrid>
      <w:tr w:rsidRPr="00CE5CBF" w:rsidR="00CE5CBF" w:rsidTr="00CE5CBF" w14:paraId="06407454"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385" w:type="dxa"/>
            <w:gridSpan w:val="7"/>
            <w:shd w:val="clear" w:color="auto" w:fill="002060"/>
            <w:vAlign w:val="center"/>
            <w:hideMark/>
          </w:tcPr>
          <w:p w:rsidRPr="00CE5CBF" w:rsidR="00CE5CBF" w:rsidP="00CE5CBF" w:rsidRDefault="00CE5CBF" w14:paraId="1B64D4B2" w14:textId="77777777">
            <w:pPr>
              <w:pStyle w:val="Geenafstand"/>
              <w:spacing w:line="276" w:lineRule="auto"/>
            </w:pPr>
            <w:r w:rsidRPr="00CE5CBF">
              <w:t xml:space="preserve">Verwacht </w:t>
            </w:r>
            <w:proofErr w:type="spellStart"/>
            <w:r w:rsidRPr="00CE5CBF">
              <w:t>prijspad</w:t>
            </w:r>
            <w:proofErr w:type="spellEnd"/>
            <w:r w:rsidRPr="00CE5CBF">
              <w:t xml:space="preserve"> ETS2-rechten en </w:t>
            </w:r>
            <w:proofErr w:type="spellStart"/>
            <w:r w:rsidRPr="00CE5CBF">
              <w:t>overshoot</w:t>
            </w:r>
            <w:proofErr w:type="spellEnd"/>
            <w:r w:rsidRPr="00CE5CBF">
              <w:t xml:space="preserve"> t.o.v. de CO2-heffing in euro/ton CO2</w:t>
            </w:r>
          </w:p>
        </w:tc>
      </w:tr>
      <w:tr w:rsidRPr="00CE5CBF" w:rsidR="00CE5CBF" w:rsidTr="004628BA" w14:paraId="3454464E"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tcPr>
          <w:p w:rsidRPr="00CE5CBF" w:rsidR="00CE5CBF" w:rsidP="00CE5CBF" w:rsidRDefault="00CE5CBF" w14:paraId="71BB6ED0" w14:textId="77777777">
            <w:pPr>
              <w:pStyle w:val="Geenafstand"/>
              <w:spacing w:line="276" w:lineRule="auto"/>
            </w:pP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3E97198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45BAFC2D"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2026</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316923A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2989F804"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2028</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2CFC8154"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2029</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6DFA3F1E"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b/>
                <w:bCs/>
                <w:lang w:val="en-US"/>
              </w:rPr>
            </w:pPr>
            <w:r w:rsidRPr="00CE5CBF">
              <w:rPr>
                <w:b/>
                <w:bCs/>
                <w:lang w:val="en-US"/>
              </w:rPr>
              <w:t>2030</w:t>
            </w:r>
          </w:p>
        </w:tc>
      </w:tr>
      <w:tr w:rsidRPr="00CE5CBF" w:rsidR="00CE5CBF" w:rsidTr="004628BA" w14:paraId="6A91C9AB"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2019E119" w14:textId="77777777">
            <w:pPr>
              <w:pStyle w:val="Geenafstand"/>
              <w:spacing w:line="276" w:lineRule="auto"/>
              <w:rPr>
                <w:lang w:val="en-US"/>
              </w:rPr>
            </w:pPr>
            <w:r w:rsidRPr="00CE5CBF">
              <w:rPr>
                <w:lang w:val="en-US"/>
              </w:rPr>
              <w:t xml:space="preserve">ETS2 </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1BDD4FDB"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144D3AE2"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71D8BE06"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30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22FEE8CA"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2835438F"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55</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vAlign w:val="center"/>
            <w:hideMark/>
          </w:tcPr>
          <w:p w:rsidRPr="00CE5CBF" w:rsidR="00CE5CBF" w:rsidP="00CE5CBF" w:rsidRDefault="00CE5CBF" w14:paraId="1E6D84F1"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CE5CBF">
              <w:rPr>
                <w:lang w:val="en-US"/>
              </w:rPr>
              <w:t>55</w:t>
            </w:r>
          </w:p>
        </w:tc>
      </w:tr>
      <w:tr w:rsidRPr="00CE5CBF" w:rsidR="00CE5CBF" w:rsidTr="004628BA" w14:paraId="7FEB5790"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75F2A732" w14:textId="77777777">
            <w:pPr>
              <w:pStyle w:val="Geenafstand"/>
              <w:spacing w:line="276" w:lineRule="auto"/>
              <w:rPr>
                <w:lang w:val="en-US"/>
              </w:rPr>
            </w:pPr>
            <w:r w:rsidRPr="00CE5CBF">
              <w:rPr>
                <w:lang w:val="en-US"/>
              </w:rPr>
              <w:t xml:space="preserve">CO2-heffing </w:t>
            </w:r>
            <w:proofErr w:type="spellStart"/>
            <w:r w:rsidRPr="00CE5CBF">
              <w:rPr>
                <w:lang w:val="en-US"/>
              </w:rPr>
              <w:t>na</w:t>
            </w:r>
            <w:proofErr w:type="spellEnd"/>
            <w:r w:rsidRPr="00CE5CBF">
              <w:rPr>
                <w:lang w:val="en-US"/>
              </w:rPr>
              <w:t xml:space="preserve"> </w:t>
            </w:r>
            <w:proofErr w:type="spellStart"/>
            <w:r w:rsidRPr="00CE5CBF">
              <w:rPr>
                <w:lang w:val="en-US"/>
              </w:rPr>
              <w:t>ophoging</w:t>
            </w:r>
            <w:proofErr w:type="spellEnd"/>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79050F96"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9,50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5233F962"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16,1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2EF3033D"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22,7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3BCFFE72"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29,3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3561399A"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35,9</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6DEB88C8" w14:textId="77777777">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CE5CBF">
              <w:rPr>
                <w:lang w:val="en-US"/>
              </w:rPr>
              <w:t>42,5</w:t>
            </w:r>
          </w:p>
        </w:tc>
      </w:tr>
      <w:tr w:rsidRPr="00CE5CBF" w:rsidR="00CE5CBF" w:rsidTr="004628BA" w14:paraId="374FB34A"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E455B7" w:rsidR="00CE5CBF" w:rsidP="00CE5CBF" w:rsidRDefault="00CE5CBF" w14:paraId="028B39B6" w14:textId="79DE468A">
            <w:pPr>
              <w:pStyle w:val="Geenafstand"/>
              <w:spacing w:line="276" w:lineRule="auto"/>
            </w:pPr>
            <w:proofErr w:type="spellStart"/>
            <w:r w:rsidRPr="00E455B7">
              <w:t>Overshoot</w:t>
            </w:r>
            <w:proofErr w:type="spellEnd"/>
            <w:r w:rsidRPr="00E455B7">
              <w:t xml:space="preserve"> </w:t>
            </w:r>
            <w:r w:rsidR="00873556">
              <w:t>door ETS2</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4628BA" w14:paraId="32319B1D" w14:textId="799A545C">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Pr>
                <w:color w:val="70AD47" w:themeColor="accent6"/>
                <w:lang w:val="en-US"/>
              </w:rPr>
              <w:t>(</w:t>
            </w:r>
            <w:r w:rsidRPr="00CE5CBF" w:rsidR="00CE5CBF">
              <w:rPr>
                <w:color w:val="70AD47" w:themeColor="accent6"/>
                <w:lang w:val="en-US"/>
              </w:rPr>
              <w:t>-9,50</w:t>
            </w:r>
            <w:r>
              <w:rPr>
                <w:color w:val="70AD47" w:themeColor="accent6"/>
                <w:lang w:val="en-US"/>
              </w:rPr>
              <w:t>)</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4628BA" w14:paraId="34187085" w14:textId="03F9E40C">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Pr>
                <w:color w:val="70AD47" w:themeColor="accent6"/>
                <w:lang w:val="en-US"/>
              </w:rPr>
              <w:t>(</w:t>
            </w:r>
            <w:r w:rsidRPr="00CE5CBF" w:rsidR="00CE5CBF">
              <w:rPr>
                <w:color w:val="70AD47" w:themeColor="accent6"/>
                <w:lang w:val="en-US"/>
              </w:rPr>
              <w:t>-16,1</w:t>
            </w:r>
            <w:r>
              <w:rPr>
                <w:color w:val="70AD47" w:themeColor="accent6"/>
                <w:lang w:val="en-US"/>
              </w:rPr>
              <w:t>)</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28A165A6"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lang w:val="en-US"/>
              </w:rPr>
            </w:pPr>
            <w:r w:rsidRPr="00CE5CBF">
              <w:rPr>
                <w:color w:val="FF0000"/>
                <w:lang w:val="en-US"/>
              </w:rPr>
              <w:t>7,3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52C56825"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lang w:val="en-US"/>
              </w:rPr>
            </w:pPr>
            <w:r w:rsidRPr="00CE5CBF">
              <w:rPr>
                <w:color w:val="FF0000"/>
                <w:lang w:val="en-US"/>
              </w:rPr>
              <w:t>20,7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7A394148"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lang w:val="en-US"/>
              </w:rPr>
            </w:pPr>
            <w:r w:rsidRPr="00CE5CBF">
              <w:rPr>
                <w:color w:val="FF0000"/>
                <w:lang w:val="en-US"/>
              </w:rPr>
              <w:t>19,1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hideMark/>
          </w:tcPr>
          <w:p w:rsidRPr="00CE5CBF" w:rsidR="00CE5CBF" w:rsidP="00CE5CBF" w:rsidRDefault="00CE5CBF" w14:paraId="018A724D" w14:textId="7777777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FF0000"/>
                <w:lang w:val="en-US"/>
              </w:rPr>
            </w:pPr>
            <w:r w:rsidRPr="00CE5CBF">
              <w:rPr>
                <w:color w:val="FF0000"/>
                <w:lang w:val="en-US"/>
              </w:rPr>
              <w:t>12,5</w:t>
            </w:r>
          </w:p>
        </w:tc>
      </w:tr>
      <w:tr w:rsidRPr="00CE5CBF" w:rsidR="004628BA" w:rsidTr="004628BA" w14:paraId="012A7A42"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E455B7" w:rsidR="004628BA" w:rsidP="00CE5CBF" w:rsidRDefault="004628BA" w14:paraId="1A93D0E8" w14:textId="69FAB7D7">
            <w:pPr>
              <w:pStyle w:val="Geenafstand"/>
              <w:spacing w:line="276" w:lineRule="auto"/>
            </w:pPr>
            <w:r>
              <w:t>Kostencompensatieregeling</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33C21F23" w14:textId="24AE447A">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393146CD" w14:textId="4C85C4ED">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3275EC15" w14:textId="5198A453">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7,3</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70EEB1A6" w14:textId="0FCF88EB">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20,7</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10222D36" w14:textId="38EF2D40">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19,1</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CE5CBF" w:rsidRDefault="004628BA" w14:paraId="0A2D267F" w14:textId="490CDAAD">
            <w:pPr>
              <w:pStyle w:val="Geenafstand"/>
              <w:spacing w:line="276" w:lineRule="auto"/>
              <w:jc w:val="center"/>
              <w:cnfStyle w:val="000000100000" w:firstRow="0" w:lastRow="0" w:firstColumn="0" w:lastColumn="0" w:oddVBand="0" w:evenVBand="0" w:oddHBand="1" w:evenHBand="0" w:firstRowFirstColumn="0" w:firstRowLastColumn="0" w:lastRowFirstColumn="0" w:lastRowLastColumn="0"/>
              <w:rPr>
                <w:lang w:val="en-US"/>
              </w:rPr>
            </w:pPr>
            <w:r w:rsidRPr="004628BA">
              <w:rPr>
                <w:lang w:val="en-US"/>
              </w:rPr>
              <w:t>12,5</w:t>
            </w:r>
          </w:p>
        </w:tc>
      </w:tr>
      <w:tr w:rsidRPr="00CE5CBF" w:rsidR="004628BA" w:rsidTr="004628BA" w14:paraId="01718BBA" w14:textId="77777777">
        <w:trPr>
          <w:trHeight w:val="202"/>
        </w:trPr>
        <w:tc>
          <w:tcPr>
            <w:cnfStyle w:val="001000000000" w:firstRow="0" w:lastRow="0" w:firstColumn="1" w:lastColumn="0" w:oddVBand="0" w:evenVBand="0" w:oddHBand="0" w:evenHBand="0" w:firstRowFirstColumn="0" w:firstRowLastColumn="0" w:lastRowFirstColumn="0" w:lastRowLastColumn="0"/>
            <w:tcW w:w="3031"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E455B7" w:rsidR="004628BA" w:rsidP="004628BA" w:rsidRDefault="004628BA" w14:paraId="2B36D74C" w14:textId="4664FC3A">
            <w:pPr>
              <w:pStyle w:val="Geenafstand"/>
              <w:spacing w:line="276" w:lineRule="auto"/>
            </w:pPr>
            <w:proofErr w:type="spellStart"/>
            <w:r>
              <w:t>Overshoot</w:t>
            </w:r>
            <w:proofErr w:type="spellEnd"/>
            <w:r>
              <w:t xml:space="preserve"> na compensatie</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CE5CBF" w:rsidR="004628BA" w:rsidP="004628BA" w:rsidRDefault="004628BA" w14:paraId="71EE50CE" w14:textId="0C536573">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Pr>
                <w:color w:val="70AD47" w:themeColor="accent6"/>
                <w:lang w:val="en-US"/>
              </w:rPr>
              <w:t>(</w:t>
            </w:r>
            <w:r w:rsidRPr="00CE5CBF">
              <w:rPr>
                <w:color w:val="70AD47" w:themeColor="accent6"/>
                <w:lang w:val="en-US"/>
              </w:rPr>
              <w:t>-9,50</w:t>
            </w:r>
            <w:r>
              <w:rPr>
                <w:color w:val="70AD47" w:themeColor="accent6"/>
                <w:lang w:val="en-US"/>
              </w:rPr>
              <w:t>)</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CE5CBF" w:rsidR="004628BA" w:rsidP="004628BA" w:rsidRDefault="004628BA" w14:paraId="5E9ED2A4" w14:textId="7667A1AC">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color w:val="70AD47" w:themeColor="accent6"/>
                <w:lang w:val="en-US"/>
              </w:rPr>
            </w:pPr>
            <w:r>
              <w:rPr>
                <w:color w:val="70AD47" w:themeColor="accent6"/>
                <w:lang w:val="en-US"/>
              </w:rPr>
              <w:t>(</w:t>
            </w:r>
            <w:r w:rsidRPr="00CE5CBF">
              <w:rPr>
                <w:color w:val="70AD47" w:themeColor="accent6"/>
                <w:lang w:val="en-US"/>
              </w:rPr>
              <w:t>-16,1</w:t>
            </w:r>
            <w:r>
              <w:rPr>
                <w:color w:val="70AD47" w:themeColor="accent6"/>
                <w:lang w:val="en-US"/>
              </w:rPr>
              <w:t>)</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4628BA" w:rsidRDefault="004628BA" w14:paraId="0E03B553" w14:textId="2B2D1E2E">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4628BA">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4628BA" w:rsidRDefault="004628BA" w14:paraId="3F4FD92A" w14:textId="7CEB8DC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4628BA">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4628BA" w:rsidRDefault="004628BA" w14:paraId="754AF9F2" w14:textId="73AAAE35">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4628BA">
              <w:rPr>
                <w:lang w:val="en-US"/>
              </w:rPr>
              <w:t>0</w:t>
            </w:r>
          </w:p>
        </w:tc>
        <w:tc>
          <w:tcPr>
            <w:tcW w:w="1059" w:type="dxa"/>
            <w:tc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tcBorders>
            <w:shd w:val="clear" w:color="auto" w:fill="FFFFFF"/>
            <w:vAlign w:val="center"/>
          </w:tcPr>
          <w:p w:rsidRPr="004628BA" w:rsidR="004628BA" w:rsidP="004628BA" w:rsidRDefault="004628BA" w14:paraId="5863A303" w14:textId="75EA19F7">
            <w:pPr>
              <w:pStyle w:val="Geenafstand"/>
              <w:spacing w:line="276" w:lineRule="auto"/>
              <w:jc w:val="center"/>
              <w:cnfStyle w:val="000000000000" w:firstRow="0" w:lastRow="0" w:firstColumn="0" w:lastColumn="0" w:oddVBand="0" w:evenVBand="0" w:oddHBand="0" w:evenHBand="0" w:firstRowFirstColumn="0" w:firstRowLastColumn="0" w:lastRowFirstColumn="0" w:lastRowLastColumn="0"/>
              <w:rPr>
                <w:lang w:val="en-US"/>
              </w:rPr>
            </w:pPr>
            <w:r w:rsidRPr="004628BA">
              <w:rPr>
                <w:lang w:val="en-US"/>
              </w:rPr>
              <w:t>0</w:t>
            </w:r>
          </w:p>
        </w:tc>
      </w:tr>
    </w:tbl>
    <w:p w:rsidRPr="00CE5CBF" w:rsidR="00CE5CBF" w:rsidP="00CE5CBF" w:rsidRDefault="00CE5CBF" w14:paraId="079DE405" w14:textId="77777777">
      <w:pPr>
        <w:pStyle w:val="Geenafstand"/>
      </w:pPr>
    </w:p>
    <w:bookmarkEnd w:id="0"/>
    <w:p w:rsidRPr="007C6047" w:rsidR="007C6047" w:rsidRDefault="002F51FD" w14:paraId="7AE7DAB7" w14:textId="77777777">
      <w:pPr>
        <w:pStyle w:val="Geenafstand"/>
        <w:numPr>
          <w:ilvl w:val="0"/>
          <w:numId w:val="9"/>
        </w:numPr>
        <w:spacing w:line="276" w:lineRule="auto"/>
      </w:pPr>
      <w:r>
        <w:rPr>
          <w:szCs w:val="18"/>
        </w:rPr>
        <w:t>Glastuinbouw Nederland heeft aangegeven deze “</w:t>
      </w:r>
      <w:proofErr w:type="spellStart"/>
      <w:r>
        <w:rPr>
          <w:szCs w:val="18"/>
        </w:rPr>
        <w:t>overshoot</w:t>
      </w:r>
      <w:proofErr w:type="spellEnd"/>
      <w:r>
        <w:rPr>
          <w:szCs w:val="18"/>
        </w:rPr>
        <w:t xml:space="preserve">” op bedrijfsniveau te willen compenseren. </w:t>
      </w:r>
    </w:p>
    <w:p w:rsidR="00122C19" w:rsidRDefault="002F51FD" w14:paraId="63ED3E65" w14:textId="2DF714DB">
      <w:pPr>
        <w:pStyle w:val="Geenafstand"/>
        <w:numPr>
          <w:ilvl w:val="0"/>
          <w:numId w:val="9"/>
        </w:numPr>
        <w:spacing w:line="276" w:lineRule="auto"/>
      </w:pPr>
      <w:r>
        <w:rPr>
          <w:szCs w:val="18"/>
        </w:rPr>
        <w:t xml:space="preserve">Compensatie op bedrijfsniveau vindt </w:t>
      </w:r>
      <w:r w:rsidR="00031556">
        <w:rPr>
          <w:szCs w:val="18"/>
        </w:rPr>
        <w:t xml:space="preserve">vanaf 2027 </w:t>
      </w:r>
      <w:r>
        <w:rPr>
          <w:szCs w:val="18"/>
        </w:rPr>
        <w:t xml:space="preserve">plaats via een </w:t>
      </w:r>
      <w:r w:rsidR="00F61111">
        <w:rPr>
          <w:szCs w:val="18"/>
        </w:rPr>
        <w:t xml:space="preserve">nader uit te werken </w:t>
      </w:r>
      <w:r>
        <w:rPr>
          <w:szCs w:val="18"/>
        </w:rPr>
        <w:t>nationale kostencompensatieregeling:</w:t>
      </w:r>
    </w:p>
    <w:p w:rsidR="00122C19" w:rsidRDefault="002F51FD" w14:paraId="1F7F81A2" w14:textId="3634C90F">
      <w:pPr>
        <w:pStyle w:val="Geenafstand"/>
        <w:numPr>
          <w:ilvl w:val="1"/>
          <w:numId w:val="9"/>
        </w:numPr>
        <w:spacing w:line="276" w:lineRule="auto"/>
      </w:pPr>
      <w:r>
        <w:rPr>
          <w:szCs w:val="18"/>
        </w:rPr>
        <w:lastRenderedPageBreak/>
        <w:t xml:space="preserve">Glastuinbouwbedrijven kunnen op basis van de kostencompensatieregeling ieder jaar precies worden gecompenseerd voor het verschil tussen de ETS2 prijs en de benodigde CO2-prijs voor doelbereik. </w:t>
      </w:r>
    </w:p>
    <w:p w:rsidR="00122C19" w:rsidRDefault="002F51FD" w14:paraId="799CEEA0" w14:textId="77777777">
      <w:pPr>
        <w:pStyle w:val="Geenafstand"/>
        <w:numPr>
          <w:ilvl w:val="1"/>
          <w:numId w:val="9"/>
        </w:numPr>
        <w:spacing w:line="276" w:lineRule="auto"/>
      </w:pPr>
      <w:r>
        <w:rPr>
          <w:szCs w:val="18"/>
        </w:rPr>
        <w:t>De hoogte van de compensatie wordt iedere twee jaar herijkt op basis van een nieuwe studie naar de benodigde CO2-prijs voor doelbereik en de hoogte van de ETS2 prijs.</w:t>
      </w:r>
    </w:p>
    <w:p w:rsidR="00F61111" w:rsidP="00CE5CBF" w:rsidRDefault="002F51FD" w14:paraId="47A2EBA2" w14:textId="1C789F5D">
      <w:pPr>
        <w:pStyle w:val="Geenafstand"/>
        <w:numPr>
          <w:ilvl w:val="1"/>
          <w:numId w:val="9"/>
        </w:numPr>
        <w:spacing w:line="276" w:lineRule="auto"/>
      </w:pPr>
      <w:r>
        <w:rPr>
          <w:szCs w:val="18"/>
        </w:rPr>
        <w:t xml:space="preserve">De kostencompensatieregeling geldt enkel voor de glastuinbouwbedrijven </w:t>
      </w:r>
      <w:r w:rsidR="00974A00">
        <w:rPr>
          <w:szCs w:val="18"/>
        </w:rPr>
        <w:t xml:space="preserve">(c.q. aardgas dat niet al verplicht onder ETS2 valt). </w:t>
      </w:r>
      <w:r w:rsidR="00A34C8F">
        <w:rPr>
          <w:szCs w:val="18"/>
        </w:rPr>
        <w:t>D</w:t>
      </w:r>
      <w:r>
        <w:rPr>
          <w:szCs w:val="18"/>
        </w:rPr>
        <w:t>e energiebedrijven voor de glastuinbouw komen dus niet in aanmerking</w:t>
      </w:r>
      <w:r w:rsidR="00974A00">
        <w:rPr>
          <w:szCs w:val="18"/>
        </w:rPr>
        <w:t>, en ook aardgas gebruikt voor overige activiteiten van de tuinbouw</w:t>
      </w:r>
      <w:r>
        <w:rPr>
          <w:szCs w:val="18"/>
        </w:rPr>
        <w:t>.</w:t>
      </w:r>
    </w:p>
    <w:p w:rsidR="00A34C8F" w:rsidRDefault="00A34C8F" w14:paraId="333CEE8B" w14:textId="3F13FE48">
      <w:pPr>
        <w:pStyle w:val="Geenafstand"/>
        <w:numPr>
          <w:ilvl w:val="0"/>
          <w:numId w:val="9"/>
        </w:numPr>
        <w:spacing w:line="276" w:lineRule="auto"/>
      </w:pPr>
      <w:r>
        <w:t>Met Glastuinbouw Nederland wordt verken</w:t>
      </w:r>
      <w:r w:rsidR="00086166">
        <w:t>d</w:t>
      </w:r>
      <w:r>
        <w:t xml:space="preserve"> welk proces nodig is </w:t>
      </w:r>
      <w:r w:rsidR="00992B82">
        <w:t>om voldoende zekerheid te verkrijgen over de realisatie van de kostencompensatieregeling. Deze realisatie is nu onzeker omdat verkennende gesprekken met de Europese Commissie nog moeten worden gestart.</w:t>
      </w:r>
      <w:r w:rsidR="00CE5CBF">
        <w:t xml:space="preserve"> </w:t>
      </w:r>
      <w:r w:rsidR="00DA70D4">
        <w:t>Verdere uitwerking van de kostencompensatieregeling en duidelijkheid van de Europese Commissie kost naar verwachting nog ongeveer 1,5 jaar.</w:t>
      </w:r>
    </w:p>
    <w:p w:rsidRPr="00A34C8F" w:rsidR="00992B82" w:rsidRDefault="00992B82" w14:paraId="6203251F" w14:textId="1DECCA8A">
      <w:pPr>
        <w:pStyle w:val="Geenafstand"/>
        <w:numPr>
          <w:ilvl w:val="0"/>
          <w:numId w:val="9"/>
        </w:numPr>
        <w:spacing w:line="276" w:lineRule="auto"/>
      </w:pPr>
      <w:r>
        <w:t xml:space="preserve">Overwogen </w:t>
      </w:r>
      <w:r w:rsidR="00CE5CBF">
        <w:t xml:space="preserve">kan worden om </w:t>
      </w:r>
      <w:r w:rsidR="00E119F1">
        <w:t>de definitieve inwerkingtreding van de kostencompensatieregeling uit te stellen door het afschaffen van de CO2-heffing glastuinbouw in 2025 en 2026. Hiermee worden mijlpalen van het Herstel en Veerkrachtplan (financieel risico 600  mln.) niet gehaald.</w:t>
      </w:r>
    </w:p>
    <w:p w:rsidR="00122C19" w:rsidRDefault="002F51FD" w14:paraId="742EF3EC" w14:textId="434FEE2F">
      <w:pPr>
        <w:pStyle w:val="Geenafstand"/>
        <w:numPr>
          <w:ilvl w:val="0"/>
          <w:numId w:val="9"/>
        </w:numPr>
        <w:spacing w:line="276" w:lineRule="auto"/>
      </w:pPr>
      <w:r>
        <w:rPr>
          <w:szCs w:val="18"/>
        </w:rPr>
        <w:t xml:space="preserve">De bijmengverplichting groen gas </w:t>
      </w:r>
      <w:r w:rsidR="00A35A23">
        <w:rPr>
          <w:szCs w:val="18"/>
        </w:rPr>
        <w:t>geldt niet voor de glastuinbouw doordat het wetsvoorstel in het geheel wordt teruggetrokken of alleen van toepassing is op kleinverbruikers.</w:t>
      </w:r>
    </w:p>
    <w:p w:rsidR="00122C19" w:rsidP="00396156" w:rsidRDefault="009915B0" w14:paraId="485095E0" w14:textId="4158ECC7">
      <w:pPr>
        <w:pStyle w:val="Geenafstand"/>
        <w:numPr>
          <w:ilvl w:val="0"/>
          <w:numId w:val="9"/>
        </w:numPr>
        <w:spacing w:line="276" w:lineRule="auto"/>
      </w:pPr>
      <w:r>
        <w:rPr>
          <w:szCs w:val="18"/>
        </w:rPr>
        <w:t xml:space="preserve">In augustus vindt definitieve besluitvorming plaats aangaande het exacte pad van kostencompensatie, bestemming van de budgettaire opbrengst en mogelijke inzet van aanvullend beleid (waarvoor instemming van de minister van Financiën benodigd is). </w:t>
      </w:r>
      <w:r w:rsidRPr="00396156" w:rsidR="00396156">
        <w:rPr>
          <w:szCs w:val="18"/>
        </w:rPr>
        <w:t xml:space="preserve">Ook zal hierbij rekening moeten worden gehouden met verschillende lasteneffecten voor glastuinbouwbedrijven (recht op </w:t>
      </w:r>
      <w:r w:rsidR="00396156">
        <w:rPr>
          <w:szCs w:val="18"/>
        </w:rPr>
        <w:t>kostencompensatieregeling</w:t>
      </w:r>
      <w:r w:rsidRPr="00396156" w:rsidR="00396156">
        <w:rPr>
          <w:szCs w:val="18"/>
        </w:rPr>
        <w:t>) en energiebedrijven voor de glastuinbouw (verplicht deelnemer aan ETS2).</w:t>
      </w:r>
      <w:r w:rsidR="00396156">
        <w:rPr>
          <w:szCs w:val="18"/>
        </w:rPr>
        <w:t xml:space="preserve"> Dit mede op basis van de volledige tariefstudie van Berenschot en </w:t>
      </w:r>
      <w:proofErr w:type="spellStart"/>
      <w:r w:rsidR="00396156">
        <w:rPr>
          <w:szCs w:val="18"/>
        </w:rPr>
        <w:t>Kalavasta</w:t>
      </w:r>
      <w:proofErr w:type="spellEnd"/>
      <w:r w:rsidR="00396156">
        <w:rPr>
          <w:szCs w:val="18"/>
        </w:rPr>
        <w:t>.</w:t>
      </w:r>
      <w:r w:rsidR="002F51FD">
        <w:rPr>
          <w:szCs w:val="18"/>
        </w:rPr>
        <w:t xml:space="preserve"> </w:t>
      </w:r>
    </w:p>
    <w:p w:rsidR="00122C19" w:rsidRDefault="00122C19" w14:paraId="50B7D907" w14:textId="77777777">
      <w:pPr>
        <w:spacing w:line="276" w:lineRule="auto"/>
      </w:pPr>
    </w:p>
    <w:tbl>
      <w:tblPr>
        <w:tblStyle w:val="Rastertabel4-Accent5"/>
        <w:tblW w:w="9817" w:type="dxa"/>
        <w:tblLook w:val="04A0" w:firstRow="1" w:lastRow="0" w:firstColumn="1" w:lastColumn="0" w:noHBand="0" w:noVBand="1"/>
      </w:tblPr>
      <w:tblGrid>
        <w:gridCol w:w="3013"/>
        <w:gridCol w:w="1134"/>
        <w:gridCol w:w="1134"/>
        <w:gridCol w:w="1134"/>
        <w:gridCol w:w="1134"/>
        <w:gridCol w:w="1134"/>
        <w:gridCol w:w="1134"/>
      </w:tblGrid>
      <w:tr w:rsidR="00122C19" w:rsidTr="5FA50F9D" w14:paraId="04D70DE0"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817" w:type="dxa"/>
            <w:gridSpan w:val="7"/>
            <w:shd w:val="clear" w:color="auto" w:fill="002060"/>
            <w:vAlign w:val="center"/>
          </w:tcPr>
          <w:p w:rsidR="00122C19" w:rsidRDefault="002F51FD" w14:paraId="380DCF50" w14:textId="77777777">
            <w:pPr>
              <w:rPr>
                <w:rFonts w:eastAsia="Times New Roman" w:cs="Calibri"/>
                <w:szCs w:val="18"/>
              </w:rPr>
            </w:pPr>
            <w:r>
              <w:rPr>
                <w:rFonts w:eastAsia="Times New Roman" w:cs="Calibri"/>
                <w:color w:val="FFFFFF"/>
                <w:szCs w:val="18"/>
              </w:rPr>
              <w:t xml:space="preserve">Verwachte budgettaire opbrengst </w:t>
            </w:r>
            <w:proofErr w:type="spellStart"/>
            <w:r>
              <w:rPr>
                <w:rFonts w:eastAsia="Times New Roman" w:cs="Calibri"/>
                <w:color w:val="FFFFFF"/>
                <w:szCs w:val="18"/>
              </w:rPr>
              <w:t>opt</w:t>
            </w:r>
            <w:proofErr w:type="spellEnd"/>
            <w:r>
              <w:rPr>
                <w:rFonts w:eastAsia="Times New Roman" w:cs="Calibri"/>
                <w:color w:val="FFFFFF"/>
                <w:szCs w:val="18"/>
              </w:rPr>
              <w:t xml:space="preserve">-in ETS2 en derving CO2-heffing in mln. euro. </w:t>
            </w:r>
          </w:p>
        </w:tc>
      </w:tr>
      <w:tr w:rsidR="00122C19" w:rsidTr="5FA50F9D" w14:paraId="5F2D79FC"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13" w:type="dxa"/>
            <w:vAlign w:val="center"/>
          </w:tcPr>
          <w:p w:rsidR="00122C19" w:rsidRDefault="00122C19" w14:paraId="493C0DBC" w14:textId="77777777">
            <w:pPr>
              <w:rPr>
                <w:rFonts w:eastAsia="Times New Roman" w:cs="Times New Roman"/>
                <w:szCs w:val="18"/>
              </w:rPr>
            </w:pPr>
          </w:p>
        </w:tc>
        <w:tc>
          <w:tcPr>
            <w:tcW w:w="1134" w:type="dxa"/>
            <w:vAlign w:val="center"/>
          </w:tcPr>
          <w:p w:rsidR="00122C19" w:rsidRDefault="002F51FD" w14:paraId="1FE7CA74"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1134" w:type="dxa"/>
            <w:vAlign w:val="center"/>
          </w:tcPr>
          <w:p w:rsidR="00122C19" w:rsidRDefault="002F51FD" w14:paraId="1A4E7FDC"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1134" w:type="dxa"/>
            <w:vAlign w:val="center"/>
          </w:tcPr>
          <w:p w:rsidR="00122C19" w:rsidRDefault="002F51FD" w14:paraId="508BEBD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1134" w:type="dxa"/>
            <w:vAlign w:val="center"/>
          </w:tcPr>
          <w:p w:rsidR="00122C19" w:rsidRDefault="002F51FD" w14:paraId="22E39DE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1134" w:type="dxa"/>
            <w:vAlign w:val="center"/>
          </w:tcPr>
          <w:p w:rsidR="00122C19" w:rsidRDefault="002F51FD" w14:paraId="112D77F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1134" w:type="dxa"/>
            <w:vAlign w:val="center"/>
          </w:tcPr>
          <w:p w:rsidR="00122C19" w:rsidRDefault="002F51FD" w14:paraId="1861134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r>
      <w:tr w:rsidR="00122C19" w:rsidTr="5FA50F9D" w14:paraId="610A1880" w14:textId="77777777">
        <w:trPr>
          <w:trHeight w:val="202"/>
        </w:trPr>
        <w:tc>
          <w:tcPr>
            <w:cnfStyle w:val="001000000000" w:firstRow="0" w:lastRow="0" w:firstColumn="1" w:lastColumn="0" w:oddVBand="0" w:evenVBand="0" w:oddHBand="0" w:evenHBand="0" w:firstRowFirstColumn="0" w:firstRowLastColumn="0" w:lastRowFirstColumn="0" w:lastRowLastColumn="0"/>
            <w:tcW w:w="3013" w:type="dxa"/>
            <w:shd w:val="clear" w:color="auto" w:fill="FFFFFF" w:themeFill="background1"/>
            <w:vAlign w:val="center"/>
          </w:tcPr>
          <w:p w:rsidR="00122C19" w:rsidRDefault="002F51FD" w14:paraId="6EADA7AA" w14:textId="77777777">
            <w:pPr>
              <w:rPr>
                <w:rFonts w:eastAsia="Times New Roman" w:cs="Calibri"/>
                <w:color w:val="000000"/>
                <w:szCs w:val="18"/>
              </w:rPr>
            </w:pPr>
            <w:r>
              <w:rPr>
                <w:rFonts w:eastAsia="Times New Roman" w:cs="Calibri"/>
                <w:color w:val="000000"/>
                <w:szCs w:val="18"/>
              </w:rPr>
              <w:t xml:space="preserve">Inkomsten </w:t>
            </w:r>
            <w:proofErr w:type="spellStart"/>
            <w:r>
              <w:rPr>
                <w:rFonts w:eastAsia="Times New Roman" w:cs="Calibri"/>
                <w:color w:val="000000"/>
                <w:szCs w:val="18"/>
              </w:rPr>
              <w:t>opt</w:t>
            </w:r>
            <w:proofErr w:type="spellEnd"/>
            <w:r>
              <w:rPr>
                <w:rFonts w:eastAsia="Times New Roman" w:cs="Calibri"/>
                <w:color w:val="000000"/>
                <w:szCs w:val="18"/>
              </w:rPr>
              <w:t>-in ETS2</w:t>
            </w:r>
          </w:p>
        </w:tc>
        <w:tc>
          <w:tcPr>
            <w:tcW w:w="1134" w:type="dxa"/>
            <w:shd w:val="clear" w:color="auto" w:fill="FFFFFF" w:themeFill="background1"/>
            <w:vAlign w:val="center"/>
          </w:tcPr>
          <w:p w:rsidR="00122C19" w:rsidP="5FA50F9D" w:rsidRDefault="002F51FD" w14:paraId="17060CE9"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0</w:t>
            </w:r>
          </w:p>
        </w:tc>
        <w:tc>
          <w:tcPr>
            <w:tcW w:w="1134" w:type="dxa"/>
            <w:shd w:val="clear" w:color="auto" w:fill="FFFFFF" w:themeFill="background1"/>
            <w:vAlign w:val="center"/>
          </w:tcPr>
          <w:p w:rsidR="00122C19" w:rsidP="5FA50F9D" w:rsidRDefault="002F51FD" w14:paraId="5E2A0CB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0</w:t>
            </w:r>
          </w:p>
        </w:tc>
        <w:tc>
          <w:tcPr>
            <w:tcW w:w="1134" w:type="dxa"/>
            <w:shd w:val="clear" w:color="auto" w:fill="FFFFFF" w:themeFill="background1"/>
            <w:vAlign w:val="center"/>
          </w:tcPr>
          <w:p w:rsidRPr="00330C57" w:rsidR="00122C19" w:rsidP="5FA50F9D" w:rsidRDefault="3526FD24" w14:paraId="0E3628DD" w14:textId="0FEE1B3E">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5FA50F9D">
              <w:rPr>
                <w:rFonts w:eastAsia="Times New Roman" w:cs="Calibri"/>
              </w:rPr>
              <w:t>374</w:t>
            </w:r>
          </w:p>
        </w:tc>
        <w:tc>
          <w:tcPr>
            <w:tcW w:w="1134" w:type="dxa"/>
            <w:shd w:val="clear" w:color="auto" w:fill="FFFFFF" w:themeFill="background1"/>
            <w:vAlign w:val="center"/>
          </w:tcPr>
          <w:p w:rsidRPr="00330C57" w:rsidR="00122C19" w:rsidP="5FA50F9D" w:rsidRDefault="3526FD24" w14:paraId="4ECA6719" w14:textId="7C578849">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5FA50F9D">
              <w:rPr>
                <w:rFonts w:eastAsia="Times New Roman" w:cs="Calibri"/>
              </w:rPr>
              <w:t>286</w:t>
            </w:r>
          </w:p>
        </w:tc>
        <w:tc>
          <w:tcPr>
            <w:tcW w:w="1134" w:type="dxa"/>
            <w:shd w:val="clear" w:color="auto" w:fill="FFFFFF" w:themeFill="background1"/>
            <w:vAlign w:val="center"/>
          </w:tcPr>
          <w:p w:rsidRPr="00330C57" w:rsidR="00122C19" w:rsidP="5FA50F9D" w:rsidRDefault="3526FD24" w14:paraId="45E2087E" w14:textId="1241F714">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5FA50F9D">
              <w:rPr>
                <w:rFonts w:eastAsia="Times New Roman" w:cs="Calibri"/>
              </w:rPr>
              <w:t>252</w:t>
            </w:r>
          </w:p>
        </w:tc>
        <w:tc>
          <w:tcPr>
            <w:tcW w:w="1134" w:type="dxa"/>
            <w:shd w:val="clear" w:color="auto" w:fill="FFFFFF" w:themeFill="background1"/>
            <w:vAlign w:val="center"/>
          </w:tcPr>
          <w:p w:rsidRPr="00330C57" w:rsidR="00122C19" w:rsidP="5FA50F9D" w:rsidRDefault="3526FD24" w14:paraId="0B6C9E85" w14:textId="094F5155">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rsidRPr="5FA50F9D">
              <w:rPr>
                <w:rFonts w:eastAsia="Times New Roman" w:cs="Calibri"/>
              </w:rPr>
              <w:t>250</w:t>
            </w:r>
          </w:p>
        </w:tc>
      </w:tr>
      <w:tr w:rsidR="009B056E" w:rsidTr="5FA50F9D" w14:paraId="6F6C2001"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rsidR="009B056E" w:rsidP="009B056E" w:rsidRDefault="009B056E" w14:paraId="5B5ACB94" w14:textId="7EC55CB3">
            <w:pPr>
              <w:rPr>
                <w:rFonts w:eastAsia="Times New Roman" w:cs="Calibri"/>
                <w:color w:val="000000"/>
                <w:szCs w:val="18"/>
              </w:rPr>
            </w:pPr>
            <w:r>
              <w:rPr>
                <w:rFonts w:eastAsia="Times New Roman" w:cs="Calibri"/>
                <w:color w:val="000000"/>
                <w:szCs w:val="18"/>
              </w:rPr>
              <w:t>Derving CO2-heffing</w:t>
            </w:r>
            <w:r w:rsidR="006130A9">
              <w:rPr>
                <w:rFonts w:eastAsia="Times New Roman" w:cs="Calibri"/>
                <w:color w:val="000000"/>
                <w:szCs w:val="18"/>
              </w:rPr>
              <w:t xml:space="preserve"> GTB</w:t>
            </w:r>
            <w:r>
              <w:rPr>
                <w:rFonts w:eastAsia="Times New Roman" w:cs="Calibri"/>
                <w:color w:val="000000"/>
                <w:szCs w:val="18"/>
              </w:rPr>
              <w:t xml:space="preserve"> naar nul*</w:t>
            </w:r>
          </w:p>
        </w:tc>
        <w:tc>
          <w:tcPr>
            <w:tcW w:w="0" w:type="dxa"/>
            <w:shd w:val="clear" w:color="auto" w:fill="FFFFFF" w:themeFill="background1"/>
            <w:vAlign w:val="center"/>
          </w:tcPr>
          <w:p w:rsidR="009B056E" w:rsidP="5FA50F9D" w:rsidRDefault="00849D98" w14:paraId="4540C7E1" w14:textId="34A8F489">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w:t>
            </w:r>
            <w:r w:rsidRPr="5FA50F9D" w:rsidR="1B5944E8">
              <w:rPr>
                <w:rFonts w:eastAsia="Times New Roman" w:cs="Calibri"/>
                <w:color w:val="000000" w:themeColor="text1"/>
              </w:rPr>
              <w:t>-44</w:t>
            </w:r>
            <w:r w:rsidRPr="5FA50F9D">
              <w:rPr>
                <w:rFonts w:eastAsia="Times New Roman" w:cs="Calibri"/>
                <w:color w:val="000000" w:themeColor="text1"/>
              </w:rPr>
              <w:t>)</w:t>
            </w:r>
          </w:p>
        </w:tc>
        <w:tc>
          <w:tcPr>
            <w:tcW w:w="0" w:type="dxa"/>
            <w:shd w:val="clear" w:color="auto" w:fill="FFFFFF" w:themeFill="background1"/>
            <w:vAlign w:val="center"/>
          </w:tcPr>
          <w:p w:rsidR="009B056E" w:rsidP="5FA50F9D" w:rsidRDefault="00849D98" w14:paraId="6140D7C8" w14:textId="07EC8C16">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C00000"/>
              </w:rPr>
            </w:pPr>
            <w:r w:rsidRPr="5FA50F9D">
              <w:rPr>
                <w:rFonts w:eastAsia="Times New Roman" w:cs="Calibri"/>
              </w:rPr>
              <w:t>(</w:t>
            </w:r>
            <w:r w:rsidRPr="5FA50F9D" w:rsidR="1B5944E8">
              <w:rPr>
                <w:rFonts w:eastAsia="Times New Roman" w:cs="Calibri"/>
              </w:rPr>
              <w:t>-49</w:t>
            </w:r>
            <w:r w:rsidRPr="5FA50F9D">
              <w:rPr>
                <w:rFonts w:eastAsia="Times New Roman" w:cs="Calibri"/>
              </w:rPr>
              <w:t>)</w:t>
            </w:r>
          </w:p>
        </w:tc>
        <w:tc>
          <w:tcPr>
            <w:tcW w:w="0" w:type="dxa"/>
            <w:shd w:val="clear" w:color="auto" w:fill="FFFFFF" w:themeFill="background1"/>
            <w:vAlign w:val="center"/>
          </w:tcPr>
          <w:p w:rsidRPr="00330C57" w:rsidR="009B056E" w:rsidP="5FA50F9D" w:rsidRDefault="009B056E" w14:paraId="0FA2F3B8" w14:textId="555C07E3">
            <w:pPr>
              <w:jc w:val="center"/>
              <w:cnfStyle w:val="000000100000" w:firstRow="0" w:lastRow="0" w:firstColumn="0" w:lastColumn="0" w:oddVBand="0" w:evenVBand="0" w:oddHBand="1" w:evenHBand="0" w:firstRowFirstColumn="0" w:firstRowLastColumn="0" w:lastRowFirstColumn="0" w:lastRowLastColumn="0"/>
            </w:pPr>
            <w:r>
              <w:t>-5</w:t>
            </w:r>
            <w:r w:rsidR="00E14830">
              <w:t>4</w:t>
            </w:r>
          </w:p>
        </w:tc>
        <w:tc>
          <w:tcPr>
            <w:tcW w:w="0" w:type="dxa"/>
            <w:tcBorders>
              <w:bottom w:val="single" w:color="8EAADB" w:themeColor="accent5" w:themeTint="99" w:sz="4" w:space="0"/>
            </w:tcBorders>
            <w:shd w:val="clear" w:color="auto" w:fill="FFFFFF" w:themeFill="background1"/>
            <w:vAlign w:val="center"/>
          </w:tcPr>
          <w:p w:rsidRPr="00330C57" w:rsidR="009B056E" w:rsidP="5FA50F9D" w:rsidRDefault="009B056E" w14:paraId="796C8812" w14:textId="46A77AD6">
            <w:pPr>
              <w:jc w:val="center"/>
              <w:cnfStyle w:val="000000100000" w:firstRow="0" w:lastRow="0" w:firstColumn="0" w:lastColumn="0" w:oddVBand="0" w:evenVBand="0" w:oddHBand="1" w:evenHBand="0" w:firstRowFirstColumn="0" w:firstRowLastColumn="0" w:lastRowFirstColumn="0" w:lastRowLastColumn="0"/>
            </w:pPr>
            <w:r>
              <w:t>-5</w:t>
            </w:r>
            <w:r w:rsidR="00E14830">
              <w:t>9</w:t>
            </w:r>
          </w:p>
        </w:tc>
        <w:tc>
          <w:tcPr>
            <w:tcW w:w="0" w:type="dxa"/>
            <w:shd w:val="clear" w:color="auto" w:fill="FFFFFF" w:themeFill="background1"/>
            <w:vAlign w:val="center"/>
          </w:tcPr>
          <w:p w:rsidRPr="00330C57" w:rsidR="009B056E" w:rsidP="5FA50F9D" w:rsidRDefault="009B056E" w14:paraId="53AD1D83" w14:textId="222048BF">
            <w:pPr>
              <w:jc w:val="center"/>
              <w:cnfStyle w:val="000000100000" w:firstRow="0" w:lastRow="0" w:firstColumn="0" w:lastColumn="0" w:oddVBand="0" w:evenVBand="0" w:oddHBand="1" w:evenHBand="0" w:firstRowFirstColumn="0" w:firstRowLastColumn="0" w:lastRowFirstColumn="0" w:lastRowLastColumn="0"/>
            </w:pPr>
            <w:r>
              <w:t>-6</w:t>
            </w:r>
            <w:r w:rsidR="00E14830">
              <w:t>1</w:t>
            </w:r>
          </w:p>
        </w:tc>
        <w:tc>
          <w:tcPr>
            <w:tcW w:w="0" w:type="dxa"/>
            <w:tcBorders>
              <w:bottom w:val="single" w:color="8EAADB" w:themeColor="accent5" w:themeTint="99" w:sz="4" w:space="0"/>
            </w:tcBorders>
            <w:shd w:val="clear" w:color="auto" w:fill="FFFFFF" w:themeFill="background1"/>
            <w:vAlign w:val="center"/>
          </w:tcPr>
          <w:p w:rsidRPr="00330C57" w:rsidR="009B056E" w:rsidP="5FA50F9D" w:rsidRDefault="009B056E" w14:paraId="335217E9" w14:textId="4B939B88">
            <w:pPr>
              <w:jc w:val="center"/>
              <w:cnfStyle w:val="000000100000" w:firstRow="0" w:lastRow="0" w:firstColumn="0" w:lastColumn="0" w:oddVBand="0" w:evenVBand="0" w:oddHBand="1" w:evenHBand="0" w:firstRowFirstColumn="0" w:firstRowLastColumn="0" w:lastRowFirstColumn="0" w:lastRowLastColumn="0"/>
            </w:pPr>
            <w:r>
              <w:t>-6</w:t>
            </w:r>
            <w:r w:rsidR="00E14830">
              <w:t>3</w:t>
            </w:r>
          </w:p>
        </w:tc>
      </w:tr>
      <w:tr w:rsidR="00712A69" w:rsidTr="5FA50F9D" w14:paraId="5AC8B285" w14:textId="77777777">
        <w:trPr>
          <w:trHeight w:val="202"/>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vAlign w:val="center"/>
          </w:tcPr>
          <w:p w:rsidR="00712A69" w:rsidP="00712A69" w:rsidRDefault="00712A69" w14:paraId="2214C8D1" w14:textId="77777777">
            <w:pPr>
              <w:rPr>
                <w:rFonts w:eastAsia="Times New Roman" w:cs="Calibri"/>
                <w:color w:val="000000"/>
                <w:szCs w:val="18"/>
              </w:rPr>
            </w:pPr>
            <w:r>
              <w:rPr>
                <w:rFonts w:eastAsia="Times New Roman" w:cs="Calibri"/>
                <w:color w:val="000000"/>
                <w:szCs w:val="18"/>
              </w:rPr>
              <w:t>Derving kostencompensatieregeling</w:t>
            </w:r>
          </w:p>
        </w:tc>
        <w:tc>
          <w:tcPr>
            <w:tcW w:w="0" w:type="dxa"/>
            <w:shd w:val="clear" w:color="auto" w:fill="FFFFFF" w:themeFill="background1"/>
            <w:vAlign w:val="center"/>
          </w:tcPr>
          <w:p w:rsidR="00712A69" w:rsidP="5FA50F9D" w:rsidRDefault="00849D98" w14:paraId="1268B68C" w14:textId="7A0FE3D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0</w:t>
            </w:r>
          </w:p>
        </w:tc>
        <w:tc>
          <w:tcPr>
            <w:tcW w:w="0" w:type="dxa"/>
            <w:shd w:val="clear" w:color="auto" w:fill="FFFFFF" w:themeFill="background1"/>
            <w:vAlign w:val="center"/>
          </w:tcPr>
          <w:p w:rsidR="00712A69" w:rsidP="5FA50F9D" w:rsidRDefault="00849D98" w14:paraId="562FCA50" w14:textId="4EA4006D">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C00000"/>
              </w:rPr>
            </w:pPr>
            <w:r w:rsidRPr="5FA50F9D">
              <w:rPr>
                <w:rFonts w:eastAsia="Times New Roman" w:cs="Calibri"/>
              </w:rPr>
              <w:t>0</w:t>
            </w:r>
          </w:p>
        </w:tc>
        <w:tc>
          <w:tcPr>
            <w:tcW w:w="0" w:type="dxa"/>
            <w:tcBorders>
              <w:top w:val="nil"/>
              <w:left w:val="nil"/>
              <w:bottom w:val="nil"/>
              <w:right w:val="single" w:color="9CC2E5" w:themeColor="accent1" w:themeTint="99" w:sz="4" w:space="0"/>
            </w:tcBorders>
            <w:shd w:val="clear" w:color="auto" w:fill="auto"/>
            <w:vAlign w:val="center"/>
          </w:tcPr>
          <w:p w:rsidRPr="00330C57" w:rsidR="00712A69" w:rsidP="5FA50F9D" w:rsidRDefault="00E14830" w14:paraId="02713469" w14:textId="726830EA">
            <w:pPr>
              <w:jc w:val="center"/>
              <w:cnfStyle w:val="000000000000" w:firstRow="0" w:lastRow="0" w:firstColumn="0" w:lastColumn="0" w:oddVBand="0" w:evenVBand="0" w:oddHBand="0" w:evenHBand="0" w:firstRowFirstColumn="0" w:firstRowLastColumn="0" w:lastRowFirstColumn="0" w:lastRowLastColumn="0"/>
            </w:pPr>
            <w:r>
              <w:t>-</w:t>
            </w:r>
            <w:r w:rsidR="19499492">
              <w:t>3</w:t>
            </w:r>
            <w:r>
              <w:t>0</w:t>
            </w:r>
          </w:p>
        </w:tc>
        <w:tc>
          <w:tcPr>
            <w:tcW w:w="0" w:type="dxa"/>
            <w:tcBorders>
              <w:top w:val="single" w:color="8EAADB" w:themeColor="accent5" w:themeTint="99" w:sz="4" w:space="0"/>
              <w:left w:val="single" w:color="9CC2E5" w:themeColor="accent1" w:themeTint="99" w:sz="4" w:space="0"/>
              <w:bottom w:val="single" w:color="8EAADB" w:themeColor="accent5" w:themeTint="99" w:sz="4" w:space="0"/>
              <w:right w:val="single" w:color="9CC2E5" w:themeColor="accent1" w:themeTint="99" w:sz="4" w:space="0"/>
            </w:tcBorders>
            <w:shd w:val="clear" w:color="auto" w:fill="auto"/>
            <w:vAlign w:val="center"/>
          </w:tcPr>
          <w:p w:rsidRPr="00330C57" w:rsidR="00712A69" w:rsidP="5FA50F9D" w:rsidRDefault="00E14830" w14:paraId="4BF44F59" w14:textId="2D3D8724">
            <w:pPr>
              <w:jc w:val="center"/>
              <w:cnfStyle w:val="000000000000" w:firstRow="0" w:lastRow="0" w:firstColumn="0" w:lastColumn="0" w:oddVBand="0" w:evenVBand="0" w:oddHBand="0" w:evenHBand="0" w:firstRowFirstColumn="0" w:firstRowLastColumn="0" w:lastRowFirstColumn="0" w:lastRowLastColumn="0"/>
            </w:pPr>
            <w:r>
              <w:t>-82</w:t>
            </w:r>
          </w:p>
        </w:tc>
        <w:tc>
          <w:tcPr>
            <w:tcW w:w="0" w:type="dxa"/>
            <w:tcBorders>
              <w:top w:val="nil"/>
              <w:left w:val="single" w:color="9CC2E5" w:themeColor="accent1" w:themeTint="99" w:sz="4" w:space="0"/>
              <w:bottom w:val="nil"/>
              <w:right w:val="single" w:color="9CC2E5" w:themeColor="accent1" w:themeTint="99" w:sz="4" w:space="0"/>
            </w:tcBorders>
            <w:shd w:val="clear" w:color="auto" w:fill="auto"/>
            <w:vAlign w:val="center"/>
          </w:tcPr>
          <w:p w:rsidRPr="00330C57" w:rsidR="00712A69" w:rsidP="5FA50F9D" w:rsidRDefault="00E14830" w14:paraId="7694F3CE" w14:textId="2C7642CD">
            <w:pPr>
              <w:jc w:val="center"/>
              <w:cnfStyle w:val="000000000000" w:firstRow="0" w:lastRow="0" w:firstColumn="0" w:lastColumn="0" w:oddVBand="0" w:evenVBand="0" w:oddHBand="0" w:evenHBand="0" w:firstRowFirstColumn="0" w:firstRowLastColumn="0" w:lastRowFirstColumn="0" w:lastRowLastColumn="0"/>
            </w:pPr>
            <w:r>
              <w:t>-66</w:t>
            </w:r>
          </w:p>
        </w:tc>
        <w:tc>
          <w:tcPr>
            <w:tcW w:w="0" w:type="dxa"/>
            <w:tcBorders>
              <w:top w:val="single" w:color="8EAADB" w:themeColor="accent5" w:themeTint="99" w:sz="4" w:space="0"/>
              <w:left w:val="single" w:color="9CC2E5" w:themeColor="accent1" w:themeTint="99" w:sz="4" w:space="0"/>
              <w:bottom w:val="single" w:color="8EAADB" w:themeColor="accent5" w:themeTint="99" w:sz="4" w:space="0"/>
              <w:right w:val="single" w:color="9CC2E5" w:themeColor="accent1" w:themeTint="99" w:sz="4" w:space="0"/>
            </w:tcBorders>
            <w:shd w:val="clear" w:color="auto" w:fill="auto"/>
            <w:vAlign w:val="center"/>
          </w:tcPr>
          <w:p w:rsidRPr="00330C57" w:rsidR="00712A69" w:rsidP="5FA50F9D" w:rsidRDefault="00E14830" w14:paraId="4B5A1AF3" w14:textId="4FED7A54">
            <w:pPr>
              <w:jc w:val="center"/>
              <w:cnfStyle w:val="000000000000" w:firstRow="0" w:lastRow="0" w:firstColumn="0" w:lastColumn="0" w:oddVBand="0" w:evenVBand="0" w:oddHBand="0" w:evenHBand="0" w:firstRowFirstColumn="0" w:firstRowLastColumn="0" w:lastRowFirstColumn="0" w:lastRowLastColumn="0"/>
            </w:pPr>
            <w:r>
              <w:t>-42</w:t>
            </w:r>
          </w:p>
        </w:tc>
      </w:tr>
      <w:tr w:rsidR="00122C19" w:rsidTr="5FA50F9D" w14:paraId="40F186FF"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13" w:type="dxa"/>
            <w:shd w:val="clear" w:color="auto" w:fill="FFFFFF" w:themeFill="background1"/>
            <w:vAlign w:val="center"/>
          </w:tcPr>
          <w:p w:rsidR="00122C19" w:rsidRDefault="002F51FD" w14:paraId="607574C7" w14:textId="77777777">
            <w:pPr>
              <w:rPr>
                <w:rFonts w:eastAsia="Times New Roman" w:cs="Calibri"/>
                <w:color w:val="000000"/>
                <w:szCs w:val="18"/>
              </w:rPr>
            </w:pPr>
            <w:r>
              <w:rPr>
                <w:rFonts w:eastAsia="Times New Roman" w:cs="Calibri"/>
                <w:color w:val="000000"/>
                <w:szCs w:val="18"/>
              </w:rPr>
              <w:t xml:space="preserve">Saldo </w:t>
            </w:r>
          </w:p>
        </w:tc>
        <w:tc>
          <w:tcPr>
            <w:tcW w:w="1134" w:type="dxa"/>
            <w:shd w:val="clear" w:color="auto" w:fill="FFFFFF" w:themeFill="background1"/>
            <w:vAlign w:val="center"/>
          </w:tcPr>
          <w:p w:rsidR="00122C19" w:rsidP="5FA50F9D" w:rsidRDefault="00849D98" w14:paraId="150DD5AE" w14:textId="0BE562E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w:t>
            </w:r>
            <w:r w:rsidRPr="5FA50F9D" w:rsidR="00873556">
              <w:rPr>
                <w:rFonts w:eastAsia="Times New Roman" w:cs="Calibri"/>
                <w:color w:val="000000" w:themeColor="text1"/>
              </w:rPr>
              <w:t>-44</w:t>
            </w:r>
            <w:r w:rsidRPr="5FA50F9D">
              <w:rPr>
                <w:rFonts w:eastAsia="Times New Roman" w:cs="Calibri"/>
                <w:color w:val="000000" w:themeColor="text1"/>
              </w:rPr>
              <w:t>)</w:t>
            </w:r>
          </w:p>
        </w:tc>
        <w:tc>
          <w:tcPr>
            <w:tcW w:w="1134" w:type="dxa"/>
            <w:shd w:val="clear" w:color="auto" w:fill="FFFFFF" w:themeFill="background1"/>
            <w:vAlign w:val="center"/>
          </w:tcPr>
          <w:p w:rsidR="00122C19" w:rsidP="5FA50F9D" w:rsidRDefault="00849D98" w14:paraId="4ECB3074" w14:textId="1EDE87C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rPr>
            </w:pPr>
            <w:r w:rsidRPr="5FA50F9D">
              <w:rPr>
                <w:rFonts w:eastAsia="Times New Roman" w:cs="Calibri"/>
                <w:color w:val="000000" w:themeColor="text1"/>
              </w:rPr>
              <w:t>(</w:t>
            </w:r>
            <w:r w:rsidRPr="5FA50F9D" w:rsidR="00873556">
              <w:rPr>
                <w:rFonts w:eastAsia="Times New Roman" w:cs="Calibri"/>
                <w:color w:val="000000" w:themeColor="text1"/>
              </w:rPr>
              <w:t>-49</w:t>
            </w:r>
            <w:r w:rsidRPr="5FA50F9D">
              <w:rPr>
                <w:rFonts w:eastAsia="Times New Roman" w:cs="Calibri"/>
                <w:color w:val="000000" w:themeColor="text1"/>
              </w:rPr>
              <w:t>)</w:t>
            </w:r>
          </w:p>
        </w:tc>
        <w:tc>
          <w:tcPr>
            <w:tcW w:w="1134" w:type="dxa"/>
            <w:shd w:val="clear" w:color="auto" w:fill="FFFFFF" w:themeFill="background1"/>
          </w:tcPr>
          <w:p w:rsidRPr="00330C57" w:rsidR="00122C19" w:rsidP="5FA50F9D" w:rsidRDefault="00E14830" w14:paraId="640EAD7A" w14:textId="3B0404E6">
            <w:pPr>
              <w:jc w:val="center"/>
              <w:cnfStyle w:val="000000100000" w:firstRow="0" w:lastRow="0" w:firstColumn="0" w:lastColumn="0" w:oddVBand="0" w:evenVBand="0" w:oddHBand="1" w:evenHBand="0" w:firstRowFirstColumn="0" w:firstRowLastColumn="0" w:lastRowFirstColumn="0" w:lastRowLastColumn="0"/>
            </w:pPr>
            <w:r>
              <w:t>290</w:t>
            </w:r>
          </w:p>
        </w:tc>
        <w:tc>
          <w:tcPr>
            <w:tcW w:w="1134" w:type="dxa"/>
            <w:tcBorders>
              <w:top w:val="single" w:color="8EAADB" w:themeColor="accent5" w:themeTint="99" w:sz="4" w:space="0"/>
            </w:tcBorders>
            <w:shd w:val="clear" w:color="auto" w:fill="FFFFFF" w:themeFill="background1"/>
          </w:tcPr>
          <w:p w:rsidRPr="00330C57" w:rsidR="00122C19" w:rsidP="5FA50F9D" w:rsidRDefault="00E14830" w14:paraId="22220B45" w14:textId="73AC35D1">
            <w:pPr>
              <w:jc w:val="center"/>
              <w:cnfStyle w:val="000000100000" w:firstRow="0" w:lastRow="0" w:firstColumn="0" w:lastColumn="0" w:oddVBand="0" w:evenVBand="0" w:oddHBand="1" w:evenHBand="0" w:firstRowFirstColumn="0" w:firstRowLastColumn="0" w:lastRowFirstColumn="0" w:lastRowLastColumn="0"/>
            </w:pPr>
            <w:r>
              <w:t>146</w:t>
            </w:r>
          </w:p>
        </w:tc>
        <w:tc>
          <w:tcPr>
            <w:tcW w:w="1134" w:type="dxa"/>
            <w:shd w:val="clear" w:color="auto" w:fill="FFFFFF" w:themeFill="background1"/>
          </w:tcPr>
          <w:p w:rsidRPr="00330C57" w:rsidR="00122C19" w:rsidP="5FA50F9D" w:rsidRDefault="00E14830" w14:paraId="0F1729C4" w14:textId="57C30A05">
            <w:pPr>
              <w:jc w:val="center"/>
              <w:cnfStyle w:val="000000100000" w:firstRow="0" w:lastRow="0" w:firstColumn="0" w:lastColumn="0" w:oddVBand="0" w:evenVBand="0" w:oddHBand="1" w:evenHBand="0" w:firstRowFirstColumn="0" w:firstRowLastColumn="0" w:lastRowFirstColumn="0" w:lastRowLastColumn="0"/>
            </w:pPr>
            <w:r>
              <w:t>125</w:t>
            </w:r>
          </w:p>
        </w:tc>
        <w:tc>
          <w:tcPr>
            <w:tcW w:w="1134" w:type="dxa"/>
            <w:tcBorders>
              <w:top w:val="single" w:color="8EAADB" w:themeColor="accent5" w:themeTint="99" w:sz="4" w:space="0"/>
            </w:tcBorders>
            <w:shd w:val="clear" w:color="auto" w:fill="FFFFFF" w:themeFill="background1"/>
          </w:tcPr>
          <w:p w:rsidRPr="00330C57" w:rsidR="00122C19" w:rsidP="5FA50F9D" w:rsidRDefault="00E14830" w14:paraId="06A9F390" w14:textId="25B9AC33">
            <w:pPr>
              <w:jc w:val="center"/>
              <w:cnfStyle w:val="000000100000" w:firstRow="0" w:lastRow="0" w:firstColumn="0" w:lastColumn="0" w:oddVBand="0" w:evenVBand="0" w:oddHBand="1" w:evenHBand="0" w:firstRowFirstColumn="0" w:firstRowLastColumn="0" w:lastRowFirstColumn="0" w:lastRowLastColumn="0"/>
            </w:pPr>
            <w:r>
              <w:t>145</w:t>
            </w:r>
          </w:p>
        </w:tc>
      </w:tr>
      <w:tr w:rsidR="00122C19" w:rsidTr="5FA50F9D" w14:paraId="5803C6D8" w14:textId="77777777">
        <w:trPr>
          <w:trHeight w:val="202"/>
        </w:trPr>
        <w:tc>
          <w:tcPr>
            <w:cnfStyle w:val="001000000000" w:firstRow="0" w:lastRow="0" w:firstColumn="1" w:lastColumn="0" w:oddVBand="0" w:evenVBand="0" w:oddHBand="0" w:evenHBand="0" w:firstRowFirstColumn="0" w:firstRowLastColumn="0" w:lastRowFirstColumn="0" w:lastRowLastColumn="0"/>
            <w:tcW w:w="9817" w:type="dxa"/>
            <w:gridSpan w:val="7"/>
            <w:shd w:val="clear" w:color="auto" w:fill="FFFFFF" w:themeFill="background1"/>
            <w:vAlign w:val="center"/>
          </w:tcPr>
          <w:p w:rsidR="00122C19" w:rsidRDefault="002F51FD" w14:paraId="0CD4BA82" w14:textId="77777777">
            <w:pPr>
              <w:rPr>
                <w:b w:val="0"/>
                <w:bCs w:val="0"/>
                <w:i/>
                <w:iCs/>
              </w:rPr>
            </w:pPr>
            <w:r>
              <w:rPr>
                <w:b w:val="0"/>
                <w:bCs w:val="0"/>
                <w:i/>
                <w:iCs/>
                <w:szCs w:val="18"/>
              </w:rPr>
              <w:t>* Zoals momenteel ingeboekt in het inkomstenkader</w:t>
            </w:r>
          </w:p>
        </w:tc>
      </w:tr>
    </w:tbl>
    <w:p w:rsidR="003E6951" w:rsidRDefault="003E6951" w14:paraId="6492B5F6" w14:textId="77777777">
      <w:pPr>
        <w:spacing w:line="276" w:lineRule="auto"/>
        <w:rPr>
          <w:b/>
          <w:bCs/>
          <w:szCs w:val="18"/>
        </w:rPr>
      </w:pPr>
    </w:p>
    <w:p w:rsidR="00122C19" w:rsidRDefault="00DA70D4" w14:paraId="079F48D0" w14:textId="53CDB3C6">
      <w:pPr>
        <w:spacing w:line="276" w:lineRule="auto"/>
        <w:rPr>
          <w:b/>
          <w:bCs/>
        </w:rPr>
      </w:pPr>
      <w:r>
        <w:rPr>
          <w:b/>
          <w:bCs/>
          <w:szCs w:val="18"/>
        </w:rPr>
        <w:t xml:space="preserve">Variant </w:t>
      </w:r>
      <w:r w:rsidR="002F51FD">
        <w:rPr>
          <w:b/>
          <w:bCs/>
          <w:szCs w:val="18"/>
        </w:rPr>
        <w:t xml:space="preserve">3: </w:t>
      </w:r>
      <w:proofErr w:type="spellStart"/>
      <w:r w:rsidR="002F51FD">
        <w:rPr>
          <w:b/>
          <w:bCs/>
          <w:szCs w:val="18"/>
        </w:rPr>
        <w:t>Opt</w:t>
      </w:r>
      <w:proofErr w:type="spellEnd"/>
      <w:r w:rsidR="002F51FD">
        <w:rPr>
          <w:b/>
          <w:bCs/>
          <w:szCs w:val="18"/>
        </w:rPr>
        <w:t>-in ETS2 plus bijmengverplichting groen gas</w:t>
      </w:r>
    </w:p>
    <w:p w:rsidR="00693BFE" w:rsidRDefault="00846E38" w14:paraId="52B003FB" w14:textId="157695EA">
      <w:pPr>
        <w:pStyle w:val="Geenafstand"/>
        <w:numPr>
          <w:ilvl w:val="0"/>
          <w:numId w:val="9"/>
        </w:numPr>
        <w:spacing w:line="276" w:lineRule="auto"/>
      </w:pPr>
      <w:r>
        <w:t xml:space="preserve">Variant </w:t>
      </w:r>
      <w:r w:rsidR="00693BFE">
        <w:t xml:space="preserve">2 is van toepassing. Dit betekent dat de </w:t>
      </w:r>
      <w:proofErr w:type="spellStart"/>
      <w:r w:rsidR="00693BFE">
        <w:t>opt</w:t>
      </w:r>
      <w:proofErr w:type="spellEnd"/>
      <w:r w:rsidR="00693BFE">
        <w:t>-in ETS2 van toepassing is en dat de CO2-heffing glastuinbouw wordt vervangen door een nationale kostencompensatieregeling ETS2.</w:t>
      </w:r>
    </w:p>
    <w:p w:rsidR="00170C13" w:rsidRDefault="00DE1B7A" w14:paraId="26490393" w14:textId="235FFB36">
      <w:pPr>
        <w:pStyle w:val="Geenafstand"/>
        <w:numPr>
          <w:ilvl w:val="0"/>
          <w:numId w:val="9"/>
        </w:numPr>
        <w:spacing w:line="276" w:lineRule="auto"/>
      </w:pPr>
      <w:r>
        <w:t>In tegenstelling tot variant</w:t>
      </w:r>
      <w:r w:rsidR="00727923">
        <w:t xml:space="preserve"> 2 gaat de bijmengverplichting groen gas </w:t>
      </w:r>
      <w:r w:rsidR="00846E38">
        <w:t xml:space="preserve">wel </w:t>
      </w:r>
      <w:r w:rsidR="00727923">
        <w:t xml:space="preserve">gelden voor de glastuinbouw. </w:t>
      </w:r>
      <w:r w:rsidR="00170C13">
        <w:t>Hierbij wordt het ambitieniveau van het huidig</w:t>
      </w:r>
      <w:r w:rsidR="00CF2485">
        <w:t>e</w:t>
      </w:r>
      <w:r w:rsidR="00170C13">
        <w:t xml:space="preserve"> </w:t>
      </w:r>
      <w:r w:rsidR="00CF2485">
        <w:t xml:space="preserve">concept </w:t>
      </w:r>
      <w:r w:rsidR="00170C13">
        <w:t>wetsvoorstel dat bij de Raad van State ligt op twee punten verlaagd. In de eerste plaats wordt de inwerkingtreding van de bijmengverplichting met een jaar uitgesteld naar 1 januari 2027. In de tweede plaats wordt de doelstelling van de bijmengverplichting met 25% verlaagd.</w:t>
      </w:r>
    </w:p>
    <w:p w:rsidR="00727923" w:rsidRDefault="00727923" w14:paraId="4C02E045" w14:textId="2F229CE7">
      <w:pPr>
        <w:pStyle w:val="Geenafstand"/>
        <w:numPr>
          <w:ilvl w:val="0"/>
          <w:numId w:val="9"/>
        </w:numPr>
        <w:spacing w:line="276" w:lineRule="auto"/>
      </w:pPr>
      <w:r>
        <w:t xml:space="preserve">De introductie van de bijmengverplichting leidt tot een </w:t>
      </w:r>
      <w:r w:rsidRPr="003720ED" w:rsidR="003720ED">
        <w:t xml:space="preserve">lastenverzwaring </w:t>
      </w:r>
      <w:r w:rsidR="003720ED">
        <w:t>voor de glastuinbouwsector</w:t>
      </w:r>
      <w:r w:rsidR="00873556">
        <w:t>. Onderstaande tabel geeft de “</w:t>
      </w:r>
      <w:proofErr w:type="spellStart"/>
      <w:r w:rsidR="00873556">
        <w:t>overshoot</w:t>
      </w:r>
      <w:proofErr w:type="spellEnd"/>
      <w:r w:rsidR="00873556">
        <w:t xml:space="preserve">” weer conform de </w:t>
      </w:r>
      <w:r w:rsidR="003F0E63">
        <w:t>uitgangspunten</w:t>
      </w:r>
      <w:r w:rsidR="00873556">
        <w:t xml:space="preserve"> van Berenschot en </w:t>
      </w:r>
      <w:proofErr w:type="spellStart"/>
      <w:r w:rsidR="00873556">
        <w:t>Kalavasta</w:t>
      </w:r>
      <w:proofErr w:type="spellEnd"/>
      <w:r w:rsidR="00873556">
        <w:t>.</w:t>
      </w:r>
    </w:p>
    <w:p w:rsidR="003720ED" w:rsidP="00873556" w:rsidRDefault="00192CF4" w14:paraId="39106101" w14:textId="211224F5">
      <w:pPr>
        <w:pStyle w:val="Geenafstand"/>
        <w:numPr>
          <w:ilvl w:val="0"/>
          <w:numId w:val="9"/>
        </w:numPr>
        <w:spacing w:line="276" w:lineRule="auto"/>
      </w:pPr>
      <w:r>
        <w:t xml:space="preserve">Binnen de kostencompensatieregeling ETS2 wordt </w:t>
      </w:r>
      <w:r w:rsidR="00086166">
        <w:t xml:space="preserve">financiële </w:t>
      </w:r>
      <w:r>
        <w:t xml:space="preserve">ruimte gevonden voor gedeeltelijke compensatie van de bijmengverplichting. Hierbij wordt voor de maximale hoogte van de kostencompensatieregeling aangesloten bij het huidige </w:t>
      </w:r>
      <w:proofErr w:type="spellStart"/>
      <w:r>
        <w:t>tariefpad</w:t>
      </w:r>
      <w:proofErr w:type="spellEnd"/>
      <w:r>
        <w:t xml:space="preserve"> van de CO2-heffing glastuinbouw in plaats van het nieuwe </w:t>
      </w:r>
      <w:proofErr w:type="spellStart"/>
      <w:r>
        <w:t>tariefpad</w:t>
      </w:r>
      <w:proofErr w:type="spellEnd"/>
      <w:r>
        <w:t xml:space="preserve">. </w:t>
      </w:r>
      <w:r w:rsidRPr="003720ED" w:rsidR="003720ED">
        <w:t xml:space="preserve">Ten opzichte van niveau 2 levert dit een extra compensatie op en kan worden gefinancierd uit de </w:t>
      </w:r>
      <w:proofErr w:type="spellStart"/>
      <w:r w:rsidRPr="003720ED" w:rsidR="003720ED">
        <w:t>opt</w:t>
      </w:r>
      <w:proofErr w:type="spellEnd"/>
      <w:r w:rsidRPr="003720ED" w:rsidR="003720ED">
        <w:t xml:space="preserve">-in ETS2 </w:t>
      </w:r>
      <w:proofErr w:type="spellStart"/>
      <w:r w:rsidRPr="003720ED" w:rsidR="003720ED">
        <w:t>middelen.</w:t>
      </w:r>
      <w:r w:rsidR="00CF2485">
        <w:t>Het</w:t>
      </w:r>
      <w:proofErr w:type="spellEnd"/>
      <w:r w:rsidR="00CF2485">
        <w:t xml:space="preserve"> is onzeker of een kostencompensatieregeling op basis van de vorige tariefstudie door de Europese Commissie wordt goedgekeurd.</w:t>
      </w:r>
    </w:p>
    <w:p w:rsidR="00B2194B" w:rsidRDefault="00B2194B" w14:paraId="3E0F77AC" w14:textId="3E7DC0F7">
      <w:bookmarkStart w:name="_Hlk192240811" w:id="1"/>
      <w:r>
        <w:br w:type="page"/>
      </w:r>
    </w:p>
    <w:p w:rsidR="00727923" w:rsidP="00197A06" w:rsidRDefault="00727923" w14:paraId="7960A702" w14:textId="77777777">
      <w:pPr>
        <w:spacing w:line="276" w:lineRule="auto"/>
      </w:pPr>
    </w:p>
    <w:tbl>
      <w:tblPr>
        <w:tblStyle w:val="Rastertabel4-Accent5"/>
        <w:tblW w:w="9493" w:type="dxa"/>
        <w:tblLook w:val="04A0" w:firstRow="1" w:lastRow="0" w:firstColumn="1" w:lastColumn="0" w:noHBand="0" w:noVBand="1"/>
      </w:tblPr>
      <w:tblGrid>
        <w:gridCol w:w="2268"/>
        <w:gridCol w:w="1032"/>
        <w:gridCol w:w="1032"/>
        <w:gridCol w:w="1032"/>
        <w:gridCol w:w="1032"/>
        <w:gridCol w:w="1032"/>
        <w:gridCol w:w="1032"/>
        <w:gridCol w:w="305"/>
        <w:gridCol w:w="728"/>
      </w:tblGrid>
      <w:tr w:rsidR="00170C13" w:rsidTr="003F0E63" w14:paraId="23F1B908" w14:textId="4250371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8765" w:type="dxa"/>
            <w:gridSpan w:val="8"/>
            <w:shd w:val="clear" w:color="auto" w:fill="002060"/>
            <w:vAlign w:val="center"/>
          </w:tcPr>
          <w:p w:rsidR="00170C13" w:rsidP="002C5A9B" w:rsidRDefault="00170C13" w14:paraId="726EE91C" w14:textId="01E046DB">
            <w:pPr>
              <w:rPr>
                <w:rFonts w:eastAsia="Times New Roman" w:cs="Calibri"/>
                <w:szCs w:val="18"/>
              </w:rPr>
            </w:pPr>
            <w:bookmarkStart w:name="_Hlk192172872" w:id="2"/>
            <w:r>
              <w:rPr>
                <w:rFonts w:eastAsia="Times New Roman" w:cs="Calibri"/>
                <w:color w:val="FFFFFF"/>
                <w:szCs w:val="18"/>
              </w:rPr>
              <w:t xml:space="preserve">Verwacht effect bijmengverplichting groen gas op benodigde CO2-prijs </w:t>
            </w:r>
            <w:r w:rsidR="003F0E63">
              <w:rPr>
                <w:rFonts w:eastAsia="Times New Roman" w:cs="Calibri"/>
                <w:color w:val="FFFFFF"/>
                <w:szCs w:val="18"/>
              </w:rPr>
              <w:t>g</w:t>
            </w:r>
            <w:r>
              <w:rPr>
                <w:rFonts w:eastAsia="Times New Roman" w:cs="Calibri"/>
                <w:color w:val="FFFFFF"/>
                <w:szCs w:val="18"/>
              </w:rPr>
              <w:t>lastuinbouw</w:t>
            </w:r>
          </w:p>
        </w:tc>
        <w:tc>
          <w:tcPr>
            <w:tcW w:w="728" w:type="dxa"/>
            <w:shd w:val="clear" w:color="auto" w:fill="002060"/>
          </w:tcPr>
          <w:p w:rsidR="00170C13" w:rsidP="002C5A9B" w:rsidRDefault="00170C13" w14:paraId="1A5E4F11" w14:textId="77777777">
            <w:pPr>
              <w:cnfStyle w:val="100000000000" w:firstRow="1" w:lastRow="0" w:firstColumn="0" w:lastColumn="0" w:oddVBand="0" w:evenVBand="0" w:oddHBand="0" w:evenHBand="0" w:firstRowFirstColumn="0" w:firstRowLastColumn="0" w:lastRowFirstColumn="0" w:lastRowLastColumn="0"/>
              <w:rPr>
                <w:rFonts w:eastAsia="Times New Roman" w:cs="Calibri"/>
                <w:color w:val="FFFFFF"/>
                <w:szCs w:val="18"/>
              </w:rPr>
            </w:pPr>
          </w:p>
        </w:tc>
      </w:tr>
      <w:tr w:rsidR="00170C13" w:rsidTr="003F0E63" w14:paraId="10AA6F92" w14:textId="2F0BED42">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68" w:type="dxa"/>
            <w:vAlign w:val="center"/>
          </w:tcPr>
          <w:p w:rsidR="00170C13" w:rsidP="002C5A9B" w:rsidRDefault="00170C13" w14:paraId="0B542414" w14:textId="77777777">
            <w:pPr>
              <w:rPr>
                <w:rFonts w:eastAsia="Times New Roman" w:cs="Times New Roman"/>
                <w:szCs w:val="18"/>
              </w:rPr>
            </w:pPr>
          </w:p>
        </w:tc>
        <w:tc>
          <w:tcPr>
            <w:tcW w:w="1032" w:type="dxa"/>
            <w:vAlign w:val="center"/>
          </w:tcPr>
          <w:p w:rsidR="00170C13" w:rsidP="00197A06" w:rsidRDefault="00170C13" w14:paraId="35F8C146"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1032" w:type="dxa"/>
            <w:vAlign w:val="center"/>
          </w:tcPr>
          <w:p w:rsidR="00170C13" w:rsidP="00197A06" w:rsidRDefault="00170C13" w14:paraId="231B622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1032" w:type="dxa"/>
            <w:vAlign w:val="center"/>
          </w:tcPr>
          <w:p w:rsidR="00170C13" w:rsidP="00197A06" w:rsidRDefault="00170C13" w14:paraId="6C90AC0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1032" w:type="dxa"/>
            <w:vAlign w:val="center"/>
          </w:tcPr>
          <w:p w:rsidR="00170C13" w:rsidP="00197A06" w:rsidRDefault="00170C13" w14:paraId="0524AE8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1032" w:type="dxa"/>
            <w:vAlign w:val="center"/>
          </w:tcPr>
          <w:p w:rsidR="00170C13" w:rsidP="00197A06" w:rsidRDefault="00170C13" w14:paraId="6B4797F3"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1032" w:type="dxa"/>
            <w:vAlign w:val="center"/>
          </w:tcPr>
          <w:p w:rsidR="00170C13" w:rsidP="00197A06" w:rsidRDefault="00170C13" w14:paraId="349D469B"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c>
          <w:tcPr>
            <w:tcW w:w="1033" w:type="dxa"/>
            <w:gridSpan w:val="2"/>
          </w:tcPr>
          <w:p w:rsidR="00170C13" w:rsidP="00197A06" w:rsidRDefault="00170C13" w14:paraId="7799CBA6" w14:textId="5AC771B3">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2031</w:t>
            </w:r>
          </w:p>
        </w:tc>
      </w:tr>
      <w:tr w:rsidR="00170C13" w:rsidTr="00B2194B" w14:paraId="4EB4535F" w14:textId="622694DE">
        <w:trPr>
          <w:trHeight w:val="202"/>
        </w:trPr>
        <w:tc>
          <w:tcPr>
            <w:cnfStyle w:val="001000000000" w:firstRow="0" w:lastRow="0" w:firstColumn="1" w:lastColumn="0" w:oddVBand="0" w:evenVBand="0" w:oddHBand="0" w:evenHBand="0" w:firstRowFirstColumn="0" w:firstRowLastColumn="0" w:lastRowFirstColumn="0" w:lastRowLastColumn="0"/>
            <w:tcW w:w="2268" w:type="dxa"/>
            <w:vAlign w:val="center"/>
          </w:tcPr>
          <w:p w:rsidR="00170C13" w:rsidP="002C5A9B" w:rsidRDefault="00170C13" w14:paraId="7586DD8C" w14:textId="125D74D0">
            <w:pPr>
              <w:rPr>
                <w:rFonts w:eastAsia="Times New Roman" w:cs="Calibri"/>
                <w:color w:val="000000"/>
                <w:szCs w:val="18"/>
              </w:rPr>
            </w:pPr>
            <w:proofErr w:type="spellStart"/>
            <w:r>
              <w:rPr>
                <w:rFonts w:eastAsia="Times New Roman" w:cs="Calibri"/>
                <w:color w:val="000000"/>
                <w:szCs w:val="18"/>
              </w:rPr>
              <w:t>Overshoot</w:t>
            </w:r>
            <w:proofErr w:type="spellEnd"/>
            <w:r>
              <w:rPr>
                <w:rFonts w:eastAsia="Times New Roman" w:cs="Calibri"/>
                <w:color w:val="000000"/>
                <w:szCs w:val="18"/>
              </w:rPr>
              <w:t xml:space="preserve">   bijmengverplichting (huidig wetsvoorstel)</w:t>
            </w:r>
          </w:p>
        </w:tc>
        <w:tc>
          <w:tcPr>
            <w:tcW w:w="1032" w:type="dxa"/>
            <w:vAlign w:val="center"/>
          </w:tcPr>
          <w:p w:rsidR="00170C13" w:rsidP="00197A06" w:rsidRDefault="00170C13" w14:paraId="51EE35D3"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vAlign w:val="center"/>
          </w:tcPr>
          <w:p w:rsidR="00170C13" w:rsidP="00197A06" w:rsidRDefault="00170C13" w14:paraId="3A93C422" w14:textId="2657080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11</w:t>
            </w:r>
          </w:p>
        </w:tc>
        <w:tc>
          <w:tcPr>
            <w:tcW w:w="1032" w:type="dxa"/>
            <w:vAlign w:val="center"/>
          </w:tcPr>
          <w:p w:rsidRPr="003F0E63" w:rsidR="00170C13" w:rsidP="00197A06" w:rsidRDefault="00170C13" w14:paraId="51D81615" w14:textId="6614136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18"/>
              </w:rPr>
            </w:pPr>
            <w:r w:rsidRPr="003F0E63">
              <w:rPr>
                <w:rFonts w:eastAsia="Times New Roman" w:cs="Calibri"/>
                <w:color w:val="000000" w:themeColor="text1"/>
                <w:szCs w:val="18"/>
              </w:rPr>
              <w:t>17</w:t>
            </w:r>
          </w:p>
        </w:tc>
        <w:tc>
          <w:tcPr>
            <w:tcW w:w="1032" w:type="dxa"/>
            <w:vAlign w:val="center"/>
          </w:tcPr>
          <w:p w:rsidRPr="003F0E63" w:rsidR="00170C13" w:rsidP="00197A06" w:rsidRDefault="00170C13" w14:paraId="69D3F347" w14:textId="4B2CA71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18"/>
              </w:rPr>
            </w:pPr>
            <w:r w:rsidRPr="003F0E63">
              <w:rPr>
                <w:rFonts w:eastAsia="Times New Roman" w:cs="Calibri"/>
                <w:color w:val="000000" w:themeColor="text1"/>
                <w:szCs w:val="18"/>
              </w:rPr>
              <w:t>28,3</w:t>
            </w:r>
          </w:p>
        </w:tc>
        <w:tc>
          <w:tcPr>
            <w:tcW w:w="1032" w:type="dxa"/>
            <w:vAlign w:val="center"/>
          </w:tcPr>
          <w:p w:rsidRPr="003F0E63" w:rsidR="00170C13" w:rsidP="00197A06" w:rsidRDefault="00170C13" w14:paraId="0328C7DC" w14:textId="5186E57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18"/>
              </w:rPr>
            </w:pPr>
            <w:r w:rsidRPr="003F0E63">
              <w:rPr>
                <w:rFonts w:eastAsia="Times New Roman" w:cs="Calibri"/>
                <w:color w:val="000000" w:themeColor="text1"/>
                <w:szCs w:val="18"/>
              </w:rPr>
              <w:t>45,3</w:t>
            </w:r>
          </w:p>
        </w:tc>
        <w:tc>
          <w:tcPr>
            <w:tcW w:w="1032" w:type="dxa"/>
            <w:vAlign w:val="center"/>
          </w:tcPr>
          <w:p w:rsidRPr="003F0E63" w:rsidR="00170C13" w:rsidP="00197A06" w:rsidRDefault="00170C13" w14:paraId="4E87E6F6" w14:textId="1D73684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18"/>
              </w:rPr>
            </w:pPr>
            <w:r w:rsidRPr="003F0E63">
              <w:rPr>
                <w:rFonts w:eastAsia="Times New Roman" w:cs="Calibri"/>
                <w:color w:val="000000" w:themeColor="text1"/>
                <w:szCs w:val="18"/>
              </w:rPr>
              <w:t>68</w:t>
            </w:r>
          </w:p>
        </w:tc>
        <w:tc>
          <w:tcPr>
            <w:tcW w:w="1033" w:type="dxa"/>
            <w:gridSpan w:val="2"/>
            <w:shd w:val="clear" w:color="auto" w:fill="FFFFFF" w:themeFill="background1"/>
            <w:vAlign w:val="center"/>
          </w:tcPr>
          <w:p w:rsidRPr="003F0E63" w:rsidR="00170C13" w:rsidP="00170C13" w:rsidRDefault="00B2194B" w14:paraId="7D29E256" w14:textId="7A51D5D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w:t>
            </w:r>
            <w:r w:rsidRPr="003F0E63" w:rsidR="00170C13">
              <w:rPr>
                <w:rFonts w:eastAsia="Times New Roman" w:cs="Calibri"/>
                <w:color w:val="000000" w:themeColor="text1"/>
                <w:szCs w:val="18"/>
              </w:rPr>
              <w:t>68</w:t>
            </w:r>
            <w:r>
              <w:rPr>
                <w:rFonts w:eastAsia="Times New Roman" w:cs="Calibri"/>
                <w:color w:val="000000" w:themeColor="text1"/>
                <w:szCs w:val="18"/>
              </w:rPr>
              <w:t>)</w:t>
            </w:r>
          </w:p>
        </w:tc>
      </w:tr>
      <w:tr w:rsidR="00170C13" w:rsidTr="00B2194B" w14:paraId="734AAC2B" w14:textId="4ADCE75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rsidR="00170C13" w:rsidP="001D47A9" w:rsidRDefault="00170C13" w14:paraId="02CB513E" w14:textId="4C53C87F">
            <w:pPr>
              <w:rPr>
                <w:rFonts w:eastAsia="Times New Roman" w:cs="Calibri"/>
                <w:color w:val="000000"/>
                <w:szCs w:val="18"/>
              </w:rPr>
            </w:pPr>
            <w:proofErr w:type="spellStart"/>
            <w:r>
              <w:rPr>
                <w:rFonts w:eastAsia="Times New Roman" w:cs="Calibri"/>
                <w:color w:val="000000"/>
                <w:szCs w:val="18"/>
              </w:rPr>
              <w:t>Overshoot</w:t>
            </w:r>
            <w:proofErr w:type="spellEnd"/>
            <w:r>
              <w:rPr>
                <w:rFonts w:eastAsia="Times New Roman" w:cs="Calibri"/>
                <w:color w:val="000000"/>
                <w:szCs w:val="18"/>
              </w:rPr>
              <w:t xml:space="preserve"> bijmengverplichting (1 jaar vertraging)</w:t>
            </w:r>
          </w:p>
        </w:tc>
        <w:tc>
          <w:tcPr>
            <w:tcW w:w="1032" w:type="dxa"/>
            <w:shd w:val="clear" w:color="auto" w:fill="FFFFFF" w:themeFill="background1"/>
            <w:vAlign w:val="center"/>
          </w:tcPr>
          <w:p w:rsidR="00170C13" w:rsidP="001D47A9" w:rsidRDefault="00170C13" w14:paraId="4CF8636E" w14:textId="5F89E1E1">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FFFFFF" w:themeFill="background1"/>
            <w:vAlign w:val="center"/>
          </w:tcPr>
          <w:p w:rsidR="00170C13" w:rsidP="001D47A9" w:rsidRDefault="00170C13" w14:paraId="700B5DBC" w14:textId="1F1BD4DE">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FFFFFF" w:themeFill="background1"/>
            <w:vAlign w:val="center"/>
          </w:tcPr>
          <w:p w:rsidRPr="00192CF4" w:rsidR="00170C13" w:rsidP="00192CF4" w:rsidRDefault="00170C13" w14:paraId="7F17DFEB" w14:textId="35FEE65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11</w:t>
            </w:r>
          </w:p>
        </w:tc>
        <w:tc>
          <w:tcPr>
            <w:tcW w:w="1032" w:type="dxa"/>
            <w:shd w:val="clear" w:color="auto" w:fill="FFFFFF" w:themeFill="background1"/>
            <w:vAlign w:val="center"/>
          </w:tcPr>
          <w:p w:rsidRPr="00192CF4" w:rsidR="00170C13" w:rsidP="00192CF4" w:rsidRDefault="00170C13" w14:paraId="51F6267E" w14:textId="7AD8754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17</w:t>
            </w:r>
          </w:p>
        </w:tc>
        <w:tc>
          <w:tcPr>
            <w:tcW w:w="1032" w:type="dxa"/>
            <w:shd w:val="clear" w:color="auto" w:fill="FFFFFF" w:themeFill="background1"/>
            <w:vAlign w:val="center"/>
          </w:tcPr>
          <w:p w:rsidRPr="00192CF4" w:rsidR="00170C13" w:rsidP="00192CF4" w:rsidRDefault="00170C13" w14:paraId="6B2F8DCE" w14:textId="2C07F9D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28,3</w:t>
            </w:r>
          </w:p>
        </w:tc>
        <w:tc>
          <w:tcPr>
            <w:tcW w:w="1032" w:type="dxa"/>
            <w:shd w:val="clear" w:color="auto" w:fill="FFFFFF" w:themeFill="background1"/>
            <w:vAlign w:val="center"/>
          </w:tcPr>
          <w:p w:rsidRPr="00192CF4" w:rsidR="00170C13" w:rsidP="00192CF4" w:rsidRDefault="00170C13" w14:paraId="1A601678" w14:textId="0F93399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45,3</w:t>
            </w:r>
          </w:p>
        </w:tc>
        <w:tc>
          <w:tcPr>
            <w:tcW w:w="1033" w:type="dxa"/>
            <w:gridSpan w:val="2"/>
            <w:shd w:val="clear" w:color="auto" w:fill="FFFFFF" w:themeFill="background1"/>
            <w:vAlign w:val="center"/>
          </w:tcPr>
          <w:p w:rsidR="00170C13" w:rsidP="00170C13" w:rsidRDefault="00B2194B" w14:paraId="17A3D63D" w14:textId="6B82E5A2">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w:t>
            </w:r>
            <w:r w:rsidR="00170C13">
              <w:rPr>
                <w:rFonts w:eastAsia="Times New Roman" w:cs="Calibri"/>
                <w:color w:val="000000" w:themeColor="text1"/>
                <w:szCs w:val="18"/>
              </w:rPr>
              <w:t>68</w:t>
            </w:r>
            <w:r>
              <w:rPr>
                <w:rFonts w:eastAsia="Times New Roman" w:cs="Calibri"/>
                <w:color w:val="000000" w:themeColor="text1"/>
                <w:szCs w:val="18"/>
              </w:rPr>
              <w:t>)</w:t>
            </w:r>
          </w:p>
        </w:tc>
      </w:tr>
      <w:tr w:rsidR="00170C13" w:rsidTr="00B2194B" w14:paraId="1D19877B" w14:textId="035EAFA4">
        <w:trPr>
          <w:trHeight w:val="202"/>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vAlign w:val="center"/>
          </w:tcPr>
          <w:p w:rsidR="00170C13" w:rsidP="001D47A9" w:rsidRDefault="00170C13" w14:paraId="12BBDEC4" w14:textId="628DDFF7">
            <w:pPr>
              <w:rPr>
                <w:rFonts w:eastAsia="Times New Roman" w:cs="Calibri"/>
                <w:color w:val="000000"/>
                <w:szCs w:val="18"/>
              </w:rPr>
            </w:pPr>
            <w:proofErr w:type="spellStart"/>
            <w:r>
              <w:rPr>
                <w:rFonts w:eastAsia="Times New Roman" w:cs="Calibri"/>
                <w:color w:val="000000"/>
                <w:szCs w:val="18"/>
              </w:rPr>
              <w:t>Overshoot</w:t>
            </w:r>
            <w:proofErr w:type="spellEnd"/>
            <w:r>
              <w:rPr>
                <w:rFonts w:eastAsia="Times New Roman" w:cs="Calibri"/>
                <w:color w:val="000000"/>
                <w:szCs w:val="18"/>
              </w:rPr>
              <w:t xml:space="preserve"> bijmengverplichting (1 jaar vertraging + 25% verlaging)</w:t>
            </w:r>
          </w:p>
        </w:tc>
        <w:tc>
          <w:tcPr>
            <w:tcW w:w="1032" w:type="dxa"/>
            <w:shd w:val="clear" w:color="auto" w:fill="FFFFFF" w:themeFill="background1"/>
            <w:vAlign w:val="center"/>
          </w:tcPr>
          <w:p w:rsidR="00170C13" w:rsidP="001D47A9" w:rsidRDefault="00170C13" w14:paraId="4C5DC378" w14:textId="0DB723C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FFFFFF" w:themeFill="background1"/>
            <w:vAlign w:val="center"/>
          </w:tcPr>
          <w:p w:rsidR="00170C13" w:rsidP="001D47A9" w:rsidRDefault="00170C13" w14:paraId="4420AA43" w14:textId="22966AD6">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FFFFFF" w:themeFill="background1"/>
            <w:vAlign w:val="center"/>
          </w:tcPr>
          <w:p w:rsidRPr="003F0E63" w:rsidR="00170C13" w:rsidP="00192CF4" w:rsidRDefault="00170C13" w14:paraId="343093BF" w14:textId="561DFD3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3F0E63">
              <w:rPr>
                <w:rFonts w:eastAsia="Times New Roman" w:cs="Calibri"/>
                <w:color w:val="FF0000"/>
                <w:szCs w:val="18"/>
              </w:rPr>
              <w:t>8,3</w:t>
            </w:r>
          </w:p>
        </w:tc>
        <w:tc>
          <w:tcPr>
            <w:tcW w:w="1032" w:type="dxa"/>
            <w:shd w:val="clear" w:color="auto" w:fill="FFFFFF" w:themeFill="background1"/>
            <w:vAlign w:val="center"/>
          </w:tcPr>
          <w:p w:rsidRPr="003F0E63" w:rsidR="00170C13" w:rsidP="00192CF4" w:rsidRDefault="00170C13" w14:paraId="46A0E432" w14:textId="456F594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3F0E63">
              <w:rPr>
                <w:rFonts w:eastAsia="Times New Roman" w:cs="Calibri"/>
                <w:color w:val="FF0000"/>
                <w:szCs w:val="18"/>
              </w:rPr>
              <w:t>12,8</w:t>
            </w:r>
          </w:p>
        </w:tc>
        <w:tc>
          <w:tcPr>
            <w:tcW w:w="1032" w:type="dxa"/>
            <w:shd w:val="clear" w:color="auto" w:fill="FFFFFF" w:themeFill="background1"/>
            <w:vAlign w:val="center"/>
          </w:tcPr>
          <w:p w:rsidRPr="003F0E63" w:rsidR="00170C13" w:rsidP="00192CF4" w:rsidRDefault="00170C13" w14:paraId="255F3BE4" w14:textId="3AAC8AA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3F0E63">
              <w:rPr>
                <w:rFonts w:eastAsia="Times New Roman" w:cs="Calibri"/>
                <w:color w:val="FF0000"/>
                <w:szCs w:val="18"/>
              </w:rPr>
              <w:t>21,2</w:t>
            </w:r>
          </w:p>
        </w:tc>
        <w:tc>
          <w:tcPr>
            <w:tcW w:w="1032" w:type="dxa"/>
            <w:shd w:val="clear" w:color="auto" w:fill="FFFFFF" w:themeFill="background1"/>
            <w:vAlign w:val="center"/>
          </w:tcPr>
          <w:p w:rsidRPr="003F0E63" w:rsidR="00170C13" w:rsidP="00192CF4" w:rsidRDefault="00170C13" w14:paraId="5189589E" w14:textId="40C01A3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3F0E63">
              <w:rPr>
                <w:rFonts w:eastAsia="Times New Roman" w:cs="Calibri"/>
                <w:color w:val="FF0000"/>
                <w:szCs w:val="18"/>
              </w:rPr>
              <w:t>34</w:t>
            </w:r>
          </w:p>
        </w:tc>
        <w:tc>
          <w:tcPr>
            <w:tcW w:w="1033" w:type="dxa"/>
            <w:gridSpan w:val="2"/>
            <w:shd w:val="clear" w:color="auto" w:fill="FFFFFF" w:themeFill="background1"/>
            <w:vAlign w:val="center"/>
          </w:tcPr>
          <w:p w:rsidRPr="003F0E63" w:rsidR="00170C13" w:rsidP="00170C13" w:rsidRDefault="00B2194B" w14:paraId="6284D302" w14:textId="652EC31C">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Pr>
                <w:rFonts w:eastAsia="Times New Roman" w:cs="Calibri"/>
                <w:color w:val="FF0000"/>
                <w:szCs w:val="18"/>
              </w:rPr>
              <w:t>(</w:t>
            </w:r>
            <w:r w:rsidRPr="003F0E63" w:rsidR="00170C13">
              <w:rPr>
                <w:rFonts w:eastAsia="Times New Roman" w:cs="Calibri"/>
                <w:color w:val="FF0000"/>
                <w:szCs w:val="18"/>
              </w:rPr>
              <w:t>51</w:t>
            </w:r>
            <w:r>
              <w:rPr>
                <w:rFonts w:eastAsia="Times New Roman" w:cs="Calibri"/>
                <w:color w:val="FF0000"/>
                <w:szCs w:val="18"/>
              </w:rPr>
              <w:t>)</w:t>
            </w:r>
          </w:p>
        </w:tc>
      </w:tr>
      <w:tr w:rsidR="00170C13" w:rsidTr="00B2194B" w14:paraId="394D969B" w14:textId="1C9FE8EB">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rsidR="00170C13" w:rsidP="001D47A9" w:rsidRDefault="00170C13" w14:paraId="76EF327C" w14:textId="17E28015">
            <w:pPr>
              <w:rPr>
                <w:rFonts w:eastAsia="Times New Roman" w:cs="Calibri"/>
                <w:color w:val="000000"/>
                <w:szCs w:val="18"/>
              </w:rPr>
            </w:pPr>
            <w:r>
              <w:rPr>
                <w:rFonts w:eastAsia="Times New Roman" w:cs="Calibri"/>
                <w:color w:val="000000"/>
                <w:szCs w:val="18"/>
              </w:rPr>
              <w:t>Extra ruimte kostencompensatie-regeling</w:t>
            </w:r>
          </w:p>
        </w:tc>
        <w:tc>
          <w:tcPr>
            <w:tcW w:w="1032" w:type="dxa"/>
            <w:shd w:val="clear" w:color="auto" w:fill="auto"/>
            <w:vAlign w:val="center"/>
          </w:tcPr>
          <w:p w:rsidR="00170C13" w:rsidP="001D47A9" w:rsidRDefault="00170C13" w14:paraId="5170AA1E"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auto"/>
            <w:vAlign w:val="center"/>
          </w:tcPr>
          <w:p w:rsidR="00170C13" w:rsidP="001D47A9" w:rsidRDefault="00170C13" w14:paraId="6A3B307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auto"/>
            <w:vAlign w:val="center"/>
          </w:tcPr>
          <w:p w:rsidRPr="00192CF4" w:rsidR="00170C13" w:rsidP="00192CF4" w:rsidRDefault="00170C13" w14:paraId="7BBF30D3" w14:textId="40DDE21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sidRPr="00192CF4">
              <w:rPr>
                <w:rFonts w:eastAsia="Times New Roman" w:cs="Calibri"/>
                <w:color w:val="000000" w:themeColor="text1"/>
                <w:szCs w:val="18"/>
              </w:rPr>
              <w:t>9,9</w:t>
            </w:r>
          </w:p>
        </w:tc>
        <w:tc>
          <w:tcPr>
            <w:tcW w:w="1032" w:type="dxa"/>
            <w:shd w:val="clear" w:color="auto" w:fill="auto"/>
            <w:vAlign w:val="center"/>
          </w:tcPr>
          <w:p w:rsidRPr="00192CF4" w:rsidR="00170C13" w:rsidP="00192CF4" w:rsidRDefault="00170C13" w14:paraId="70C1088F" w14:textId="11C832E4">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sidRPr="00192CF4">
              <w:rPr>
                <w:rFonts w:eastAsia="Times New Roman" w:cs="Calibri"/>
                <w:color w:val="000000" w:themeColor="text1"/>
                <w:szCs w:val="18"/>
              </w:rPr>
              <w:t>14,9</w:t>
            </w:r>
          </w:p>
        </w:tc>
        <w:tc>
          <w:tcPr>
            <w:tcW w:w="1032" w:type="dxa"/>
            <w:shd w:val="clear" w:color="auto" w:fill="auto"/>
            <w:vAlign w:val="center"/>
          </w:tcPr>
          <w:p w:rsidRPr="00192CF4" w:rsidR="00170C13" w:rsidP="00192CF4" w:rsidRDefault="00170C13" w14:paraId="3872442B" w14:textId="4D615E1A">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sidRPr="00192CF4">
              <w:rPr>
                <w:rFonts w:eastAsia="Times New Roman" w:cs="Calibri"/>
                <w:color w:val="000000" w:themeColor="text1"/>
                <w:szCs w:val="18"/>
              </w:rPr>
              <w:t>19,8</w:t>
            </w:r>
          </w:p>
        </w:tc>
        <w:tc>
          <w:tcPr>
            <w:tcW w:w="1032" w:type="dxa"/>
            <w:shd w:val="clear" w:color="auto" w:fill="FFFFFF" w:themeFill="background1"/>
            <w:vAlign w:val="center"/>
          </w:tcPr>
          <w:p w:rsidRPr="00192CF4" w:rsidR="00170C13" w:rsidP="00192CF4" w:rsidRDefault="00170C13" w14:paraId="12AE06F5" w14:textId="091084B5">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sidRPr="00192CF4">
              <w:rPr>
                <w:rFonts w:eastAsia="Times New Roman" w:cs="Calibri"/>
                <w:color w:val="000000" w:themeColor="text1"/>
                <w:szCs w:val="18"/>
              </w:rPr>
              <w:t>24,8</w:t>
            </w:r>
          </w:p>
        </w:tc>
        <w:tc>
          <w:tcPr>
            <w:tcW w:w="1033" w:type="dxa"/>
            <w:gridSpan w:val="2"/>
            <w:shd w:val="clear" w:color="auto" w:fill="FFFFFF" w:themeFill="background1"/>
            <w:vAlign w:val="center"/>
          </w:tcPr>
          <w:p w:rsidRPr="00192CF4" w:rsidR="00170C13" w:rsidP="00170C13" w:rsidRDefault="00B2194B" w14:paraId="3DB73625" w14:textId="6D47552A">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themeColor="text1"/>
                <w:szCs w:val="18"/>
              </w:rPr>
            </w:pPr>
            <w:r>
              <w:rPr>
                <w:rFonts w:eastAsia="Times New Roman" w:cs="Calibri"/>
                <w:color w:val="000000" w:themeColor="text1"/>
                <w:szCs w:val="18"/>
              </w:rPr>
              <w:t>(</w:t>
            </w:r>
            <w:r w:rsidR="00170C13">
              <w:rPr>
                <w:rFonts w:eastAsia="Times New Roman" w:cs="Calibri"/>
                <w:color w:val="000000" w:themeColor="text1"/>
                <w:szCs w:val="18"/>
              </w:rPr>
              <w:t>25,8</w:t>
            </w:r>
            <w:r>
              <w:rPr>
                <w:rFonts w:eastAsia="Times New Roman" w:cs="Calibri"/>
                <w:color w:val="000000" w:themeColor="text1"/>
                <w:szCs w:val="18"/>
              </w:rPr>
              <w:t>)</w:t>
            </w:r>
          </w:p>
        </w:tc>
      </w:tr>
      <w:tr w:rsidR="00170C13" w:rsidTr="00B2194B" w14:paraId="6BB42F15" w14:textId="38A4FAD0">
        <w:trPr>
          <w:trHeight w:val="202"/>
        </w:trPr>
        <w:tc>
          <w:tcPr>
            <w:cnfStyle w:val="001000000000" w:firstRow="0" w:lastRow="0" w:firstColumn="1" w:lastColumn="0" w:oddVBand="0" w:evenVBand="0" w:oddHBand="0" w:evenHBand="0" w:firstRowFirstColumn="0" w:firstRowLastColumn="0" w:lastRowFirstColumn="0" w:lastRowLastColumn="0"/>
            <w:tcW w:w="2268" w:type="dxa"/>
            <w:shd w:val="clear" w:color="auto" w:fill="auto"/>
            <w:vAlign w:val="center"/>
          </w:tcPr>
          <w:p w:rsidR="00170C13" w:rsidP="002C5A9B" w:rsidRDefault="00170C13" w14:paraId="70979B96" w14:textId="209AF939">
            <w:pPr>
              <w:rPr>
                <w:rFonts w:eastAsia="Times New Roman" w:cs="Calibri"/>
                <w:color w:val="000000"/>
                <w:szCs w:val="18"/>
              </w:rPr>
            </w:pPr>
            <w:proofErr w:type="spellStart"/>
            <w:r>
              <w:rPr>
                <w:rFonts w:eastAsia="Times New Roman" w:cs="Calibri"/>
                <w:color w:val="000000"/>
                <w:szCs w:val="18"/>
              </w:rPr>
              <w:t>Overshoot</w:t>
            </w:r>
            <w:proofErr w:type="spellEnd"/>
            <w:r>
              <w:rPr>
                <w:rFonts w:eastAsia="Times New Roman" w:cs="Calibri"/>
                <w:color w:val="000000"/>
                <w:szCs w:val="18"/>
              </w:rPr>
              <w:t xml:space="preserve"> na compensatie</w:t>
            </w:r>
          </w:p>
        </w:tc>
        <w:tc>
          <w:tcPr>
            <w:tcW w:w="1032" w:type="dxa"/>
            <w:shd w:val="clear" w:color="auto" w:fill="auto"/>
            <w:vAlign w:val="center"/>
          </w:tcPr>
          <w:p w:rsidR="00170C13" w:rsidP="00197A06" w:rsidRDefault="00170C13" w14:paraId="0338BD2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auto"/>
            <w:vAlign w:val="center"/>
          </w:tcPr>
          <w:p w:rsidR="00170C13" w:rsidP="00197A06" w:rsidRDefault="00170C13" w14:paraId="32BE78EF" w14:textId="7777777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r>
              <w:rPr>
                <w:rFonts w:eastAsia="Times New Roman" w:cs="Calibri"/>
                <w:color w:val="000000"/>
                <w:szCs w:val="18"/>
              </w:rPr>
              <w:t>0</w:t>
            </w:r>
          </w:p>
        </w:tc>
        <w:tc>
          <w:tcPr>
            <w:tcW w:w="1032" w:type="dxa"/>
            <w:shd w:val="clear" w:color="auto" w:fill="auto"/>
            <w:vAlign w:val="center"/>
          </w:tcPr>
          <w:p w:rsidRPr="000A5B10" w:rsidR="00170C13" w:rsidP="00197A06" w:rsidRDefault="00170C13" w14:paraId="50323FE4" w14:textId="73DCFFA3">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200EB9">
              <w:rPr>
                <w:rFonts w:eastAsia="Times New Roman" w:cs="Calibri"/>
                <w:color w:val="538135" w:themeColor="accent6" w:themeShade="BF"/>
                <w:szCs w:val="18"/>
              </w:rPr>
              <w:t>-1,7</w:t>
            </w:r>
          </w:p>
        </w:tc>
        <w:tc>
          <w:tcPr>
            <w:tcW w:w="1032" w:type="dxa"/>
            <w:shd w:val="clear" w:color="auto" w:fill="auto"/>
            <w:vAlign w:val="center"/>
          </w:tcPr>
          <w:p w:rsidRPr="000A5B10" w:rsidR="00170C13" w:rsidP="00197A06" w:rsidRDefault="00170C13" w14:paraId="32CA0138" w14:textId="66771861">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sidRPr="00200EB9">
              <w:rPr>
                <w:rFonts w:eastAsia="Times New Roman" w:cs="Calibri"/>
                <w:color w:val="538135" w:themeColor="accent6" w:themeShade="BF"/>
                <w:szCs w:val="18"/>
              </w:rPr>
              <w:t>-2,2</w:t>
            </w:r>
          </w:p>
        </w:tc>
        <w:tc>
          <w:tcPr>
            <w:tcW w:w="1032" w:type="dxa"/>
            <w:shd w:val="clear" w:color="auto" w:fill="auto"/>
            <w:vAlign w:val="center"/>
          </w:tcPr>
          <w:p w:rsidRPr="000A5B10" w:rsidR="00170C13" w:rsidP="00197A06" w:rsidRDefault="00170C13" w14:paraId="0A9D90B2" w14:textId="01EF2D97">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Pr>
                <w:rFonts w:eastAsia="Times New Roman" w:cs="Calibri"/>
                <w:color w:val="FF0000"/>
                <w:szCs w:val="18"/>
              </w:rPr>
              <w:t>1,4</w:t>
            </w:r>
          </w:p>
        </w:tc>
        <w:tc>
          <w:tcPr>
            <w:tcW w:w="1032" w:type="dxa"/>
            <w:shd w:val="clear" w:color="auto" w:fill="auto"/>
            <w:vAlign w:val="center"/>
          </w:tcPr>
          <w:p w:rsidRPr="000A5B10" w:rsidR="00170C13" w:rsidP="00192CF4" w:rsidRDefault="00170C13" w14:paraId="59C4BDDA" w14:textId="6192A5B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Pr>
                <w:rFonts w:eastAsia="Times New Roman" w:cs="Calibri"/>
                <w:color w:val="FF0000"/>
                <w:szCs w:val="18"/>
              </w:rPr>
              <w:t>9,2</w:t>
            </w:r>
          </w:p>
        </w:tc>
        <w:tc>
          <w:tcPr>
            <w:tcW w:w="1033" w:type="dxa"/>
            <w:gridSpan w:val="2"/>
            <w:shd w:val="clear" w:color="auto" w:fill="FFFFFF" w:themeFill="background1"/>
            <w:vAlign w:val="center"/>
          </w:tcPr>
          <w:p w:rsidRPr="000A5B10" w:rsidR="00170C13" w:rsidDel="00170C13" w:rsidP="00170C13" w:rsidRDefault="00B2194B" w14:paraId="2C36E172" w14:textId="2D33FD00">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FF0000"/>
                <w:szCs w:val="18"/>
              </w:rPr>
            </w:pPr>
            <w:r>
              <w:rPr>
                <w:rFonts w:eastAsia="Times New Roman" w:cs="Calibri"/>
                <w:color w:val="FF0000"/>
                <w:szCs w:val="18"/>
              </w:rPr>
              <w:t>(</w:t>
            </w:r>
            <w:r w:rsidR="00170C13">
              <w:rPr>
                <w:rFonts w:eastAsia="Times New Roman" w:cs="Calibri"/>
                <w:color w:val="FF0000"/>
                <w:szCs w:val="18"/>
              </w:rPr>
              <w:t>25,2</w:t>
            </w:r>
            <w:r>
              <w:rPr>
                <w:rFonts w:eastAsia="Times New Roman" w:cs="Calibri"/>
                <w:color w:val="FF0000"/>
                <w:szCs w:val="18"/>
              </w:rPr>
              <w:t>)</w:t>
            </w:r>
          </w:p>
        </w:tc>
      </w:tr>
      <w:bookmarkEnd w:id="2"/>
    </w:tbl>
    <w:p w:rsidRPr="00637067" w:rsidR="00727923" w:rsidP="00197A06" w:rsidRDefault="00727923" w14:paraId="39627E37" w14:textId="77777777">
      <w:pPr>
        <w:pStyle w:val="Geenafstand"/>
        <w:spacing w:line="276" w:lineRule="auto"/>
      </w:pPr>
    </w:p>
    <w:bookmarkEnd w:id="1"/>
    <w:p w:rsidR="003720ED" w:rsidRDefault="003429A4" w14:paraId="0FF6536C" w14:textId="0476E31D">
      <w:pPr>
        <w:pStyle w:val="Geenafstand"/>
        <w:numPr>
          <w:ilvl w:val="0"/>
          <w:numId w:val="9"/>
        </w:numPr>
        <w:spacing w:line="276" w:lineRule="auto"/>
      </w:pPr>
      <w:r>
        <w:t>Glastuinbouw Nederland heeft aangegeven de “</w:t>
      </w:r>
      <w:proofErr w:type="spellStart"/>
      <w:r>
        <w:t>overshoot</w:t>
      </w:r>
      <w:proofErr w:type="spellEnd"/>
      <w:r>
        <w:t>” van een bijmengverplichting niet te accepteren</w:t>
      </w:r>
      <w:r w:rsidR="00086166">
        <w:t xml:space="preserve">. Dit ook niet wanneer </w:t>
      </w:r>
      <w:r>
        <w:t>deze op bedrijfsniveau wordt gecompenseerd middels een (in hun ogen) onzekere kostencompensatieregeling.</w:t>
      </w:r>
      <w:r w:rsidR="00A35A23">
        <w:t xml:space="preserve"> Vertraagde inwerkingtreding van de bijmengverplichting zal </w:t>
      </w:r>
      <w:r w:rsidR="003F0E63">
        <w:t>bovendien</w:t>
      </w:r>
      <w:r w:rsidR="00A35A23">
        <w:t xml:space="preserve"> vragen oproepen over de compensatie na 2030.</w:t>
      </w:r>
    </w:p>
    <w:p w:rsidR="00DE1B7A" w:rsidP="00DE1B7A" w:rsidRDefault="00DE1B7A" w14:paraId="1523B33F" w14:textId="77FEBEAE">
      <w:pPr>
        <w:pStyle w:val="Geenafstand"/>
        <w:numPr>
          <w:ilvl w:val="0"/>
          <w:numId w:val="9"/>
        </w:numPr>
        <w:spacing w:line="276" w:lineRule="auto"/>
      </w:pPr>
      <w:r>
        <w:t>Om de “</w:t>
      </w:r>
      <w:proofErr w:type="spellStart"/>
      <w:r>
        <w:t>overshoot</w:t>
      </w:r>
      <w:proofErr w:type="spellEnd"/>
      <w:r>
        <w:t>” volledig te compenseren zal de energiebelasting verlaagd moeten worden</w:t>
      </w:r>
      <w:r w:rsidR="009915B0">
        <w:t>, bijvoorbeeld via aanpassing van het verlaagd tarief en/of de WKK-inputvrijstelling</w:t>
      </w:r>
      <w:r>
        <w:t xml:space="preserve">. Voor de glastuinbouw is de energiebelasting een minder direct compensatiemiddel (c.q. hogere budgettaire lasten), komen de mijlpalen van het Herstel- en Veerkrachtplan verder onder druk te staan (financieel risico 600 mln.) en blijft mogelijk een fossiele subsidie in tact. </w:t>
      </w:r>
    </w:p>
    <w:p w:rsidR="00DE1B7A" w:rsidRDefault="00DE1B7A" w14:paraId="7FC4811B" w14:textId="31A5F6CE">
      <w:pPr>
        <w:pStyle w:val="Geenafstand"/>
        <w:numPr>
          <w:ilvl w:val="0"/>
          <w:numId w:val="9"/>
        </w:numPr>
        <w:spacing w:line="276" w:lineRule="auto"/>
      </w:pPr>
      <w:r>
        <w:t>De bijmengverplichting groen gas zal ook in breder verband binnen het kabinet besproken worden. Compensatie van de glastuinbouw voor de bijmengverplichting kan niet in isolatie van de gebouwde omgeving worden gezien waar ook sprake is van een lastenverzwaring.</w:t>
      </w:r>
    </w:p>
    <w:p w:rsidR="00DA70D4" w:rsidRDefault="00333D18" w14:paraId="53C5DEA0" w14:textId="39F1793A">
      <w:pPr>
        <w:pStyle w:val="Geenafstand"/>
        <w:numPr>
          <w:ilvl w:val="0"/>
          <w:numId w:val="9"/>
        </w:numPr>
        <w:spacing w:line="276" w:lineRule="auto"/>
      </w:pPr>
      <w:r>
        <w:t xml:space="preserve">Mocht worden besloten om de bijmengverplichting van toepassing te verklaren op de glastuinbouw, dan moeten in breder verband varianten worden uitgewerkt en budgettaire consequenties </w:t>
      </w:r>
      <w:r w:rsidR="00FF0C05">
        <w:t>in beeld worden gebracht</w:t>
      </w:r>
      <w:r>
        <w:t>. Onderstaande tabel laat slechts de budgettaire consequenties zien bij gedeeltelijke compensatie via de kostencompensatieregeling.</w:t>
      </w:r>
    </w:p>
    <w:p w:rsidR="005E47AB" w:rsidP="004127A2" w:rsidRDefault="005E47AB" w14:paraId="4BF6269B" w14:textId="77777777">
      <w:pPr>
        <w:pStyle w:val="Lijstalinea"/>
        <w:spacing w:line="276" w:lineRule="auto"/>
        <w:ind w:left="360"/>
      </w:pPr>
    </w:p>
    <w:tbl>
      <w:tblPr>
        <w:tblStyle w:val="Rastertabel4-Accent5"/>
        <w:tblW w:w="9817" w:type="dxa"/>
        <w:tblLook w:val="04A0" w:firstRow="1" w:lastRow="0" w:firstColumn="1" w:lastColumn="0" w:noHBand="0" w:noVBand="1"/>
      </w:tblPr>
      <w:tblGrid>
        <w:gridCol w:w="3013"/>
        <w:gridCol w:w="1134"/>
        <w:gridCol w:w="1134"/>
        <w:gridCol w:w="1134"/>
        <w:gridCol w:w="1134"/>
        <w:gridCol w:w="1134"/>
        <w:gridCol w:w="1134"/>
      </w:tblGrid>
      <w:tr w:rsidR="005E47AB" w:rsidTr="5FA50F9D" w14:paraId="0A831CF6" w14:textId="77777777">
        <w:trPr>
          <w:cnfStyle w:val="100000000000" w:firstRow="1" w:lastRow="0" w:firstColumn="0" w:lastColumn="0" w:oddVBand="0" w:evenVBand="0" w:oddHBand="0"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9817" w:type="dxa"/>
            <w:gridSpan w:val="7"/>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002060"/>
            <w:vAlign w:val="center"/>
          </w:tcPr>
          <w:p w:rsidR="005E47AB" w:rsidP="004127A2" w:rsidRDefault="005E47AB" w14:paraId="3D33E273" w14:textId="23FC7B9C">
            <w:pPr>
              <w:rPr>
                <w:rFonts w:eastAsia="Times New Roman" w:cs="Calibri"/>
                <w:szCs w:val="18"/>
              </w:rPr>
            </w:pPr>
            <w:r>
              <w:rPr>
                <w:rFonts w:eastAsia="Times New Roman" w:cs="Calibri"/>
                <w:color w:val="FFFFFF"/>
                <w:szCs w:val="18"/>
              </w:rPr>
              <w:t xml:space="preserve">Verwachte budgettaire opbrengst bijmengverplichting en derving </w:t>
            </w:r>
            <w:r w:rsidR="00333D18">
              <w:rPr>
                <w:rFonts w:eastAsia="Times New Roman" w:cs="Calibri"/>
                <w:color w:val="FFFFFF"/>
                <w:szCs w:val="18"/>
              </w:rPr>
              <w:t>kostencompensatieregeling</w:t>
            </w:r>
            <w:r>
              <w:rPr>
                <w:rFonts w:eastAsia="Times New Roman" w:cs="Calibri"/>
                <w:color w:val="FFFFFF"/>
                <w:szCs w:val="18"/>
              </w:rPr>
              <w:t xml:space="preserve"> </w:t>
            </w:r>
          </w:p>
        </w:tc>
      </w:tr>
      <w:tr w:rsidR="005E47AB" w:rsidTr="5FA50F9D" w14:paraId="3EE9E348"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4127A2" w:rsidRDefault="005E47AB" w14:paraId="62FAD245" w14:textId="77777777">
            <w:pPr>
              <w:rPr>
                <w:rFonts w:eastAsia="Times New Roman" w:cs="Times New Roman"/>
                <w:szCs w:val="18"/>
              </w:rPr>
            </w:pP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4B619727"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2025</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79F0973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2026</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1DE545D0"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2027</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7FB3FEB8"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2028</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373FE7F5"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2029</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vAlign w:val="center"/>
          </w:tcPr>
          <w:p w:rsidR="005E47AB" w:rsidP="001D47A9" w:rsidRDefault="005E47AB" w14:paraId="29B27972" w14:textId="77777777">
            <w:pPr>
              <w:jc w:val="cente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Cs w:val="18"/>
              </w:rPr>
            </w:pPr>
            <w:r>
              <w:rPr>
                <w:rFonts w:eastAsia="Times New Roman" w:cs="Calibri"/>
                <w:b/>
                <w:bCs/>
                <w:color w:val="000000"/>
                <w:szCs w:val="18"/>
              </w:rPr>
              <w:t>2030</w:t>
            </w:r>
          </w:p>
        </w:tc>
      </w:tr>
      <w:tr w:rsidR="00E14830" w:rsidTr="5FA50F9D" w14:paraId="445209DB" w14:textId="77777777">
        <w:trPr>
          <w:trHeight w:val="202"/>
        </w:trPr>
        <w:tc>
          <w:tcPr>
            <w:cnfStyle w:val="001000000000" w:firstRow="0" w:lastRow="0" w:firstColumn="1" w:lastColumn="0" w:oddVBand="0" w:evenVBand="0" w:oddHBand="0" w:evenHBand="0" w:firstRowFirstColumn="0" w:firstRowLastColumn="0" w:lastRowFirstColumn="0" w:lastRowLastColumn="0"/>
            <w:tcW w:w="30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00E14830" w:rsidP="00E14830" w:rsidRDefault="00E14830" w14:paraId="0625C0A8" w14:textId="02FA0F9B">
            <w:pPr>
              <w:rPr>
                <w:rFonts w:eastAsia="Times New Roman" w:cs="Calibri"/>
                <w:color w:val="000000"/>
                <w:szCs w:val="18"/>
              </w:rPr>
            </w:pPr>
            <w:r>
              <w:rPr>
                <w:rFonts w:eastAsia="Times New Roman" w:cs="Calibri"/>
                <w:color w:val="000000"/>
                <w:szCs w:val="18"/>
              </w:rPr>
              <w:t>Saldo niveau 2</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E14830" w:rsidP="00E14830" w:rsidRDefault="00A86C52" w14:paraId="715CA380" w14:textId="4306D40E">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roofErr w:type="spellStart"/>
            <w:r>
              <w:rPr>
                <w:rFonts w:eastAsia="Times New Roman" w:cs="Calibri"/>
                <w:color w:val="000000"/>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E14830" w:rsidP="00E14830" w:rsidRDefault="00A86C52" w14:paraId="09F967BB" w14:textId="17F25A79">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roofErr w:type="spellStart"/>
            <w:r>
              <w:rPr>
                <w:rFonts w:eastAsia="Times New Roman" w:cs="Calibri"/>
                <w:color w:val="000000"/>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tcPr>
          <w:p w:rsidRPr="00330C57" w:rsidR="00E14830" w:rsidP="5FA50F9D" w:rsidRDefault="00E14830" w14:paraId="400D18B9" w14:textId="7435A037">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t>290</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tcPr>
          <w:p w:rsidRPr="00330C57" w:rsidR="00E14830" w:rsidP="5FA50F9D" w:rsidRDefault="00E14830" w14:paraId="517A35FE" w14:textId="4F3137B3">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t>146</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tcPr>
          <w:p w:rsidRPr="00330C57" w:rsidR="00E14830" w:rsidP="5FA50F9D" w:rsidRDefault="00E14830" w14:paraId="5876215F" w14:textId="67FA25D8">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t>125</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tcPr>
          <w:p w:rsidRPr="00330C57" w:rsidR="00E14830" w:rsidP="5FA50F9D" w:rsidRDefault="00E14830" w14:paraId="46EB1A05" w14:textId="20DAFBD7">
            <w:pPr>
              <w:jc w:val="center"/>
              <w:cnfStyle w:val="000000000000" w:firstRow="0" w:lastRow="0" w:firstColumn="0" w:lastColumn="0" w:oddVBand="0" w:evenVBand="0" w:oddHBand="0" w:evenHBand="0" w:firstRowFirstColumn="0" w:firstRowLastColumn="0" w:lastRowFirstColumn="0" w:lastRowLastColumn="0"/>
              <w:rPr>
                <w:rFonts w:eastAsia="Times New Roman" w:cs="Calibri"/>
              </w:rPr>
            </w:pPr>
            <w:r>
              <w:t>145</w:t>
            </w:r>
          </w:p>
        </w:tc>
      </w:tr>
      <w:tr w:rsidR="00712A69" w:rsidTr="5FA50F9D" w14:paraId="25D8EE6B" w14:textId="77777777">
        <w:trPr>
          <w:cnfStyle w:val="000000100000" w:firstRow="0" w:lastRow="0" w:firstColumn="0" w:lastColumn="0" w:oddVBand="0" w:evenVBand="0" w:oddHBand="1" w:evenHBand="0" w:firstRowFirstColumn="0" w:firstRowLastColumn="0" w:lastRowFirstColumn="0" w:lastRowLastColumn="0"/>
          <w:trHeight w:val="202"/>
        </w:trPr>
        <w:tc>
          <w:tcPr>
            <w:cnfStyle w:val="001000000000" w:firstRow="0" w:lastRow="0" w:firstColumn="1" w:lastColumn="0" w:oddVBand="0" w:evenVBand="0" w:oddHBand="0" w:evenHBand="0" w:firstRowFirstColumn="0" w:firstRowLastColumn="0" w:lastRowFirstColumn="0" w:lastRowLastColumn="0"/>
            <w:tcW w:w="30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00712A69" w:rsidP="00712A69" w:rsidRDefault="00712A69" w14:paraId="5CFECE66" w14:textId="77777777">
            <w:pPr>
              <w:rPr>
                <w:rFonts w:eastAsia="Times New Roman" w:cs="Calibri"/>
                <w:color w:val="000000"/>
                <w:szCs w:val="18"/>
              </w:rPr>
            </w:pPr>
            <w:r>
              <w:rPr>
                <w:rFonts w:eastAsia="Times New Roman" w:cs="Calibri"/>
                <w:color w:val="000000"/>
                <w:szCs w:val="18"/>
              </w:rPr>
              <w:t>Derving kostencompensatieregeling</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712A69" w:rsidP="00712A69" w:rsidRDefault="00A86C52" w14:paraId="364113DE" w14:textId="23147878">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000000"/>
                <w:szCs w:val="18"/>
              </w:rPr>
            </w:pPr>
            <w:proofErr w:type="spellStart"/>
            <w:r>
              <w:rPr>
                <w:rFonts w:eastAsia="Times New Roman" w:cs="Calibri"/>
                <w:color w:val="000000"/>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712A69" w:rsidP="00712A69" w:rsidRDefault="00A86C52" w14:paraId="79A40C4E" w14:textId="6FE6117C">
            <w:pPr>
              <w:jc w:val="center"/>
              <w:cnfStyle w:val="000000100000" w:firstRow="0" w:lastRow="0" w:firstColumn="0" w:lastColumn="0" w:oddVBand="0" w:evenVBand="0" w:oddHBand="1" w:evenHBand="0" w:firstRowFirstColumn="0" w:firstRowLastColumn="0" w:lastRowFirstColumn="0" w:lastRowLastColumn="0"/>
              <w:rPr>
                <w:rFonts w:eastAsia="Times New Roman" w:cs="Calibri"/>
                <w:color w:val="C00000"/>
                <w:szCs w:val="18"/>
              </w:rPr>
            </w:pPr>
            <w:proofErr w:type="spellStart"/>
            <w:r w:rsidRPr="00A86C52">
              <w:rPr>
                <w:rFonts w:eastAsia="Times New Roman" w:cs="Calibri"/>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330C57" w:rsidR="00712A69" w:rsidP="5FA50F9D" w:rsidRDefault="19499492" w14:paraId="2578F251" w14:textId="04B1294C">
            <w:pPr>
              <w:jc w:val="center"/>
              <w:cnfStyle w:val="000000100000" w:firstRow="0" w:lastRow="0" w:firstColumn="0" w:lastColumn="0" w:oddVBand="0" w:evenVBand="0" w:oddHBand="1" w:evenHBand="0" w:firstRowFirstColumn="0" w:firstRowLastColumn="0" w:lastRowFirstColumn="0" w:lastRowLastColumn="0"/>
            </w:pPr>
            <w:r>
              <w:t>-2</w:t>
            </w:r>
            <w:r w:rsidR="1B5944E8">
              <w:t>9</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670F23" w:rsidR="00712A69" w:rsidP="5FA50F9D" w:rsidRDefault="1B5944E8" w14:paraId="2BF4C925" w14:textId="1B89F7F7">
            <w:pPr>
              <w:jc w:val="center"/>
              <w:cnfStyle w:val="000000100000" w:firstRow="0" w:lastRow="0" w:firstColumn="0" w:lastColumn="0" w:oddVBand="0" w:evenVBand="0" w:oddHBand="1" w:evenHBand="0" w:firstRowFirstColumn="0" w:firstRowLastColumn="0" w:lastRowFirstColumn="0" w:lastRowLastColumn="0"/>
            </w:pPr>
            <w:r>
              <w:t>-53</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670F23" w:rsidR="00712A69" w:rsidP="5FA50F9D" w:rsidRDefault="1B5944E8" w14:paraId="68D5615D" w14:textId="51792F04">
            <w:pPr>
              <w:jc w:val="center"/>
              <w:cnfStyle w:val="000000100000" w:firstRow="0" w:lastRow="0" w:firstColumn="0" w:lastColumn="0" w:oddVBand="0" w:evenVBand="0" w:oddHBand="1" w:evenHBand="0" w:firstRowFirstColumn="0" w:firstRowLastColumn="0" w:lastRowFirstColumn="0" w:lastRowLastColumn="0"/>
            </w:pPr>
            <w:r>
              <w:t>-89</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auto"/>
            <w:vAlign w:val="center"/>
          </w:tcPr>
          <w:p w:rsidRPr="00330C57" w:rsidR="00712A69" w:rsidP="5FA50F9D" w:rsidRDefault="00E14830" w14:paraId="5D050D37" w14:textId="16FA90C8">
            <w:pPr>
              <w:jc w:val="center"/>
              <w:cnfStyle w:val="000000100000" w:firstRow="0" w:lastRow="0" w:firstColumn="0" w:lastColumn="0" w:oddVBand="0" w:evenVBand="0" w:oddHBand="1" w:evenHBand="0" w:firstRowFirstColumn="0" w:firstRowLastColumn="0" w:lastRowFirstColumn="0" w:lastRowLastColumn="0"/>
            </w:pPr>
            <w:r>
              <w:t>-</w:t>
            </w:r>
            <w:r w:rsidR="1B5944E8">
              <w:t>146</w:t>
            </w:r>
          </w:p>
        </w:tc>
      </w:tr>
      <w:tr w:rsidR="00B87B97" w:rsidTr="5FA50F9D" w14:paraId="0860D713" w14:textId="77777777">
        <w:trPr>
          <w:trHeight w:val="202"/>
        </w:trPr>
        <w:tc>
          <w:tcPr>
            <w:cnfStyle w:val="001000000000" w:firstRow="0" w:lastRow="0" w:firstColumn="1" w:lastColumn="0" w:oddVBand="0" w:evenVBand="0" w:oddHBand="0" w:evenHBand="0" w:firstRowFirstColumn="0" w:firstRowLastColumn="0" w:lastRowFirstColumn="0" w:lastRowLastColumn="0"/>
            <w:tcW w:w="3013"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00B87B97" w:rsidP="004127A2" w:rsidRDefault="00B87B97" w14:paraId="0E3F46E1" w14:textId="3C0C35B0">
            <w:pPr>
              <w:rPr>
                <w:rFonts w:eastAsia="Times New Roman" w:cs="Calibri"/>
                <w:color w:val="000000"/>
                <w:szCs w:val="18"/>
              </w:rPr>
            </w:pPr>
            <w:r>
              <w:rPr>
                <w:rFonts w:eastAsia="Times New Roman" w:cs="Calibri"/>
                <w:color w:val="000000"/>
                <w:szCs w:val="18"/>
              </w:rPr>
              <w:t>Saldo niveau 3</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B87B97" w:rsidP="001D47A9" w:rsidRDefault="00A86C52" w14:paraId="2C8EEE92" w14:textId="11ED650F">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roofErr w:type="spellStart"/>
            <w:r>
              <w:rPr>
                <w:rFonts w:eastAsia="Times New Roman" w:cs="Calibri"/>
                <w:color w:val="000000"/>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4127A2" w:rsidR="00B87B97" w:rsidP="001D47A9" w:rsidRDefault="00A86C52" w14:paraId="02631FCC" w14:textId="49E660FB">
            <w:pPr>
              <w:jc w:val="center"/>
              <w:cnfStyle w:val="000000000000" w:firstRow="0" w:lastRow="0" w:firstColumn="0" w:lastColumn="0" w:oddVBand="0" w:evenVBand="0" w:oddHBand="0" w:evenHBand="0" w:firstRowFirstColumn="0" w:firstRowLastColumn="0" w:lastRowFirstColumn="0" w:lastRowLastColumn="0"/>
              <w:rPr>
                <w:rFonts w:eastAsia="Times New Roman" w:cs="Calibri"/>
                <w:color w:val="000000"/>
                <w:szCs w:val="18"/>
              </w:rPr>
            </w:pPr>
            <w:proofErr w:type="spellStart"/>
            <w:r>
              <w:rPr>
                <w:rFonts w:eastAsia="Times New Roman" w:cs="Calibri"/>
                <w:color w:val="000000"/>
                <w:szCs w:val="18"/>
              </w:rPr>
              <w:t>Nvt</w:t>
            </w:r>
            <w:proofErr w:type="spellEnd"/>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330C57" w:rsidR="00B87B97" w:rsidP="5FA50F9D" w:rsidRDefault="00E14830" w14:paraId="2FC796E6" w14:textId="6FAEF3DD">
            <w:pPr>
              <w:jc w:val="center"/>
              <w:cnfStyle w:val="000000000000" w:firstRow="0" w:lastRow="0" w:firstColumn="0" w:lastColumn="0" w:oddVBand="0" w:evenVBand="0" w:oddHBand="0" w:evenHBand="0" w:firstRowFirstColumn="0" w:firstRowLastColumn="0" w:lastRowFirstColumn="0" w:lastRowLastColumn="0"/>
            </w:pPr>
            <w:r>
              <w:t>26</w:t>
            </w:r>
            <w:r w:rsidR="739F8CE4">
              <w:t>1</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330C57" w:rsidR="00B87B97" w:rsidP="5FA50F9D" w:rsidRDefault="739F8CE4" w14:paraId="16F4BB78" w14:textId="25CE511C">
            <w:pPr>
              <w:jc w:val="center"/>
              <w:cnfStyle w:val="000000000000" w:firstRow="0" w:lastRow="0" w:firstColumn="0" w:lastColumn="0" w:oddVBand="0" w:evenVBand="0" w:oddHBand="0" w:evenHBand="0" w:firstRowFirstColumn="0" w:firstRowLastColumn="0" w:lastRowFirstColumn="0" w:lastRowLastColumn="0"/>
            </w:pPr>
            <w:r>
              <w:t>93</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330C57" w:rsidR="00B87B97" w:rsidP="5FA50F9D" w:rsidRDefault="739F8CE4" w14:paraId="45C8A0C4" w14:textId="770A6155">
            <w:pPr>
              <w:jc w:val="center"/>
              <w:cnfStyle w:val="000000000000" w:firstRow="0" w:lastRow="0" w:firstColumn="0" w:lastColumn="0" w:oddVBand="0" w:evenVBand="0" w:oddHBand="0" w:evenHBand="0" w:firstRowFirstColumn="0" w:firstRowLastColumn="0" w:lastRowFirstColumn="0" w:lastRowLastColumn="0"/>
            </w:pPr>
            <w:r>
              <w:t>36</w:t>
            </w:r>
          </w:p>
        </w:tc>
        <w:tc>
          <w:tcPr>
            <w:tcW w:w="1134" w:type="dxa"/>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auto" w:fill="FFFFFF" w:themeFill="background1"/>
            <w:vAlign w:val="center"/>
          </w:tcPr>
          <w:p w:rsidRPr="00330C57" w:rsidR="00B87B97" w:rsidP="5FA50F9D" w:rsidRDefault="739F8CE4" w14:paraId="3CCC658E" w14:textId="41B711EE">
            <w:pPr>
              <w:jc w:val="center"/>
              <w:cnfStyle w:val="000000000000" w:firstRow="0" w:lastRow="0" w:firstColumn="0" w:lastColumn="0" w:oddVBand="0" w:evenVBand="0" w:oddHBand="0" w:evenHBand="0" w:firstRowFirstColumn="0" w:firstRowLastColumn="0" w:lastRowFirstColumn="0" w:lastRowLastColumn="0"/>
            </w:pPr>
            <w:r>
              <w:t>-1</w:t>
            </w:r>
          </w:p>
        </w:tc>
      </w:tr>
      <w:tr w:rsidR="00B87B97" w:rsidTr="5FA50F9D" w14:paraId="3A94E2AD" w14:textId="77777777">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817" w:type="dxa"/>
            <w:gridSpan w:val="7"/>
            <w:tcBorders>
              <w:top w:val="single" w:color="5B9BD5" w:themeColor="accent1" w:sz="4" w:space="0"/>
            </w:tcBorders>
            <w:shd w:val="clear" w:color="auto" w:fill="FFFFFF" w:themeFill="background1"/>
            <w:vAlign w:val="center"/>
          </w:tcPr>
          <w:p w:rsidR="00B87B97" w:rsidP="004127A2" w:rsidRDefault="00B87B97" w14:paraId="0627A941" w14:textId="77777777">
            <w:pPr>
              <w:rPr>
                <w:b w:val="0"/>
                <w:bCs w:val="0"/>
                <w:i/>
                <w:iCs/>
              </w:rPr>
            </w:pPr>
            <w:r>
              <w:rPr>
                <w:b w:val="0"/>
                <w:bCs w:val="0"/>
                <w:i/>
                <w:iCs/>
                <w:szCs w:val="18"/>
              </w:rPr>
              <w:t>* Zoals momenteel ingeboekt in het inkomstenkader</w:t>
            </w:r>
          </w:p>
        </w:tc>
      </w:tr>
    </w:tbl>
    <w:p w:rsidR="00122C19" w:rsidP="004127A2" w:rsidRDefault="00122C19" w14:paraId="4DB43DA8" w14:textId="41A7E684">
      <w:pPr>
        <w:spacing w:line="276" w:lineRule="auto"/>
      </w:pPr>
    </w:p>
    <w:p w:rsidR="009915B0" w:rsidRDefault="009915B0" w14:paraId="4F52F5E0" w14:textId="77777777">
      <w:pPr>
        <w:rPr>
          <w:b/>
          <w:bCs/>
          <w:szCs w:val="18"/>
        </w:rPr>
      </w:pPr>
      <w:r>
        <w:rPr>
          <w:b/>
          <w:bCs/>
          <w:szCs w:val="18"/>
        </w:rPr>
        <w:br w:type="page"/>
      </w:r>
    </w:p>
    <w:p w:rsidR="00122C19" w:rsidRDefault="002F51FD" w14:paraId="315E677B" w14:textId="02E61226">
      <w:pPr>
        <w:pStyle w:val="Geenafstand"/>
        <w:spacing w:line="276" w:lineRule="auto"/>
        <w:rPr>
          <w:b/>
          <w:bCs/>
        </w:rPr>
      </w:pPr>
      <w:r>
        <w:rPr>
          <w:b/>
          <w:bCs/>
          <w:szCs w:val="18"/>
        </w:rPr>
        <w:t xml:space="preserve">Randvoorwaarden op orde </w:t>
      </w:r>
    </w:p>
    <w:p w:rsidR="00122C19" w:rsidRDefault="002F51FD" w14:paraId="0DB4AA16" w14:textId="20BC21C0">
      <w:pPr>
        <w:pStyle w:val="Geenafstand"/>
        <w:numPr>
          <w:ilvl w:val="0"/>
          <w:numId w:val="9"/>
        </w:numPr>
        <w:spacing w:line="276" w:lineRule="auto"/>
        <w:contextualSpacing/>
        <w:rPr>
          <w:rFonts w:cs="Calibri"/>
          <w:szCs w:val="18"/>
        </w:rPr>
      </w:pPr>
      <w:r>
        <w:rPr>
          <w:rFonts w:cs="Calibri"/>
          <w:szCs w:val="18"/>
        </w:rPr>
        <w:t xml:space="preserve">Om </w:t>
      </w:r>
      <w:proofErr w:type="spellStart"/>
      <w:r>
        <w:rPr>
          <w:rFonts w:cs="Calibri"/>
          <w:szCs w:val="18"/>
        </w:rPr>
        <w:t>beprijzing</w:t>
      </w:r>
      <w:proofErr w:type="spellEnd"/>
      <w:r>
        <w:rPr>
          <w:rFonts w:cs="Calibri"/>
          <w:szCs w:val="18"/>
        </w:rPr>
        <w:t xml:space="preserve"> met als doel CO2</w:t>
      </w:r>
      <w:r w:rsidR="00D105C1">
        <w:rPr>
          <w:rFonts w:cs="Calibri"/>
          <w:szCs w:val="18"/>
        </w:rPr>
        <w:t>-</w:t>
      </w:r>
      <w:r>
        <w:rPr>
          <w:rFonts w:cs="Calibri"/>
          <w:szCs w:val="18"/>
        </w:rPr>
        <w:t>reductie, te laten werken is het noodzakelijk dat er voldoende  handelingsperspectief is voor individuele ondernemers. Belangrijke randvoorwaarden voor handelingsperspectief: de toegang tot betaalbare elektriciteit, warmte en extern geleverde CO2 als meststof voor de teelt.</w:t>
      </w:r>
    </w:p>
    <w:p w:rsidR="00122C19" w:rsidRDefault="002F51FD" w14:paraId="66EDBDA5" w14:textId="3797FC97">
      <w:pPr>
        <w:pStyle w:val="Geenafstand"/>
        <w:numPr>
          <w:ilvl w:val="0"/>
          <w:numId w:val="9"/>
        </w:numPr>
        <w:spacing w:line="276" w:lineRule="auto"/>
        <w:contextualSpacing/>
        <w:rPr>
          <w:rFonts w:cs="Calibri"/>
          <w:szCs w:val="18"/>
        </w:rPr>
      </w:pPr>
      <w:r>
        <w:rPr>
          <w:rFonts w:cs="Calibri"/>
          <w:szCs w:val="18"/>
        </w:rPr>
        <w:t xml:space="preserve">De komende twee jaar wordt verder gewerkt aan het verder op orde brengen van de randvoorwaarden, waarbij ook wordt bezien hoe het handelingsperspectief gemonitord en meetbaar gemaakt kan worden. </w:t>
      </w:r>
      <w:r w:rsidR="00D105C1">
        <w:rPr>
          <w:rFonts w:cs="Calibri"/>
          <w:szCs w:val="18"/>
        </w:rPr>
        <w:t xml:space="preserve">Hiertoe worden actieplannen uitgewerkt </w:t>
      </w:r>
      <w:r>
        <w:rPr>
          <w:rFonts w:cs="Calibri"/>
          <w:szCs w:val="18"/>
        </w:rPr>
        <w:t>langs de volgende sporen:</w:t>
      </w:r>
    </w:p>
    <w:p w:rsidR="00122C19" w:rsidRDefault="002F51FD" w14:paraId="499150DC" w14:textId="5DAE5352">
      <w:pPr>
        <w:pStyle w:val="Geenafstand"/>
        <w:numPr>
          <w:ilvl w:val="1"/>
          <w:numId w:val="9"/>
        </w:numPr>
        <w:spacing w:line="276" w:lineRule="auto"/>
        <w:contextualSpacing/>
        <w:rPr>
          <w:rFonts w:cs="Calibri"/>
          <w:szCs w:val="18"/>
        </w:rPr>
      </w:pPr>
      <w:r>
        <w:rPr>
          <w:rFonts w:cs="Calibri"/>
          <w:szCs w:val="18"/>
          <w:u w:val="single"/>
        </w:rPr>
        <w:t>Toegang tot betaalbare elektriciteit</w:t>
      </w:r>
      <w:r w:rsidR="00D105C1">
        <w:rPr>
          <w:rFonts w:cs="Calibri"/>
          <w:szCs w:val="18"/>
          <w:u w:val="single"/>
        </w:rPr>
        <w:t xml:space="preserve"> o.a.</w:t>
      </w:r>
      <w:r>
        <w:rPr>
          <w:rFonts w:cs="Calibri"/>
          <w:szCs w:val="18"/>
          <w:u w:val="single"/>
        </w:rPr>
        <w:t>:</w:t>
      </w:r>
    </w:p>
    <w:p w:rsidR="00122C19" w:rsidRDefault="002F51FD" w14:paraId="66D7F3AB" w14:textId="77777777">
      <w:pPr>
        <w:pStyle w:val="Geenafstand"/>
        <w:numPr>
          <w:ilvl w:val="2"/>
          <w:numId w:val="9"/>
        </w:numPr>
        <w:spacing w:line="276" w:lineRule="auto"/>
        <w:contextualSpacing/>
        <w:rPr>
          <w:rFonts w:cs="Calibri"/>
          <w:szCs w:val="18"/>
        </w:rPr>
      </w:pPr>
      <w:r>
        <w:rPr>
          <w:rFonts w:cs="Calibri"/>
          <w:szCs w:val="18"/>
        </w:rPr>
        <w:t>Er wordt werk gemaakt van een sectordeal netcongestie. Onderdeel hiervan is of de glastuinbouw kan optreden als congestieverzachter, in ruil voor extra netcapaciteit. Dit project is reeds gestart en wordt procesmatig getrokken door KGG en inhoudelijk getrokken door GTB NL, VNO NCW en LVVN. Mocht extra inzet van WKK nodig zijn voor het verminderen van netcongestie om verduurzaming van andere sectoren mogelijk te maken, dan vraagt dat om een oplossing te vinden voor de extra CO2-emissie die dat op zou leveren.</w:t>
      </w:r>
    </w:p>
    <w:p w:rsidR="00122C19" w:rsidRDefault="002F51FD" w14:paraId="05ABC89B" w14:textId="77777777">
      <w:pPr>
        <w:pStyle w:val="Geenafstand"/>
        <w:numPr>
          <w:ilvl w:val="2"/>
          <w:numId w:val="9"/>
        </w:numPr>
        <w:spacing w:line="276" w:lineRule="auto"/>
        <w:contextualSpacing/>
        <w:rPr>
          <w:rFonts w:cs="Calibri"/>
          <w:szCs w:val="18"/>
        </w:rPr>
      </w:pPr>
      <w:r>
        <w:rPr>
          <w:rFonts w:cs="Calibri"/>
          <w:szCs w:val="18"/>
        </w:rPr>
        <w:t>Versnellen uitrol energiehubs. Vraagt inzet van meerdere partijen, kennisverspreiding, procesondersteuning en mogelijk subsidie voor energie-infra voor energiehubs.</w:t>
      </w:r>
    </w:p>
    <w:p w:rsidR="00122C19" w:rsidRDefault="002F51FD" w14:paraId="2A3BA1D9" w14:textId="49F607DE">
      <w:pPr>
        <w:pStyle w:val="Geenafstand"/>
        <w:numPr>
          <w:ilvl w:val="1"/>
          <w:numId w:val="9"/>
        </w:numPr>
        <w:spacing w:line="276" w:lineRule="auto"/>
        <w:contextualSpacing/>
        <w:rPr>
          <w:rFonts w:cs="Calibri"/>
          <w:szCs w:val="18"/>
        </w:rPr>
      </w:pPr>
      <w:r>
        <w:rPr>
          <w:rFonts w:cs="Calibri"/>
          <w:szCs w:val="18"/>
          <w:u w:val="single"/>
        </w:rPr>
        <w:t>Toegang tot betaalbare externe CO2</w:t>
      </w:r>
      <w:r w:rsidR="00D105C1">
        <w:rPr>
          <w:rFonts w:cs="Calibri"/>
          <w:szCs w:val="18"/>
          <w:u w:val="single"/>
        </w:rPr>
        <w:t xml:space="preserve"> o.a.</w:t>
      </w:r>
      <w:r>
        <w:rPr>
          <w:rFonts w:cs="Calibri"/>
          <w:szCs w:val="18"/>
          <w:u w:val="single"/>
        </w:rPr>
        <w:t>: E</w:t>
      </w:r>
      <w:r>
        <w:rPr>
          <w:rFonts w:cs="Calibri"/>
          <w:szCs w:val="18"/>
        </w:rPr>
        <w:t>xtra inzet/versnelling op lokale afvang van CO2 bij clusters (DAC, biomassa, bio-</w:t>
      </w:r>
      <w:proofErr w:type="spellStart"/>
      <w:r>
        <w:rPr>
          <w:rFonts w:cs="Calibri"/>
          <w:szCs w:val="18"/>
        </w:rPr>
        <w:t>wkk</w:t>
      </w:r>
      <w:proofErr w:type="spellEnd"/>
      <w:r>
        <w:rPr>
          <w:rFonts w:cs="Calibri"/>
          <w:szCs w:val="18"/>
        </w:rPr>
        <w:t>) aan de hand van bevindingen van studie CE Delft.</w:t>
      </w:r>
    </w:p>
    <w:p w:rsidR="00122C19" w:rsidRDefault="002F51FD" w14:paraId="4CBCDCDF" w14:textId="5BBC9000">
      <w:pPr>
        <w:pStyle w:val="Geenafstand"/>
        <w:numPr>
          <w:ilvl w:val="1"/>
          <w:numId w:val="9"/>
        </w:numPr>
        <w:spacing w:line="276" w:lineRule="auto"/>
        <w:contextualSpacing/>
        <w:rPr>
          <w:rFonts w:cs="Calibri"/>
          <w:szCs w:val="18"/>
        </w:rPr>
      </w:pPr>
      <w:r>
        <w:rPr>
          <w:rFonts w:cs="Calibri"/>
          <w:szCs w:val="18"/>
          <w:u w:val="single"/>
        </w:rPr>
        <w:t>Toegang tot warmte</w:t>
      </w:r>
      <w:r w:rsidR="00D105C1">
        <w:rPr>
          <w:rFonts w:cs="Calibri"/>
          <w:szCs w:val="18"/>
          <w:u w:val="single"/>
        </w:rPr>
        <w:t xml:space="preserve"> o.a.</w:t>
      </w:r>
      <w:r>
        <w:rPr>
          <w:rFonts w:cs="Calibri"/>
          <w:szCs w:val="18"/>
          <w:u w:val="single"/>
        </w:rPr>
        <w:t>:</w:t>
      </w:r>
    </w:p>
    <w:p w:rsidR="00122C19" w:rsidRDefault="002F51FD" w14:paraId="04722517" w14:textId="77777777">
      <w:pPr>
        <w:pStyle w:val="Geenafstand"/>
        <w:numPr>
          <w:ilvl w:val="2"/>
          <w:numId w:val="9"/>
        </w:numPr>
        <w:spacing w:line="276" w:lineRule="auto"/>
        <w:contextualSpacing/>
        <w:rPr>
          <w:rFonts w:cs="Calibri"/>
          <w:szCs w:val="18"/>
        </w:rPr>
      </w:pPr>
      <w:r>
        <w:rPr>
          <w:rFonts w:cs="Calibri"/>
          <w:szCs w:val="18"/>
        </w:rPr>
        <w:t xml:space="preserve">Verbeteren randvoorwaarden geothermie </w:t>
      </w:r>
      <w:proofErr w:type="spellStart"/>
      <w:r>
        <w:rPr>
          <w:rFonts w:cs="Calibri"/>
          <w:szCs w:val="18"/>
        </w:rPr>
        <w:t>oa</w:t>
      </w:r>
      <w:proofErr w:type="spellEnd"/>
      <w:r>
        <w:rPr>
          <w:rFonts w:cs="Calibri"/>
          <w:szCs w:val="18"/>
        </w:rPr>
        <w:t xml:space="preserve"> versnellen vergunningprocedures (analyse en extra verleningscapaciteit), verminderen risico’s (analyse).</w:t>
      </w:r>
    </w:p>
    <w:p w:rsidR="00122C19" w:rsidRDefault="002F51FD" w14:paraId="2A05A12C" w14:textId="77777777">
      <w:pPr>
        <w:pStyle w:val="Geenafstand"/>
        <w:numPr>
          <w:ilvl w:val="2"/>
          <w:numId w:val="9"/>
        </w:numPr>
        <w:spacing w:line="276" w:lineRule="auto"/>
        <w:contextualSpacing/>
        <w:rPr>
          <w:rFonts w:cs="Calibri"/>
          <w:szCs w:val="18"/>
        </w:rPr>
      </w:pPr>
      <w:r>
        <w:rPr>
          <w:rFonts w:cs="Calibri"/>
          <w:szCs w:val="18"/>
        </w:rPr>
        <w:t xml:space="preserve">Ondiepe geothermie stimuleren door versoepelen vergunningseisen, hetgeen mogelijk is door lager risicoprofiel. </w:t>
      </w:r>
    </w:p>
    <w:p w:rsidR="00122C19" w:rsidRDefault="002F51FD" w14:paraId="18735007" w14:textId="6E543AC0">
      <w:pPr>
        <w:pStyle w:val="Geenafstand"/>
        <w:numPr>
          <w:ilvl w:val="1"/>
          <w:numId w:val="9"/>
        </w:numPr>
        <w:spacing w:line="276" w:lineRule="auto"/>
        <w:contextualSpacing/>
        <w:rPr>
          <w:rFonts w:cs="Calibri"/>
          <w:szCs w:val="18"/>
        </w:rPr>
      </w:pPr>
      <w:r>
        <w:rPr>
          <w:rFonts w:cs="Calibri"/>
          <w:szCs w:val="18"/>
          <w:u w:val="single"/>
        </w:rPr>
        <w:t xml:space="preserve">Gebiedsaanpak: </w:t>
      </w:r>
      <w:r>
        <w:rPr>
          <w:rFonts w:cs="Calibri"/>
          <w:szCs w:val="18"/>
        </w:rPr>
        <w:t xml:space="preserve">Vervolgaanpak uitbreiden van de ondersteuning op het gebied van collectieve warmte naar ook de collectieve voorzieningen rond elektriciteit en CO2. Vraagt budget van Kas als Energiebron vanuit GTB NL en LVVN, daarnaast van provincies, in combinatie met budget voor </w:t>
      </w:r>
      <w:proofErr w:type="spellStart"/>
      <w:r>
        <w:rPr>
          <w:rFonts w:cs="Calibri"/>
          <w:szCs w:val="18"/>
        </w:rPr>
        <w:t>hubregisseurs</w:t>
      </w:r>
      <w:proofErr w:type="spellEnd"/>
      <w:r>
        <w:rPr>
          <w:rFonts w:cs="Calibri"/>
          <w:szCs w:val="18"/>
        </w:rPr>
        <w:t xml:space="preserve"> (regeling KGG).</w:t>
      </w:r>
    </w:p>
    <w:p w:rsidR="00122C19" w:rsidP="004127A2" w:rsidRDefault="00122C19" w14:paraId="1AD1D1BF" w14:textId="47EF440B">
      <w:pPr>
        <w:pStyle w:val="Geenafstand"/>
        <w:spacing w:line="276" w:lineRule="auto"/>
        <w:ind w:left="360"/>
        <w:contextualSpacing/>
        <w:rPr>
          <w:rFonts w:cs="Calibri"/>
          <w:szCs w:val="18"/>
        </w:rPr>
      </w:pPr>
    </w:p>
    <w:p w:rsidR="00122C19" w:rsidRDefault="00122C19" w14:paraId="7E683E83" w14:textId="77777777">
      <w:pPr>
        <w:spacing w:line="276" w:lineRule="auto"/>
      </w:pPr>
    </w:p>
    <w:sectPr w:rsidR="00122C19" w:rsidSect="001E6A24">
      <w:footerReference w:type="default" r:id="rId7"/>
      <w:pgSz w:w="11907" w:h="16840"/>
      <w:pgMar w:top="1440" w:right="1440" w:bottom="1440" w:left="1440"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6B7A8" w14:textId="77777777" w:rsidR="00FE18CE" w:rsidRDefault="00FE18CE">
      <w:pPr>
        <w:spacing w:after="0" w:line="240" w:lineRule="auto"/>
      </w:pPr>
      <w:r>
        <w:rPr>
          <w:szCs w:val="18"/>
        </w:rPr>
        <w:separator/>
      </w:r>
    </w:p>
  </w:endnote>
  <w:endnote w:type="continuationSeparator" w:id="0">
    <w:p w14:paraId="19F6A799" w14:textId="77777777" w:rsidR="00FE18CE" w:rsidRDefault="00FE18CE">
      <w:pPr>
        <w:spacing w:after="0" w:line="240" w:lineRule="auto"/>
      </w:pPr>
      <w:r>
        <w:rPr>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970267"/>
      <w:docPartObj>
        <w:docPartGallery w:val="Page Numbers (Bottom of Page)"/>
        <w:docPartUnique/>
      </w:docPartObj>
    </w:sdtPr>
    <w:sdtEndPr/>
    <w:sdtContent>
      <w:p w14:paraId="0E1A9C75" w14:textId="77777777" w:rsidR="00122C19" w:rsidRDefault="002F51FD">
        <w:pPr>
          <w:pStyle w:val="Voettekst"/>
          <w:jc w:val="right"/>
        </w:pPr>
        <w:r>
          <w:fldChar w:fldCharType="begin"/>
        </w:r>
        <w:r>
          <w:instrText>PAGE   \* MERGEFORMAT</w:instrText>
        </w:r>
        <w:r>
          <w:fldChar w:fldCharType="separate"/>
        </w:r>
        <w:r>
          <w:rPr>
            <w:szCs w:val="18"/>
          </w:rPr>
          <w:t>2</w:t>
        </w:r>
        <w:r>
          <w:fldChar w:fldCharType="end"/>
        </w:r>
      </w:p>
    </w:sdtContent>
  </w:sdt>
  <w:p w14:paraId="2DF0E68F" w14:textId="77777777" w:rsidR="00122C19" w:rsidRDefault="00122C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481EF" w14:textId="77777777" w:rsidR="00FE18CE" w:rsidRDefault="00FE18CE">
      <w:pPr>
        <w:spacing w:after="0" w:line="240" w:lineRule="auto"/>
      </w:pPr>
      <w:r>
        <w:rPr>
          <w:szCs w:val="18"/>
        </w:rPr>
        <w:separator/>
      </w:r>
    </w:p>
  </w:footnote>
  <w:footnote w:type="continuationSeparator" w:id="0">
    <w:p w14:paraId="32601429" w14:textId="77777777" w:rsidR="00FE18CE" w:rsidRDefault="00FE18CE">
      <w:pPr>
        <w:spacing w:after="0" w:line="240" w:lineRule="auto"/>
      </w:pPr>
      <w:r>
        <w:rPr>
          <w:szCs w:val="18"/>
        </w:rPr>
        <w:continuationSeparator/>
      </w:r>
    </w:p>
  </w:footnote>
  <w:footnote w:id="1">
    <w:p w14:paraId="19066358" w14:textId="11695B62" w:rsidR="00041519" w:rsidRPr="00197A06" w:rsidRDefault="00041519">
      <w:pPr>
        <w:pStyle w:val="Voetnoottekst"/>
        <w:rPr>
          <w:sz w:val="16"/>
          <w:szCs w:val="16"/>
        </w:rPr>
      </w:pPr>
      <w:r w:rsidRPr="00197A06">
        <w:rPr>
          <w:rStyle w:val="Voetnootmarkering"/>
          <w:sz w:val="16"/>
          <w:szCs w:val="16"/>
        </w:rPr>
        <w:footnoteRef/>
      </w:r>
      <w:r w:rsidRPr="00197A06">
        <w:rPr>
          <w:sz w:val="16"/>
          <w:szCs w:val="16"/>
        </w:rPr>
        <w:t xml:space="preserve"> Onder voorbehoud van uitwerking met het Concept Berenschot </w:t>
      </w:r>
      <w:proofErr w:type="spellStart"/>
      <w:r w:rsidRPr="00197A06">
        <w:rPr>
          <w:sz w:val="16"/>
          <w:szCs w:val="16"/>
        </w:rPr>
        <w:t>Kalavasta</w:t>
      </w:r>
      <w:proofErr w:type="spellEnd"/>
      <w:r w:rsidRPr="00197A06">
        <w:rPr>
          <w:sz w:val="16"/>
          <w:szCs w:val="16"/>
        </w:rPr>
        <w:t xml:space="preserve"> model.</w:t>
      </w:r>
    </w:p>
  </w:footnote>
  <w:footnote w:id="2">
    <w:p w14:paraId="53A64FBE" w14:textId="182CA5B5" w:rsidR="00B50562" w:rsidRDefault="00B50562">
      <w:pPr>
        <w:pStyle w:val="Voetnoottekst"/>
      </w:pPr>
      <w:r w:rsidRPr="00197A06">
        <w:rPr>
          <w:rStyle w:val="Voetnootmarkering"/>
          <w:sz w:val="16"/>
          <w:szCs w:val="16"/>
        </w:rPr>
        <w:footnoteRef/>
      </w:r>
      <w:r w:rsidRPr="00197A06">
        <w:rPr>
          <w:sz w:val="16"/>
          <w:szCs w:val="16"/>
        </w:rPr>
        <w:t xml:space="preserve"> Dit betreffen tariefhoogtes in prijspeil 2024. Het werkelijke tarief zal geïndexeerd worden naar het juiste prijspeil met de tabelcorrectiefactor.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8B7"/>
    <w:multiLevelType w:val="hybridMultilevel"/>
    <w:tmpl w:val="F3F214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10016"/>
    <w:multiLevelType w:val="hybridMultilevel"/>
    <w:tmpl w:val="53463B6A"/>
    <w:lvl w:ilvl="0" w:tplc="A82E7DE2">
      <w:start w:val="1"/>
      <w:numFmt w:val="decimal"/>
      <w:lvlText w:val="%1."/>
      <w:lvlJc w:val="left"/>
      <w:pPr>
        <w:ind w:left="360" w:hanging="360"/>
      </w:pPr>
      <w:rPr>
        <w:rFonts w:hint="default"/>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4583834"/>
    <w:multiLevelType w:val="hybridMultilevel"/>
    <w:tmpl w:val="BB4E259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8F6B8B"/>
    <w:multiLevelType w:val="hybridMultilevel"/>
    <w:tmpl w:val="58B8092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725B92"/>
    <w:multiLevelType w:val="hybridMultilevel"/>
    <w:tmpl w:val="D352AEB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A75235B"/>
    <w:multiLevelType w:val="hybridMultilevel"/>
    <w:tmpl w:val="1284B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016303E"/>
    <w:multiLevelType w:val="hybridMultilevel"/>
    <w:tmpl w:val="BB4E259A"/>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C05253"/>
    <w:multiLevelType w:val="hybridMultilevel"/>
    <w:tmpl w:val="080E6BE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7007106"/>
    <w:multiLevelType w:val="hybridMultilevel"/>
    <w:tmpl w:val="6E34382A"/>
    <w:lvl w:ilvl="0" w:tplc="83A4AAB6">
      <w:start w:val="1"/>
      <w:numFmt w:val="bullet"/>
      <w:lvlText w:val="-"/>
      <w:lvlJc w:val="left"/>
      <w:pPr>
        <w:ind w:left="1080" w:hanging="360"/>
      </w:pPr>
      <w:rPr>
        <w:rFonts w:ascii="Verdana" w:eastAsiaTheme="minorHAnsi" w:hAnsi="Verdana"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27935B49"/>
    <w:multiLevelType w:val="hybridMultilevel"/>
    <w:tmpl w:val="A622034A"/>
    <w:lvl w:ilvl="0" w:tplc="FFFFFFFF">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A6A25B6"/>
    <w:multiLevelType w:val="hybridMultilevel"/>
    <w:tmpl w:val="921A691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521D29"/>
    <w:multiLevelType w:val="hybridMultilevel"/>
    <w:tmpl w:val="B36E29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CE470F"/>
    <w:multiLevelType w:val="hybridMultilevel"/>
    <w:tmpl w:val="94AAE7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8AA09D8"/>
    <w:multiLevelType w:val="hybridMultilevel"/>
    <w:tmpl w:val="AFE6B1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CB6692"/>
    <w:multiLevelType w:val="hybridMultilevel"/>
    <w:tmpl w:val="E018B550"/>
    <w:lvl w:ilvl="0" w:tplc="B50C17CA">
      <w:start w:val="2"/>
      <w:numFmt w:val="bullet"/>
      <w:lvlText w:val="-"/>
      <w:lvlJc w:val="left"/>
      <w:pPr>
        <w:ind w:left="720" w:hanging="360"/>
      </w:pPr>
      <w:rPr>
        <w:rFonts w:ascii="Verdana" w:eastAsiaTheme="minorHAnsi"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F718CD"/>
    <w:multiLevelType w:val="hybridMultilevel"/>
    <w:tmpl w:val="3790D9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F9B4392"/>
    <w:multiLevelType w:val="hybridMultilevel"/>
    <w:tmpl w:val="156050D4"/>
    <w:lvl w:ilvl="0" w:tplc="04130001">
      <w:start w:val="1"/>
      <w:numFmt w:val="bullet"/>
      <w:lvlText w:val=""/>
      <w:lvlJc w:val="left"/>
      <w:pPr>
        <w:ind w:left="744" w:hanging="360"/>
      </w:pPr>
      <w:rPr>
        <w:rFonts w:ascii="Symbol" w:hAnsi="Symbol" w:hint="default"/>
      </w:rPr>
    </w:lvl>
    <w:lvl w:ilvl="1" w:tplc="04130003">
      <w:start w:val="1"/>
      <w:numFmt w:val="bullet"/>
      <w:lvlText w:val="o"/>
      <w:lvlJc w:val="left"/>
      <w:pPr>
        <w:ind w:left="1464" w:hanging="360"/>
      </w:pPr>
      <w:rPr>
        <w:rFonts w:ascii="Courier New" w:hAnsi="Courier New" w:cs="Courier New" w:hint="default"/>
      </w:rPr>
    </w:lvl>
    <w:lvl w:ilvl="2" w:tplc="04130005" w:tentative="1">
      <w:start w:val="1"/>
      <w:numFmt w:val="bullet"/>
      <w:lvlText w:val=""/>
      <w:lvlJc w:val="left"/>
      <w:pPr>
        <w:ind w:left="2184" w:hanging="360"/>
      </w:pPr>
      <w:rPr>
        <w:rFonts w:ascii="Wingdings" w:hAnsi="Wingdings" w:hint="default"/>
      </w:rPr>
    </w:lvl>
    <w:lvl w:ilvl="3" w:tplc="04130001" w:tentative="1">
      <w:start w:val="1"/>
      <w:numFmt w:val="bullet"/>
      <w:lvlText w:val=""/>
      <w:lvlJc w:val="left"/>
      <w:pPr>
        <w:ind w:left="2904" w:hanging="360"/>
      </w:pPr>
      <w:rPr>
        <w:rFonts w:ascii="Symbol" w:hAnsi="Symbol" w:hint="default"/>
      </w:rPr>
    </w:lvl>
    <w:lvl w:ilvl="4" w:tplc="04130003" w:tentative="1">
      <w:start w:val="1"/>
      <w:numFmt w:val="bullet"/>
      <w:lvlText w:val="o"/>
      <w:lvlJc w:val="left"/>
      <w:pPr>
        <w:ind w:left="3624" w:hanging="360"/>
      </w:pPr>
      <w:rPr>
        <w:rFonts w:ascii="Courier New" w:hAnsi="Courier New" w:cs="Courier New" w:hint="default"/>
      </w:rPr>
    </w:lvl>
    <w:lvl w:ilvl="5" w:tplc="04130005" w:tentative="1">
      <w:start w:val="1"/>
      <w:numFmt w:val="bullet"/>
      <w:lvlText w:val=""/>
      <w:lvlJc w:val="left"/>
      <w:pPr>
        <w:ind w:left="4344" w:hanging="360"/>
      </w:pPr>
      <w:rPr>
        <w:rFonts w:ascii="Wingdings" w:hAnsi="Wingdings" w:hint="default"/>
      </w:rPr>
    </w:lvl>
    <w:lvl w:ilvl="6" w:tplc="04130001" w:tentative="1">
      <w:start w:val="1"/>
      <w:numFmt w:val="bullet"/>
      <w:lvlText w:val=""/>
      <w:lvlJc w:val="left"/>
      <w:pPr>
        <w:ind w:left="5064" w:hanging="360"/>
      </w:pPr>
      <w:rPr>
        <w:rFonts w:ascii="Symbol" w:hAnsi="Symbol" w:hint="default"/>
      </w:rPr>
    </w:lvl>
    <w:lvl w:ilvl="7" w:tplc="04130003" w:tentative="1">
      <w:start w:val="1"/>
      <w:numFmt w:val="bullet"/>
      <w:lvlText w:val="o"/>
      <w:lvlJc w:val="left"/>
      <w:pPr>
        <w:ind w:left="5784" w:hanging="360"/>
      </w:pPr>
      <w:rPr>
        <w:rFonts w:ascii="Courier New" w:hAnsi="Courier New" w:cs="Courier New" w:hint="default"/>
      </w:rPr>
    </w:lvl>
    <w:lvl w:ilvl="8" w:tplc="04130005" w:tentative="1">
      <w:start w:val="1"/>
      <w:numFmt w:val="bullet"/>
      <w:lvlText w:val=""/>
      <w:lvlJc w:val="left"/>
      <w:pPr>
        <w:ind w:left="6504" w:hanging="360"/>
      </w:pPr>
      <w:rPr>
        <w:rFonts w:ascii="Wingdings" w:hAnsi="Wingdings" w:hint="default"/>
      </w:rPr>
    </w:lvl>
  </w:abstractNum>
  <w:num w:numId="1" w16cid:durableId="1106341743">
    <w:abstractNumId w:val="4"/>
  </w:num>
  <w:num w:numId="2" w16cid:durableId="405037388">
    <w:abstractNumId w:val="12"/>
  </w:num>
  <w:num w:numId="3" w16cid:durableId="325716192">
    <w:abstractNumId w:val="14"/>
  </w:num>
  <w:num w:numId="4" w16cid:durableId="1739328113">
    <w:abstractNumId w:val="7"/>
  </w:num>
  <w:num w:numId="5" w16cid:durableId="592317987">
    <w:abstractNumId w:val="2"/>
  </w:num>
  <w:num w:numId="6" w16cid:durableId="1104497949">
    <w:abstractNumId w:val="6"/>
  </w:num>
  <w:num w:numId="7" w16cid:durableId="1792284023">
    <w:abstractNumId w:val="3"/>
  </w:num>
  <w:num w:numId="8" w16cid:durableId="1012606149">
    <w:abstractNumId w:val="1"/>
  </w:num>
  <w:num w:numId="9" w16cid:durableId="241529855">
    <w:abstractNumId w:val="10"/>
  </w:num>
  <w:num w:numId="10" w16cid:durableId="1950165933">
    <w:abstractNumId w:val="8"/>
  </w:num>
  <w:num w:numId="11" w16cid:durableId="570309999">
    <w:abstractNumId w:val="15"/>
  </w:num>
  <w:num w:numId="12" w16cid:durableId="1034228221">
    <w:abstractNumId w:val="12"/>
  </w:num>
  <w:num w:numId="13" w16cid:durableId="817067284">
    <w:abstractNumId w:val="0"/>
  </w:num>
  <w:num w:numId="14" w16cid:durableId="451829840">
    <w:abstractNumId w:val="16"/>
  </w:num>
  <w:num w:numId="15" w16cid:durableId="584923975">
    <w:abstractNumId w:val="5"/>
  </w:num>
  <w:num w:numId="16" w16cid:durableId="1435053200">
    <w:abstractNumId w:val="9"/>
  </w:num>
  <w:num w:numId="17" w16cid:durableId="1747607977">
    <w:abstractNumId w:val="13"/>
  </w:num>
  <w:num w:numId="18" w16cid:durableId="1077552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FC"/>
    <w:rsid w:val="0000324F"/>
    <w:rsid w:val="00006FCB"/>
    <w:rsid w:val="00031556"/>
    <w:rsid w:val="00040B53"/>
    <w:rsid w:val="00041519"/>
    <w:rsid w:val="00046BD2"/>
    <w:rsid w:val="0005790D"/>
    <w:rsid w:val="000739E6"/>
    <w:rsid w:val="00074417"/>
    <w:rsid w:val="000826A5"/>
    <w:rsid w:val="00086166"/>
    <w:rsid w:val="0009014F"/>
    <w:rsid w:val="0009197C"/>
    <w:rsid w:val="000942D4"/>
    <w:rsid w:val="000A1BFF"/>
    <w:rsid w:val="000A3DB0"/>
    <w:rsid w:val="000A5B10"/>
    <w:rsid w:val="000A767E"/>
    <w:rsid w:val="000C10D4"/>
    <w:rsid w:val="000C4464"/>
    <w:rsid w:val="000C5EBA"/>
    <w:rsid w:val="000C7D40"/>
    <w:rsid w:val="000D568B"/>
    <w:rsid w:val="000E23FC"/>
    <w:rsid w:val="000F0D64"/>
    <w:rsid w:val="000F320F"/>
    <w:rsid w:val="000F3BBE"/>
    <w:rsid w:val="00100FF8"/>
    <w:rsid w:val="001029B9"/>
    <w:rsid w:val="001216B3"/>
    <w:rsid w:val="00122C19"/>
    <w:rsid w:val="00125898"/>
    <w:rsid w:val="00141822"/>
    <w:rsid w:val="00154071"/>
    <w:rsid w:val="00170C13"/>
    <w:rsid w:val="00181A57"/>
    <w:rsid w:val="00192CF4"/>
    <w:rsid w:val="00197A06"/>
    <w:rsid w:val="00197BB3"/>
    <w:rsid w:val="001A42E0"/>
    <w:rsid w:val="001A4F59"/>
    <w:rsid w:val="001B7097"/>
    <w:rsid w:val="001C4813"/>
    <w:rsid w:val="001D47A9"/>
    <w:rsid w:val="001E5557"/>
    <w:rsid w:val="001E6A24"/>
    <w:rsid w:val="002008BC"/>
    <w:rsid w:val="00200EB9"/>
    <w:rsid w:val="0022057D"/>
    <w:rsid w:val="00223C81"/>
    <w:rsid w:val="00231966"/>
    <w:rsid w:val="00232E78"/>
    <w:rsid w:val="00263410"/>
    <w:rsid w:val="00282678"/>
    <w:rsid w:val="002A5752"/>
    <w:rsid w:val="002A75F6"/>
    <w:rsid w:val="002B071B"/>
    <w:rsid w:val="002B61FA"/>
    <w:rsid w:val="002B72C2"/>
    <w:rsid w:val="002E7F1B"/>
    <w:rsid w:val="002F333C"/>
    <w:rsid w:val="002F51FD"/>
    <w:rsid w:val="002F533D"/>
    <w:rsid w:val="002F5AB4"/>
    <w:rsid w:val="00316DE1"/>
    <w:rsid w:val="0032044F"/>
    <w:rsid w:val="00330C57"/>
    <w:rsid w:val="00333D18"/>
    <w:rsid w:val="00333DA9"/>
    <w:rsid w:val="003429A4"/>
    <w:rsid w:val="00347F0D"/>
    <w:rsid w:val="00356775"/>
    <w:rsid w:val="003720ED"/>
    <w:rsid w:val="00391071"/>
    <w:rsid w:val="0039608A"/>
    <w:rsid w:val="00396156"/>
    <w:rsid w:val="003B599C"/>
    <w:rsid w:val="003B61F6"/>
    <w:rsid w:val="003C4B7A"/>
    <w:rsid w:val="003D5C1B"/>
    <w:rsid w:val="003E38A7"/>
    <w:rsid w:val="003E6951"/>
    <w:rsid w:val="003F0B85"/>
    <w:rsid w:val="003F0E63"/>
    <w:rsid w:val="003F321E"/>
    <w:rsid w:val="003F59F0"/>
    <w:rsid w:val="003F67FE"/>
    <w:rsid w:val="003F6B24"/>
    <w:rsid w:val="00401800"/>
    <w:rsid w:val="004127A2"/>
    <w:rsid w:val="004208AB"/>
    <w:rsid w:val="00422F2C"/>
    <w:rsid w:val="00437FA2"/>
    <w:rsid w:val="0044007C"/>
    <w:rsid w:val="00442011"/>
    <w:rsid w:val="00444402"/>
    <w:rsid w:val="004477B5"/>
    <w:rsid w:val="004552E2"/>
    <w:rsid w:val="004628BA"/>
    <w:rsid w:val="004637A6"/>
    <w:rsid w:val="00471BE1"/>
    <w:rsid w:val="004749D4"/>
    <w:rsid w:val="004953CC"/>
    <w:rsid w:val="004A3A90"/>
    <w:rsid w:val="004B427E"/>
    <w:rsid w:val="004B7B48"/>
    <w:rsid w:val="004C0739"/>
    <w:rsid w:val="004C439A"/>
    <w:rsid w:val="004C5013"/>
    <w:rsid w:val="004E0D7A"/>
    <w:rsid w:val="004E23A0"/>
    <w:rsid w:val="004F2C0D"/>
    <w:rsid w:val="00514C3E"/>
    <w:rsid w:val="005172CB"/>
    <w:rsid w:val="00532162"/>
    <w:rsid w:val="005345EA"/>
    <w:rsid w:val="005357E9"/>
    <w:rsid w:val="0054173F"/>
    <w:rsid w:val="00542C4B"/>
    <w:rsid w:val="005619D8"/>
    <w:rsid w:val="00572E75"/>
    <w:rsid w:val="00581C55"/>
    <w:rsid w:val="00591F95"/>
    <w:rsid w:val="00596D6F"/>
    <w:rsid w:val="00597332"/>
    <w:rsid w:val="005A6D82"/>
    <w:rsid w:val="005C1569"/>
    <w:rsid w:val="005D0767"/>
    <w:rsid w:val="005E47AB"/>
    <w:rsid w:val="005F0237"/>
    <w:rsid w:val="005F56B8"/>
    <w:rsid w:val="006066A1"/>
    <w:rsid w:val="00606D4F"/>
    <w:rsid w:val="006130A9"/>
    <w:rsid w:val="0062086C"/>
    <w:rsid w:val="00633DD1"/>
    <w:rsid w:val="00637067"/>
    <w:rsid w:val="00637E8E"/>
    <w:rsid w:val="00647628"/>
    <w:rsid w:val="00655C71"/>
    <w:rsid w:val="00670F23"/>
    <w:rsid w:val="00684AF5"/>
    <w:rsid w:val="006907F5"/>
    <w:rsid w:val="00691F30"/>
    <w:rsid w:val="006924E5"/>
    <w:rsid w:val="00693BFE"/>
    <w:rsid w:val="00697B5B"/>
    <w:rsid w:val="006A471A"/>
    <w:rsid w:val="006B6306"/>
    <w:rsid w:val="006D08C3"/>
    <w:rsid w:val="006D1DA4"/>
    <w:rsid w:val="006D37F9"/>
    <w:rsid w:val="006D59A4"/>
    <w:rsid w:val="006E11C9"/>
    <w:rsid w:val="006E5C86"/>
    <w:rsid w:val="00712A69"/>
    <w:rsid w:val="00717F13"/>
    <w:rsid w:val="00720167"/>
    <w:rsid w:val="00727923"/>
    <w:rsid w:val="007352C5"/>
    <w:rsid w:val="00736B9B"/>
    <w:rsid w:val="007736EF"/>
    <w:rsid w:val="00791D71"/>
    <w:rsid w:val="007A14B2"/>
    <w:rsid w:val="007A6496"/>
    <w:rsid w:val="007A7F8F"/>
    <w:rsid w:val="007B7C36"/>
    <w:rsid w:val="007C6047"/>
    <w:rsid w:val="007D2203"/>
    <w:rsid w:val="007D3612"/>
    <w:rsid w:val="007E4EDD"/>
    <w:rsid w:val="007E79BF"/>
    <w:rsid w:val="008053F8"/>
    <w:rsid w:val="0080648F"/>
    <w:rsid w:val="00807947"/>
    <w:rsid w:val="00807A42"/>
    <w:rsid w:val="0081091E"/>
    <w:rsid w:val="0082102F"/>
    <w:rsid w:val="0082235D"/>
    <w:rsid w:val="00823790"/>
    <w:rsid w:val="008277AC"/>
    <w:rsid w:val="00830D9C"/>
    <w:rsid w:val="008333E3"/>
    <w:rsid w:val="00846E38"/>
    <w:rsid w:val="00849D98"/>
    <w:rsid w:val="00864382"/>
    <w:rsid w:val="00873556"/>
    <w:rsid w:val="00873AE5"/>
    <w:rsid w:val="00892644"/>
    <w:rsid w:val="00896F45"/>
    <w:rsid w:val="008B00E9"/>
    <w:rsid w:val="008B192D"/>
    <w:rsid w:val="008B48B0"/>
    <w:rsid w:val="008B6578"/>
    <w:rsid w:val="008C489E"/>
    <w:rsid w:val="008C4E68"/>
    <w:rsid w:val="008E0A47"/>
    <w:rsid w:val="008F4774"/>
    <w:rsid w:val="009012C6"/>
    <w:rsid w:val="00903EE6"/>
    <w:rsid w:val="00916EFC"/>
    <w:rsid w:val="00936707"/>
    <w:rsid w:val="00947546"/>
    <w:rsid w:val="00957ED8"/>
    <w:rsid w:val="009630D2"/>
    <w:rsid w:val="00963BFC"/>
    <w:rsid w:val="0096417B"/>
    <w:rsid w:val="0097043F"/>
    <w:rsid w:val="00972F17"/>
    <w:rsid w:val="00974A00"/>
    <w:rsid w:val="009829FE"/>
    <w:rsid w:val="00986212"/>
    <w:rsid w:val="009915B0"/>
    <w:rsid w:val="00992B82"/>
    <w:rsid w:val="00995C35"/>
    <w:rsid w:val="009B056E"/>
    <w:rsid w:val="009B1951"/>
    <w:rsid w:val="009C03E6"/>
    <w:rsid w:val="009C723E"/>
    <w:rsid w:val="009E0CF4"/>
    <w:rsid w:val="009E713B"/>
    <w:rsid w:val="009F2B0F"/>
    <w:rsid w:val="009F2ED2"/>
    <w:rsid w:val="009F46F9"/>
    <w:rsid w:val="00A21730"/>
    <w:rsid w:val="00A33294"/>
    <w:rsid w:val="00A338D6"/>
    <w:rsid w:val="00A34C8F"/>
    <w:rsid w:val="00A35A23"/>
    <w:rsid w:val="00A52831"/>
    <w:rsid w:val="00A65D34"/>
    <w:rsid w:val="00A730AD"/>
    <w:rsid w:val="00A80E16"/>
    <w:rsid w:val="00A82DD9"/>
    <w:rsid w:val="00A83409"/>
    <w:rsid w:val="00A86C52"/>
    <w:rsid w:val="00A95604"/>
    <w:rsid w:val="00AD4417"/>
    <w:rsid w:val="00AD46B8"/>
    <w:rsid w:val="00AD54AA"/>
    <w:rsid w:val="00AE6C4C"/>
    <w:rsid w:val="00AF16D4"/>
    <w:rsid w:val="00AF1C3F"/>
    <w:rsid w:val="00AF6881"/>
    <w:rsid w:val="00B06701"/>
    <w:rsid w:val="00B122E1"/>
    <w:rsid w:val="00B2194B"/>
    <w:rsid w:val="00B260BD"/>
    <w:rsid w:val="00B3381C"/>
    <w:rsid w:val="00B36155"/>
    <w:rsid w:val="00B36CA6"/>
    <w:rsid w:val="00B37274"/>
    <w:rsid w:val="00B50562"/>
    <w:rsid w:val="00B55C97"/>
    <w:rsid w:val="00B72589"/>
    <w:rsid w:val="00B75904"/>
    <w:rsid w:val="00B77120"/>
    <w:rsid w:val="00B80F33"/>
    <w:rsid w:val="00B83983"/>
    <w:rsid w:val="00B87B97"/>
    <w:rsid w:val="00B93424"/>
    <w:rsid w:val="00B94A3C"/>
    <w:rsid w:val="00BA27DD"/>
    <w:rsid w:val="00BA3139"/>
    <w:rsid w:val="00BB06D2"/>
    <w:rsid w:val="00BB0E6E"/>
    <w:rsid w:val="00BD08AF"/>
    <w:rsid w:val="00BD1A07"/>
    <w:rsid w:val="00BD4E8C"/>
    <w:rsid w:val="00BE0F86"/>
    <w:rsid w:val="00BE72DB"/>
    <w:rsid w:val="00C06697"/>
    <w:rsid w:val="00C124D3"/>
    <w:rsid w:val="00C22698"/>
    <w:rsid w:val="00C35481"/>
    <w:rsid w:val="00C61FC7"/>
    <w:rsid w:val="00C62747"/>
    <w:rsid w:val="00C71B02"/>
    <w:rsid w:val="00C86348"/>
    <w:rsid w:val="00C921EC"/>
    <w:rsid w:val="00C948FC"/>
    <w:rsid w:val="00CA1313"/>
    <w:rsid w:val="00CA1B7B"/>
    <w:rsid w:val="00CB3B62"/>
    <w:rsid w:val="00CC2A3F"/>
    <w:rsid w:val="00CC3C68"/>
    <w:rsid w:val="00CC6A0D"/>
    <w:rsid w:val="00CD2D9B"/>
    <w:rsid w:val="00CD3FF2"/>
    <w:rsid w:val="00CE5CBF"/>
    <w:rsid w:val="00CE6F45"/>
    <w:rsid w:val="00CF2485"/>
    <w:rsid w:val="00D105C1"/>
    <w:rsid w:val="00D10A01"/>
    <w:rsid w:val="00D13EF1"/>
    <w:rsid w:val="00D1434B"/>
    <w:rsid w:val="00D20ED2"/>
    <w:rsid w:val="00D21D22"/>
    <w:rsid w:val="00D304FC"/>
    <w:rsid w:val="00D35670"/>
    <w:rsid w:val="00D36BA9"/>
    <w:rsid w:val="00D405E1"/>
    <w:rsid w:val="00D5112F"/>
    <w:rsid w:val="00D61372"/>
    <w:rsid w:val="00D643B6"/>
    <w:rsid w:val="00D6707A"/>
    <w:rsid w:val="00D732B2"/>
    <w:rsid w:val="00D73774"/>
    <w:rsid w:val="00D772C1"/>
    <w:rsid w:val="00D914B7"/>
    <w:rsid w:val="00D91CDA"/>
    <w:rsid w:val="00DA0A07"/>
    <w:rsid w:val="00DA70D4"/>
    <w:rsid w:val="00DA7B0A"/>
    <w:rsid w:val="00DB06C5"/>
    <w:rsid w:val="00DB6285"/>
    <w:rsid w:val="00DD14A6"/>
    <w:rsid w:val="00DE0B71"/>
    <w:rsid w:val="00DE1B7A"/>
    <w:rsid w:val="00DE6A8B"/>
    <w:rsid w:val="00DF1618"/>
    <w:rsid w:val="00DF179F"/>
    <w:rsid w:val="00DF4AAA"/>
    <w:rsid w:val="00E10BB0"/>
    <w:rsid w:val="00E119F1"/>
    <w:rsid w:val="00E14830"/>
    <w:rsid w:val="00E20E4C"/>
    <w:rsid w:val="00E30683"/>
    <w:rsid w:val="00E34BFE"/>
    <w:rsid w:val="00E455B7"/>
    <w:rsid w:val="00E56B99"/>
    <w:rsid w:val="00E62960"/>
    <w:rsid w:val="00E67BAF"/>
    <w:rsid w:val="00E67BE2"/>
    <w:rsid w:val="00E72A3D"/>
    <w:rsid w:val="00E749E1"/>
    <w:rsid w:val="00E80447"/>
    <w:rsid w:val="00E963EF"/>
    <w:rsid w:val="00EB2164"/>
    <w:rsid w:val="00EB27CF"/>
    <w:rsid w:val="00EB3DAA"/>
    <w:rsid w:val="00EC11BF"/>
    <w:rsid w:val="00EC4123"/>
    <w:rsid w:val="00EC449B"/>
    <w:rsid w:val="00EE1EF2"/>
    <w:rsid w:val="00EE382B"/>
    <w:rsid w:val="00EF414E"/>
    <w:rsid w:val="00F0148F"/>
    <w:rsid w:val="00F069FB"/>
    <w:rsid w:val="00F34ED3"/>
    <w:rsid w:val="00F37ACE"/>
    <w:rsid w:val="00F43419"/>
    <w:rsid w:val="00F43C62"/>
    <w:rsid w:val="00F45C2E"/>
    <w:rsid w:val="00F529BA"/>
    <w:rsid w:val="00F61111"/>
    <w:rsid w:val="00F63BA9"/>
    <w:rsid w:val="00F75CDF"/>
    <w:rsid w:val="00F81BC7"/>
    <w:rsid w:val="00F83AF6"/>
    <w:rsid w:val="00F94A35"/>
    <w:rsid w:val="00F96CD0"/>
    <w:rsid w:val="00FA3B87"/>
    <w:rsid w:val="00FB05D7"/>
    <w:rsid w:val="00FB274B"/>
    <w:rsid w:val="00FB2DBB"/>
    <w:rsid w:val="00FC3308"/>
    <w:rsid w:val="00FC4D4A"/>
    <w:rsid w:val="00FD590D"/>
    <w:rsid w:val="00FE18CE"/>
    <w:rsid w:val="00FE5294"/>
    <w:rsid w:val="00FE5E68"/>
    <w:rsid w:val="00FF0C05"/>
    <w:rsid w:val="00FF2A50"/>
    <w:rsid w:val="19499492"/>
    <w:rsid w:val="1B5944E8"/>
    <w:rsid w:val="2669470C"/>
    <w:rsid w:val="3526FD24"/>
    <w:rsid w:val="511831F0"/>
    <w:rsid w:val="5EEF3F23"/>
    <w:rsid w:val="5FA50F9D"/>
    <w:rsid w:val="739F8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21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C948F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948F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948FC"/>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948FC"/>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C948FC"/>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C948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948FC"/>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948FC"/>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948FC"/>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48FC"/>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C948FC"/>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C948FC"/>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C948FC"/>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C948FC"/>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C948FC"/>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C948FC"/>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C948FC"/>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C948FC"/>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C94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48FC"/>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C948F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48FC"/>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C94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48FC"/>
    <w:rPr>
      <w:i/>
      <w:iCs/>
      <w:color w:val="404040" w:themeColor="text1" w:themeTint="BF"/>
      <w:lang w:val="nl-NL"/>
    </w:rPr>
  </w:style>
  <w:style w:type="paragraph" w:styleId="Lijstalinea">
    <w:name w:val="List Paragraph"/>
    <w:basedOn w:val="Standaard"/>
    <w:uiPriority w:val="34"/>
    <w:qFormat/>
    <w:rsid w:val="00C948FC"/>
    <w:pPr>
      <w:ind w:left="720"/>
      <w:contextualSpacing/>
    </w:pPr>
  </w:style>
  <w:style w:type="character" w:styleId="Intensievebenadrukking">
    <w:name w:val="Intense Emphasis"/>
    <w:basedOn w:val="Standaardalinea-lettertype"/>
    <w:uiPriority w:val="21"/>
    <w:qFormat/>
    <w:rsid w:val="00C948FC"/>
    <w:rPr>
      <w:i/>
      <w:iCs/>
      <w:color w:val="2E74B5" w:themeColor="accent1" w:themeShade="BF"/>
    </w:rPr>
  </w:style>
  <w:style w:type="paragraph" w:styleId="Duidelijkcitaat">
    <w:name w:val="Intense Quote"/>
    <w:basedOn w:val="Standaard"/>
    <w:next w:val="Standaard"/>
    <w:link w:val="DuidelijkcitaatChar"/>
    <w:uiPriority w:val="30"/>
    <w:qFormat/>
    <w:rsid w:val="00C948F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948FC"/>
    <w:rPr>
      <w:i/>
      <w:iCs/>
      <w:color w:val="2E74B5" w:themeColor="accent1" w:themeShade="BF"/>
      <w:lang w:val="nl-NL"/>
    </w:rPr>
  </w:style>
  <w:style w:type="character" w:styleId="Intensieveverwijzing">
    <w:name w:val="Intense Reference"/>
    <w:basedOn w:val="Standaardalinea-lettertype"/>
    <w:uiPriority w:val="32"/>
    <w:qFormat/>
    <w:rsid w:val="00C948FC"/>
    <w:rPr>
      <w:b/>
      <w:bCs/>
      <w:smallCaps/>
      <w:color w:val="2E74B5" w:themeColor="accent1" w:themeShade="BF"/>
      <w:spacing w:val="5"/>
    </w:rPr>
  </w:style>
  <w:style w:type="table" w:styleId="Tabelraster">
    <w:name w:val="Table Grid"/>
    <w:basedOn w:val="Standaardtabel"/>
    <w:uiPriority w:val="39"/>
    <w:rsid w:val="0059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0D6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F0D64"/>
    <w:rPr>
      <w:lang w:val="nl-NL"/>
    </w:rPr>
  </w:style>
  <w:style w:type="paragraph" w:styleId="Voettekst">
    <w:name w:val="footer"/>
    <w:basedOn w:val="Standaard"/>
    <w:link w:val="VoettekstChar"/>
    <w:uiPriority w:val="99"/>
    <w:unhideWhenUsed/>
    <w:rsid w:val="000F0D6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F0D64"/>
    <w:rPr>
      <w:lang w:val="nl-NL"/>
    </w:rPr>
  </w:style>
  <w:style w:type="paragraph" w:styleId="Revisie">
    <w:name w:val="Revision"/>
    <w:hidden/>
    <w:uiPriority w:val="99"/>
    <w:semiHidden/>
    <w:rsid w:val="00986212"/>
    <w:pPr>
      <w:spacing w:after="0" w:line="240" w:lineRule="auto"/>
    </w:pPr>
    <w:rPr>
      <w:lang w:val="nl-NL"/>
    </w:rPr>
  </w:style>
  <w:style w:type="table" w:styleId="Rastertabel4-Accent5">
    <w:name w:val="Grid Table 4 Accent 5"/>
    <w:basedOn w:val="Standaardtabel"/>
    <w:uiPriority w:val="49"/>
    <w:rsid w:val="00D20E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Verwijzingopmerking">
    <w:name w:val="annotation reference"/>
    <w:basedOn w:val="Standaardalinea-lettertype"/>
    <w:uiPriority w:val="99"/>
    <w:semiHidden/>
    <w:unhideWhenUsed/>
    <w:rsid w:val="00D35670"/>
    <w:rPr>
      <w:sz w:val="16"/>
      <w:szCs w:val="16"/>
    </w:rPr>
  </w:style>
  <w:style w:type="paragraph" w:styleId="Tekstopmerking">
    <w:name w:val="annotation text"/>
    <w:basedOn w:val="Standaard"/>
    <w:link w:val="TekstopmerkingChar"/>
    <w:uiPriority w:val="99"/>
    <w:unhideWhenUsed/>
    <w:rsid w:val="00D35670"/>
    <w:pPr>
      <w:spacing w:line="240" w:lineRule="auto"/>
    </w:pPr>
    <w:rPr>
      <w:sz w:val="20"/>
      <w:szCs w:val="20"/>
    </w:rPr>
  </w:style>
  <w:style w:type="character" w:customStyle="1" w:styleId="TekstopmerkingChar">
    <w:name w:val="Tekst opmerking Char"/>
    <w:basedOn w:val="Standaardalinea-lettertype"/>
    <w:link w:val="Tekstopmerking"/>
    <w:uiPriority w:val="99"/>
    <w:rsid w:val="00D35670"/>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35670"/>
    <w:rPr>
      <w:b/>
      <w:bCs/>
    </w:rPr>
  </w:style>
  <w:style w:type="character" w:customStyle="1" w:styleId="OnderwerpvanopmerkingChar">
    <w:name w:val="Onderwerp van opmerking Char"/>
    <w:basedOn w:val="TekstopmerkingChar"/>
    <w:link w:val="Onderwerpvanopmerking"/>
    <w:uiPriority w:val="99"/>
    <w:semiHidden/>
    <w:rsid w:val="00D35670"/>
    <w:rPr>
      <w:b/>
      <w:bCs/>
      <w:sz w:val="20"/>
      <w:szCs w:val="20"/>
      <w:lang w:val="nl-NL"/>
    </w:rPr>
  </w:style>
  <w:style w:type="paragraph" w:styleId="Geenafstand">
    <w:name w:val="No Spacing"/>
    <w:uiPriority w:val="1"/>
    <w:qFormat/>
    <w:rsid w:val="003B61F6"/>
    <w:pPr>
      <w:spacing w:after="0" w:line="240" w:lineRule="auto"/>
    </w:pPr>
    <w:rPr>
      <w:lang w:val="nl-NL"/>
    </w:rPr>
  </w:style>
  <w:style w:type="paragraph" w:styleId="Voetnoottekst">
    <w:name w:val="footnote text"/>
    <w:basedOn w:val="Standaard"/>
    <w:link w:val="VoetnoottekstChar"/>
    <w:uiPriority w:val="99"/>
    <w:semiHidden/>
    <w:unhideWhenUsed/>
    <w:rsid w:val="00B5056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50562"/>
    <w:rPr>
      <w:sz w:val="20"/>
      <w:szCs w:val="20"/>
      <w:lang w:val="nl-NL"/>
    </w:rPr>
  </w:style>
  <w:style w:type="character" w:styleId="Voetnootmarkering">
    <w:name w:val="footnote reference"/>
    <w:basedOn w:val="Standaardalinea-lettertype"/>
    <w:uiPriority w:val="99"/>
    <w:semiHidden/>
    <w:unhideWhenUsed/>
    <w:rsid w:val="00B505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12784">
      <w:bodyDiv w:val="1"/>
      <w:marLeft w:val="0"/>
      <w:marRight w:val="0"/>
      <w:marTop w:val="0"/>
      <w:marBottom w:val="0"/>
      <w:divBdr>
        <w:top w:val="none" w:sz="0" w:space="0" w:color="auto"/>
        <w:left w:val="none" w:sz="0" w:space="0" w:color="auto"/>
        <w:bottom w:val="none" w:sz="0" w:space="0" w:color="auto"/>
        <w:right w:val="none" w:sz="0" w:space="0" w:color="auto"/>
      </w:divBdr>
    </w:div>
    <w:div w:id="248656665">
      <w:bodyDiv w:val="1"/>
      <w:marLeft w:val="0"/>
      <w:marRight w:val="0"/>
      <w:marTop w:val="0"/>
      <w:marBottom w:val="0"/>
      <w:divBdr>
        <w:top w:val="none" w:sz="0" w:space="0" w:color="auto"/>
        <w:left w:val="none" w:sz="0" w:space="0" w:color="auto"/>
        <w:bottom w:val="none" w:sz="0" w:space="0" w:color="auto"/>
        <w:right w:val="none" w:sz="0" w:space="0" w:color="auto"/>
      </w:divBdr>
    </w:div>
    <w:div w:id="546111931">
      <w:bodyDiv w:val="1"/>
      <w:marLeft w:val="0"/>
      <w:marRight w:val="0"/>
      <w:marTop w:val="0"/>
      <w:marBottom w:val="0"/>
      <w:divBdr>
        <w:top w:val="none" w:sz="0" w:space="0" w:color="auto"/>
        <w:left w:val="none" w:sz="0" w:space="0" w:color="auto"/>
        <w:bottom w:val="none" w:sz="0" w:space="0" w:color="auto"/>
        <w:right w:val="none" w:sz="0" w:space="0" w:color="auto"/>
      </w:divBdr>
    </w:div>
    <w:div w:id="593780322">
      <w:bodyDiv w:val="1"/>
      <w:marLeft w:val="0"/>
      <w:marRight w:val="0"/>
      <w:marTop w:val="0"/>
      <w:marBottom w:val="0"/>
      <w:divBdr>
        <w:top w:val="none" w:sz="0" w:space="0" w:color="auto"/>
        <w:left w:val="none" w:sz="0" w:space="0" w:color="auto"/>
        <w:bottom w:val="none" w:sz="0" w:space="0" w:color="auto"/>
        <w:right w:val="none" w:sz="0" w:space="0" w:color="auto"/>
      </w:divBdr>
    </w:div>
    <w:div w:id="647827637">
      <w:bodyDiv w:val="1"/>
      <w:marLeft w:val="0"/>
      <w:marRight w:val="0"/>
      <w:marTop w:val="0"/>
      <w:marBottom w:val="0"/>
      <w:divBdr>
        <w:top w:val="none" w:sz="0" w:space="0" w:color="auto"/>
        <w:left w:val="none" w:sz="0" w:space="0" w:color="auto"/>
        <w:bottom w:val="none" w:sz="0" w:space="0" w:color="auto"/>
        <w:right w:val="none" w:sz="0" w:space="0" w:color="auto"/>
      </w:divBdr>
    </w:div>
    <w:div w:id="724990554">
      <w:bodyDiv w:val="1"/>
      <w:marLeft w:val="0"/>
      <w:marRight w:val="0"/>
      <w:marTop w:val="0"/>
      <w:marBottom w:val="0"/>
      <w:divBdr>
        <w:top w:val="none" w:sz="0" w:space="0" w:color="auto"/>
        <w:left w:val="none" w:sz="0" w:space="0" w:color="auto"/>
        <w:bottom w:val="none" w:sz="0" w:space="0" w:color="auto"/>
        <w:right w:val="none" w:sz="0" w:space="0" w:color="auto"/>
      </w:divBdr>
    </w:div>
    <w:div w:id="901912027">
      <w:bodyDiv w:val="1"/>
      <w:marLeft w:val="0"/>
      <w:marRight w:val="0"/>
      <w:marTop w:val="0"/>
      <w:marBottom w:val="0"/>
      <w:divBdr>
        <w:top w:val="none" w:sz="0" w:space="0" w:color="auto"/>
        <w:left w:val="none" w:sz="0" w:space="0" w:color="auto"/>
        <w:bottom w:val="none" w:sz="0" w:space="0" w:color="auto"/>
        <w:right w:val="none" w:sz="0" w:space="0" w:color="auto"/>
      </w:divBdr>
    </w:div>
    <w:div w:id="1030448660">
      <w:bodyDiv w:val="1"/>
      <w:marLeft w:val="0"/>
      <w:marRight w:val="0"/>
      <w:marTop w:val="0"/>
      <w:marBottom w:val="0"/>
      <w:divBdr>
        <w:top w:val="none" w:sz="0" w:space="0" w:color="auto"/>
        <w:left w:val="none" w:sz="0" w:space="0" w:color="auto"/>
        <w:bottom w:val="none" w:sz="0" w:space="0" w:color="auto"/>
        <w:right w:val="none" w:sz="0" w:space="0" w:color="auto"/>
      </w:divBdr>
    </w:div>
    <w:div w:id="1557425053">
      <w:bodyDiv w:val="1"/>
      <w:marLeft w:val="0"/>
      <w:marRight w:val="0"/>
      <w:marTop w:val="0"/>
      <w:marBottom w:val="0"/>
      <w:divBdr>
        <w:top w:val="none" w:sz="0" w:space="0" w:color="auto"/>
        <w:left w:val="none" w:sz="0" w:space="0" w:color="auto"/>
        <w:bottom w:val="none" w:sz="0" w:space="0" w:color="auto"/>
        <w:right w:val="none" w:sz="0" w:space="0" w:color="auto"/>
      </w:divBdr>
    </w:div>
    <w:div w:id="1788037563">
      <w:bodyDiv w:val="1"/>
      <w:marLeft w:val="0"/>
      <w:marRight w:val="0"/>
      <w:marTop w:val="0"/>
      <w:marBottom w:val="0"/>
      <w:divBdr>
        <w:top w:val="none" w:sz="0" w:space="0" w:color="auto"/>
        <w:left w:val="none" w:sz="0" w:space="0" w:color="auto"/>
        <w:bottom w:val="none" w:sz="0" w:space="0" w:color="auto"/>
        <w:right w:val="none" w:sz="0" w:space="0" w:color="auto"/>
      </w:divBdr>
    </w:div>
    <w:div w:id="1837921417">
      <w:bodyDiv w:val="1"/>
      <w:marLeft w:val="0"/>
      <w:marRight w:val="0"/>
      <w:marTop w:val="0"/>
      <w:marBottom w:val="0"/>
      <w:divBdr>
        <w:top w:val="none" w:sz="0" w:space="0" w:color="auto"/>
        <w:left w:val="none" w:sz="0" w:space="0" w:color="auto"/>
        <w:bottom w:val="none" w:sz="0" w:space="0" w:color="auto"/>
        <w:right w:val="none" w:sz="0" w:space="0" w:color="auto"/>
      </w:divBdr>
    </w:div>
    <w:div w:id="1966694713">
      <w:bodyDiv w:val="1"/>
      <w:marLeft w:val="0"/>
      <w:marRight w:val="0"/>
      <w:marTop w:val="0"/>
      <w:marBottom w:val="0"/>
      <w:divBdr>
        <w:top w:val="none" w:sz="0" w:space="0" w:color="auto"/>
        <w:left w:val="none" w:sz="0" w:space="0" w:color="auto"/>
        <w:bottom w:val="none" w:sz="0" w:space="0" w:color="auto"/>
        <w:right w:val="none" w:sz="0" w:space="0" w:color="auto"/>
      </w:divBdr>
    </w:div>
    <w:div w:id="20911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6</ap:Pages>
  <ap:Words>2028</ap:Words>
  <ap:Characters>11154</ap:Characters>
  <ap:DocSecurity>0</ap:DocSecurity>
  <ap:Lines>92</ap:Lines>
  <ap:Paragraphs>26</ap:Paragraphs>
  <ap:ScaleCrop>false</ap:ScaleCrop>
  <ap:LinksUpToDate>false</ap:LinksUpToDate>
  <ap:CharactersWithSpaces>13156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2025-06-02T14:35:00.0000000Z</dcterms:created>
  <dcterms:modified xsi:type="dcterms:W3CDTF">2025-06-02T14:35:00.0000000Z</dcterms:modified>
  <version/>
  <category/>
</coreProperties>
</file>