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799B" w:rsidR="00EA0717" w:rsidP="00332119" w:rsidRDefault="0068799B" w14:paraId="3F580295" w14:textId="5D9FD55F">
      <w:pPr>
        <w:rPr>
          <w:b/>
          <w:bCs/>
        </w:rPr>
      </w:pPr>
      <w:r w:rsidRPr="0068799B">
        <w:rPr>
          <w:b/>
          <w:bCs/>
        </w:rPr>
        <w:t>Stuk 22</w:t>
      </w:r>
    </w:p>
    <w:p w:rsidRPr="00905D32" w:rsidR="00592F9F" w:rsidP="00332119" w:rsidRDefault="005B35A8" w14:paraId="7761EDEC" w14:textId="49D88E65">
      <w:pPr>
        <w:rPr>
          <w:b/>
          <w:szCs w:val="18"/>
        </w:rPr>
      </w:pPr>
      <w:r w:rsidRPr="00905D32">
        <w:rPr>
          <w:b/>
          <w:szCs w:val="18"/>
        </w:rPr>
        <w:t>Agenda</w:t>
      </w:r>
      <w:r w:rsidRPr="00905D32" w:rsidR="00E719B8">
        <w:rPr>
          <w:b/>
          <w:szCs w:val="18"/>
        </w:rPr>
        <w:t xml:space="preserve"> BWO Industrie – voorjaar ‘25</w:t>
      </w:r>
    </w:p>
    <w:p w:rsidRPr="00905D32" w:rsidR="00006F8A" w:rsidP="00006F8A" w:rsidRDefault="00006F8A" w14:paraId="1013188D" w14:textId="77777777">
      <w:pPr>
        <w:numPr>
          <w:ilvl w:val="0"/>
          <w:numId w:val="16"/>
        </w:numPr>
        <w:rPr>
          <w:szCs w:val="18"/>
        </w:rPr>
      </w:pPr>
      <w:r w:rsidRPr="00905D32">
        <w:rPr>
          <w:szCs w:val="18"/>
        </w:rPr>
        <w:t>Opening</w:t>
      </w:r>
    </w:p>
    <w:p w:rsidRPr="00905D32" w:rsidR="00006F8A" w:rsidP="00006F8A" w:rsidRDefault="00006F8A" w14:paraId="47A1A580" w14:textId="313F0855">
      <w:pPr>
        <w:numPr>
          <w:ilvl w:val="0"/>
          <w:numId w:val="16"/>
        </w:numPr>
        <w:rPr>
          <w:szCs w:val="18"/>
        </w:rPr>
      </w:pPr>
      <w:r w:rsidRPr="00905D32">
        <w:rPr>
          <w:szCs w:val="18"/>
        </w:rPr>
        <w:t>Beleidsopties ter bevordering randvoorwaarden voor emissiereductie</w:t>
      </w:r>
      <w:r w:rsidR="008E33D3">
        <w:rPr>
          <w:szCs w:val="18"/>
        </w:rPr>
        <w:t xml:space="preserve"> en elektrificatie</w:t>
      </w:r>
      <w:r w:rsidRPr="00905D32">
        <w:rPr>
          <w:szCs w:val="18"/>
        </w:rPr>
        <w:t xml:space="preserve"> industrie  </w:t>
      </w:r>
    </w:p>
    <w:p w:rsidR="00006F8A" w:rsidP="00006F8A" w:rsidRDefault="00006F8A" w14:paraId="1F56F5E5" w14:textId="43AE639D">
      <w:pPr>
        <w:pStyle w:val="Lijstalinea"/>
        <w:numPr>
          <w:ilvl w:val="0"/>
          <w:numId w:val="16"/>
        </w:numPr>
        <w:rPr>
          <w:szCs w:val="18"/>
        </w:rPr>
      </w:pPr>
      <w:r w:rsidRPr="00905D32">
        <w:rPr>
          <w:szCs w:val="18"/>
        </w:rPr>
        <w:t>Overige beleidsopties ter bevordering borging emissie reductie</w:t>
      </w:r>
      <w:r w:rsidR="008E33D3">
        <w:rPr>
          <w:szCs w:val="18"/>
        </w:rPr>
        <w:t xml:space="preserve"> en elektrificatie</w:t>
      </w:r>
      <w:r w:rsidRPr="00905D32">
        <w:rPr>
          <w:szCs w:val="18"/>
        </w:rPr>
        <w:t xml:space="preserve"> industrie  </w:t>
      </w:r>
    </w:p>
    <w:p w:rsidR="00202F9C" w:rsidP="00202F9C" w:rsidRDefault="00202F9C" w14:paraId="296FBBFD" w14:textId="77777777">
      <w:pPr>
        <w:pStyle w:val="paragraph"/>
        <w:spacing w:before="0" w:beforeAutospacing="0" w:after="0" w:afterAutospacing="0"/>
        <w:ind w:left="390" w:firstLine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3.1 CO2-heffing industrie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202F9C" w:rsidP="00202F9C" w:rsidRDefault="00202F9C" w14:paraId="3E8BADF4" w14:textId="77777777">
      <w:pPr>
        <w:pStyle w:val="paragraph"/>
        <w:spacing w:before="0" w:beforeAutospacing="0" w:after="0" w:afterAutospacing="0"/>
        <w:ind w:left="390" w:firstLine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3.2. Realisatie markt voor groene waterstof 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202F9C" w:rsidP="00202F9C" w:rsidRDefault="00202F9C" w14:paraId="0F9D49B4" w14:textId="77777777">
      <w:pPr>
        <w:pStyle w:val="paragraph"/>
        <w:spacing w:before="0" w:beforeAutospacing="0" w:after="0" w:afterAutospacing="0"/>
        <w:ind w:left="390" w:firstLine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3.3. Ter info: Normering fossiele warmte opwek 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202F9C" w:rsidP="00202F9C" w:rsidRDefault="00202F9C" w14:paraId="20212CA0" w14:textId="77777777">
      <w:pPr>
        <w:pStyle w:val="paragraph"/>
        <w:spacing w:before="0" w:beforeAutospacing="0" w:after="0" w:afterAutospacing="0"/>
        <w:ind w:left="390" w:firstLine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3.4. Ter info: Onderzoek aanscherping EB aardgas ETS2 en dienstensector  </w:t>
      </w:r>
    </w:p>
    <w:p w:rsidR="00020677" w:rsidP="00B73F11" w:rsidRDefault="00020677" w14:paraId="5CAB131E" w14:textId="77777777">
      <w:pPr>
        <w:rPr>
          <w:b/>
          <w:bCs/>
          <w:szCs w:val="18"/>
        </w:rPr>
      </w:pPr>
    </w:p>
    <w:p w:rsidRPr="00905D32" w:rsidR="007075B1" w:rsidP="006E3CC3" w:rsidRDefault="0B410813" w14:paraId="051FD789" w14:textId="06A3BCCB">
      <w:pPr>
        <w:pStyle w:val="Lijstalinea"/>
        <w:numPr>
          <w:ilvl w:val="0"/>
          <w:numId w:val="8"/>
        </w:numPr>
        <w:rPr>
          <w:b/>
          <w:bCs/>
          <w:szCs w:val="18"/>
        </w:rPr>
      </w:pPr>
      <w:r w:rsidRPr="00905D32">
        <w:rPr>
          <w:b/>
          <w:bCs/>
          <w:szCs w:val="18"/>
        </w:rPr>
        <w:t>Opening</w:t>
      </w:r>
    </w:p>
    <w:p w:rsidRPr="00905D32" w:rsidR="0350A46C" w:rsidP="00332119" w:rsidRDefault="0350A46C" w14:paraId="1458A31A" w14:textId="3BE17075">
      <w:pPr>
        <w:pStyle w:val="Lijstalinea"/>
        <w:rPr>
          <w:b/>
          <w:bCs/>
          <w:color w:val="365F91" w:themeColor="accent1" w:themeShade="BF"/>
          <w:szCs w:val="18"/>
          <w:u w:val="single"/>
        </w:rPr>
      </w:pPr>
    </w:p>
    <w:p w:rsidRPr="00B56D9C" w:rsidR="005B66AE" w:rsidP="006E3CC3" w:rsidRDefault="386ECA29" w14:paraId="2BE4120E" w14:textId="44868082">
      <w:pPr>
        <w:pStyle w:val="Lijstalinea"/>
        <w:numPr>
          <w:ilvl w:val="0"/>
          <w:numId w:val="7"/>
        </w:numPr>
        <w:rPr>
          <w:szCs w:val="18"/>
        </w:rPr>
      </w:pPr>
      <w:r w:rsidRPr="00B56D9C">
        <w:rPr>
          <w:rFonts w:eastAsia="Verdana" w:cs="Verdana"/>
          <w:szCs w:val="18"/>
        </w:rPr>
        <w:t xml:space="preserve">De </w:t>
      </w:r>
      <w:r w:rsidRPr="00B56D9C" w:rsidR="00BD2201">
        <w:rPr>
          <w:rFonts w:eastAsia="Verdana" w:cs="Verdana"/>
          <w:szCs w:val="18"/>
        </w:rPr>
        <w:t>KEV</w:t>
      </w:r>
      <w:r w:rsidRPr="00B56D9C">
        <w:rPr>
          <w:rFonts w:eastAsia="Verdana" w:cs="Verdana"/>
          <w:szCs w:val="18"/>
        </w:rPr>
        <w:t xml:space="preserve">-ramingen laten een gat zien tussen het restemissiedoel voor de sector industrie (29,1 </w:t>
      </w:r>
      <w:proofErr w:type="spellStart"/>
      <w:r w:rsidRPr="00B56D9C">
        <w:rPr>
          <w:rFonts w:eastAsia="Verdana" w:cs="Verdana"/>
          <w:szCs w:val="18"/>
        </w:rPr>
        <w:t>Mton</w:t>
      </w:r>
      <w:proofErr w:type="spellEnd"/>
      <w:r w:rsidRPr="00B56D9C">
        <w:rPr>
          <w:rFonts w:eastAsia="Verdana" w:cs="Verdana"/>
          <w:szCs w:val="18"/>
        </w:rPr>
        <w:t>) en de verwachte realisatie in 2030</w:t>
      </w:r>
      <w:r w:rsidRPr="00B56D9C" w:rsidR="005B66AE">
        <w:rPr>
          <w:rFonts w:eastAsia="Verdana" w:cs="Verdana"/>
          <w:szCs w:val="18"/>
        </w:rPr>
        <w:t xml:space="preserve"> </w:t>
      </w:r>
      <w:r w:rsidRPr="00B56D9C">
        <w:rPr>
          <w:rFonts w:eastAsia="Verdana" w:cs="Verdana"/>
          <w:szCs w:val="18"/>
        </w:rPr>
        <w:t>(</w:t>
      </w:r>
      <w:r w:rsidRPr="00B56D9C" w:rsidR="005B66AE">
        <w:rPr>
          <w:rFonts w:eastAsia="Verdana" w:cs="Verdana"/>
          <w:szCs w:val="18"/>
        </w:rPr>
        <w:t xml:space="preserve">38,5 </w:t>
      </w:r>
      <w:proofErr w:type="spellStart"/>
      <w:r w:rsidRPr="00B56D9C" w:rsidR="005B66AE">
        <w:rPr>
          <w:rFonts w:eastAsia="Verdana" w:cs="Verdana"/>
          <w:szCs w:val="18"/>
        </w:rPr>
        <w:t>Mton</w:t>
      </w:r>
      <w:proofErr w:type="spellEnd"/>
      <w:r w:rsidRPr="00B56D9C" w:rsidR="005B66AE">
        <w:rPr>
          <w:rFonts w:eastAsia="Verdana" w:cs="Verdana"/>
          <w:szCs w:val="18"/>
        </w:rPr>
        <w:t xml:space="preserve"> (</w:t>
      </w:r>
      <w:r w:rsidRPr="00B56D9C">
        <w:rPr>
          <w:rFonts w:eastAsia="Verdana" w:cs="Verdana"/>
          <w:szCs w:val="18"/>
        </w:rPr>
        <w:t xml:space="preserve">32,1-41,3 </w:t>
      </w:r>
      <w:proofErr w:type="spellStart"/>
      <w:r w:rsidRPr="00B56D9C">
        <w:rPr>
          <w:rFonts w:eastAsia="Verdana" w:cs="Verdana"/>
          <w:szCs w:val="18"/>
        </w:rPr>
        <w:t>Mton</w:t>
      </w:r>
      <w:proofErr w:type="spellEnd"/>
      <w:r w:rsidRPr="00B56D9C" w:rsidR="005B66AE">
        <w:rPr>
          <w:rFonts w:eastAsia="Verdana" w:cs="Verdana"/>
          <w:szCs w:val="18"/>
        </w:rPr>
        <w:t>)</w:t>
      </w:r>
      <w:r w:rsidRPr="00B56D9C">
        <w:rPr>
          <w:rFonts w:eastAsia="Verdana" w:cs="Verdana"/>
          <w:szCs w:val="18"/>
        </w:rPr>
        <w:t>).</w:t>
      </w:r>
      <w:r w:rsidRPr="00B56D9C">
        <w:rPr>
          <w:szCs w:val="18"/>
        </w:rPr>
        <w:t xml:space="preserve"> </w:t>
      </w:r>
      <w:r w:rsidRPr="00B56D9C" w:rsidR="005B66AE">
        <w:rPr>
          <w:szCs w:val="18"/>
        </w:rPr>
        <w:t xml:space="preserve">Aanvullende inzet is nodig om </w:t>
      </w:r>
      <w:r w:rsidRPr="00B56D9C" w:rsidR="00BD5725">
        <w:rPr>
          <w:szCs w:val="18"/>
        </w:rPr>
        <w:t>het sector</w:t>
      </w:r>
      <w:r w:rsidRPr="00B56D9C" w:rsidR="005B66AE">
        <w:rPr>
          <w:szCs w:val="18"/>
        </w:rPr>
        <w:t>doel voor</w:t>
      </w:r>
      <w:r w:rsidRPr="00B56D9C" w:rsidR="00BD5725">
        <w:rPr>
          <w:szCs w:val="18"/>
        </w:rPr>
        <w:t xml:space="preserve"> de</w:t>
      </w:r>
      <w:r w:rsidRPr="00B56D9C" w:rsidR="005B66AE">
        <w:rPr>
          <w:szCs w:val="18"/>
        </w:rPr>
        <w:t xml:space="preserve"> industrie binnen bereik te brengen.</w:t>
      </w:r>
    </w:p>
    <w:p w:rsidRPr="00B56D9C" w:rsidR="00BD2201" w:rsidP="006E3CC3" w:rsidRDefault="00BD2201" w14:paraId="386DF88E" w14:textId="5424139A">
      <w:pPr>
        <w:pStyle w:val="Lijstalinea"/>
        <w:numPr>
          <w:ilvl w:val="0"/>
          <w:numId w:val="7"/>
        </w:numPr>
        <w:rPr>
          <w:szCs w:val="18"/>
        </w:rPr>
      </w:pPr>
      <w:r w:rsidRPr="00B56D9C">
        <w:rPr>
          <w:szCs w:val="18"/>
        </w:rPr>
        <w:t xml:space="preserve">Ook </w:t>
      </w:r>
      <w:r w:rsidR="0001241B">
        <w:rPr>
          <w:szCs w:val="18"/>
        </w:rPr>
        <w:t>signaleert</w:t>
      </w:r>
      <w:r w:rsidRPr="00B56D9C" w:rsidR="0001241B">
        <w:rPr>
          <w:szCs w:val="18"/>
        </w:rPr>
        <w:t xml:space="preserve"> </w:t>
      </w:r>
      <w:r w:rsidRPr="00B56D9C">
        <w:rPr>
          <w:szCs w:val="18"/>
        </w:rPr>
        <w:t>PBL dat aanvullend beleid nodig is voor het behalen van het nationale energiebesparingsdoel (EED).</w:t>
      </w:r>
      <w:r w:rsidRPr="00B56D9C" w:rsidR="006E3CC3">
        <w:rPr>
          <w:szCs w:val="18"/>
        </w:rPr>
        <w:t xml:space="preserve"> Het energieverbruik van de industrie wordt geraamd op 510 PJ in de KEV</w:t>
      </w:r>
      <w:r w:rsidR="00663312">
        <w:rPr>
          <w:szCs w:val="18"/>
        </w:rPr>
        <w:t xml:space="preserve">. </w:t>
      </w:r>
      <w:r w:rsidR="00D47228">
        <w:rPr>
          <w:szCs w:val="18"/>
        </w:rPr>
        <w:t>Daarmee zit de industrie nog 31 PJ af van het door TNO voorgestelde sectordoel van 479PJ).</w:t>
      </w:r>
      <w:r w:rsidRPr="00B56D9C" w:rsidR="00D47228">
        <w:rPr>
          <w:szCs w:val="18"/>
        </w:rPr>
        <w:t xml:space="preserve"> </w:t>
      </w:r>
      <w:r w:rsidR="00663312">
        <w:rPr>
          <w:szCs w:val="18"/>
        </w:rPr>
        <w:t>D</w:t>
      </w:r>
      <w:r w:rsidRPr="00B56D9C" w:rsidR="006E3CC3">
        <w:rPr>
          <w:szCs w:val="18"/>
        </w:rPr>
        <w:t xml:space="preserve">e geagendeerde maatregelen op deze agenda </w:t>
      </w:r>
      <w:r w:rsidR="00663312">
        <w:rPr>
          <w:szCs w:val="18"/>
        </w:rPr>
        <w:t xml:space="preserve">(CCS en waterstofmaatregelen) </w:t>
      </w:r>
      <w:r w:rsidRPr="00B56D9C" w:rsidR="006E3CC3">
        <w:rPr>
          <w:szCs w:val="18"/>
        </w:rPr>
        <w:t xml:space="preserve">hebben naar verwachting negatief effect op doelbereik energiebesparing. </w:t>
      </w:r>
    </w:p>
    <w:p w:rsidRPr="00B56D9C" w:rsidR="00E719B8" w:rsidP="00E719B8" w:rsidRDefault="00E719B8" w14:paraId="6A5BAE68" w14:textId="0710E38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00B56D9C">
        <w:rPr>
          <w:rStyle w:val="normaltextrun"/>
          <w:rFonts w:ascii="Verdana" w:hAnsi="Verdana"/>
          <w:sz w:val="18"/>
          <w:szCs w:val="18"/>
        </w:rPr>
        <w:t>In dit</w:t>
      </w:r>
      <w:r w:rsidRPr="00B56D9C" w:rsidR="00EB1225">
        <w:rPr>
          <w:rStyle w:val="normaltextrun"/>
          <w:rFonts w:ascii="Verdana" w:hAnsi="Verdana"/>
          <w:strike/>
          <w:sz w:val="18"/>
          <w:szCs w:val="18"/>
        </w:rPr>
        <w:t xml:space="preserve"> </w:t>
      </w:r>
      <w:r w:rsidRPr="00B56D9C" w:rsidR="00EB1225">
        <w:rPr>
          <w:rStyle w:val="normaltextrun"/>
          <w:rFonts w:ascii="Verdana" w:hAnsi="Verdana"/>
          <w:sz w:val="18"/>
          <w:szCs w:val="18"/>
        </w:rPr>
        <w:t>BWO stellen we de maatregelen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 vast </w:t>
      </w:r>
      <w:r w:rsidRPr="00B56D9C" w:rsidR="000630FB">
        <w:rPr>
          <w:rStyle w:val="normaltextrun"/>
          <w:rFonts w:ascii="Verdana" w:hAnsi="Verdana"/>
          <w:sz w:val="18"/>
          <w:szCs w:val="18"/>
        </w:rPr>
        <w:t xml:space="preserve">die noodzakelijk zijn 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om </w:t>
      </w:r>
      <w:r w:rsidRPr="00B56D9C" w:rsidR="00EB1225">
        <w:rPr>
          <w:rStyle w:val="normaltextrun"/>
          <w:rFonts w:ascii="Verdana" w:hAnsi="Verdana"/>
          <w:sz w:val="18"/>
          <w:szCs w:val="18"/>
        </w:rPr>
        <w:t xml:space="preserve">de 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randvoorwaarden op orde te krijgen </w:t>
      </w:r>
      <w:r w:rsidRPr="00B56D9C" w:rsidR="000630FB">
        <w:rPr>
          <w:rStyle w:val="normaltextrun"/>
          <w:rFonts w:ascii="Verdana" w:hAnsi="Verdana"/>
          <w:sz w:val="18"/>
          <w:szCs w:val="18"/>
        </w:rPr>
        <w:t xml:space="preserve">en aanvullende </w:t>
      </w:r>
      <w:r w:rsidR="00025D03">
        <w:rPr>
          <w:rStyle w:val="normaltextrun"/>
          <w:rFonts w:ascii="Verdana" w:hAnsi="Verdana"/>
          <w:sz w:val="18"/>
          <w:szCs w:val="18"/>
        </w:rPr>
        <w:t xml:space="preserve">maatregelen 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die het </w:t>
      </w:r>
      <w:r w:rsidR="00D47228">
        <w:rPr>
          <w:rStyle w:val="normaltextrun"/>
          <w:rFonts w:ascii="Verdana" w:hAnsi="Verdana"/>
          <w:sz w:val="18"/>
          <w:szCs w:val="18"/>
        </w:rPr>
        <w:t>emissie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sectordoel voor de industrie </w:t>
      </w:r>
      <w:r w:rsidRPr="00B56D9C" w:rsidR="000630FB">
        <w:rPr>
          <w:rStyle w:val="normaltextrun"/>
          <w:rFonts w:ascii="Verdana" w:hAnsi="Verdana"/>
          <w:sz w:val="18"/>
          <w:szCs w:val="18"/>
        </w:rPr>
        <w:t>dichterbij brengen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. </w:t>
      </w:r>
    </w:p>
    <w:p w:rsidRPr="00B56D9C" w:rsidR="00E719B8" w:rsidP="00E719B8" w:rsidRDefault="00E719B8" w14:paraId="5A3EBD25" w14:textId="7723237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00B56D9C">
        <w:rPr>
          <w:rStyle w:val="normaltextrun"/>
          <w:rFonts w:ascii="Verdana" w:hAnsi="Verdana"/>
          <w:sz w:val="18"/>
          <w:szCs w:val="18"/>
        </w:rPr>
        <w:t xml:space="preserve">Bij </w:t>
      </w:r>
      <w:r w:rsidR="00050FB2">
        <w:rPr>
          <w:rStyle w:val="normaltextrun"/>
          <w:rFonts w:ascii="Verdana" w:hAnsi="Verdana"/>
          <w:sz w:val="18"/>
          <w:szCs w:val="18"/>
        </w:rPr>
        <w:t>het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 BWO</w:t>
      </w:r>
      <w:r w:rsidRPr="00B56D9C" w:rsidR="00AE06DB">
        <w:rPr>
          <w:rStyle w:val="normaltextrun"/>
          <w:rFonts w:ascii="Verdana" w:hAnsi="Verdana"/>
          <w:sz w:val="18"/>
          <w:szCs w:val="18"/>
        </w:rPr>
        <w:t xml:space="preserve"> CE</w:t>
      </w:r>
      <w:r w:rsidR="00691F7F">
        <w:rPr>
          <w:rStyle w:val="normaltextrun"/>
          <w:rFonts w:ascii="Verdana" w:hAnsi="Verdana"/>
          <w:sz w:val="18"/>
          <w:szCs w:val="18"/>
        </w:rPr>
        <w:t xml:space="preserve">, BWO </w:t>
      </w:r>
      <w:r w:rsidR="0001241B">
        <w:rPr>
          <w:rStyle w:val="normaltextrun"/>
          <w:rFonts w:ascii="Verdana" w:hAnsi="Verdana"/>
          <w:sz w:val="18"/>
          <w:szCs w:val="18"/>
        </w:rPr>
        <w:t>E</w:t>
      </w:r>
      <w:r w:rsidR="00691F7F">
        <w:rPr>
          <w:rStyle w:val="normaltextrun"/>
          <w:rFonts w:ascii="Verdana" w:hAnsi="Verdana"/>
          <w:sz w:val="18"/>
          <w:szCs w:val="18"/>
        </w:rPr>
        <w:t>lektriciteit</w:t>
      </w:r>
      <w:r w:rsidRPr="00B56D9C" w:rsidR="00AE06DB">
        <w:rPr>
          <w:rStyle w:val="normaltextrun"/>
          <w:rFonts w:ascii="Verdana" w:hAnsi="Verdana"/>
          <w:sz w:val="18"/>
          <w:szCs w:val="18"/>
        </w:rPr>
        <w:t xml:space="preserve"> en </w:t>
      </w:r>
      <w:r w:rsidR="00050FB2">
        <w:rPr>
          <w:rStyle w:val="normaltextrun"/>
          <w:rFonts w:ascii="Verdana" w:hAnsi="Verdana"/>
          <w:sz w:val="18"/>
          <w:szCs w:val="18"/>
        </w:rPr>
        <w:t xml:space="preserve">het </w:t>
      </w:r>
      <w:r w:rsidRPr="00B56D9C" w:rsidR="00AE06DB">
        <w:rPr>
          <w:rStyle w:val="normaltextrun"/>
          <w:rFonts w:ascii="Verdana" w:hAnsi="Verdana"/>
          <w:sz w:val="18"/>
          <w:szCs w:val="18"/>
        </w:rPr>
        <w:t>BWO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 </w:t>
      </w:r>
      <w:r w:rsidRPr="00B56D9C" w:rsidR="00AE06DB">
        <w:rPr>
          <w:rStyle w:val="normaltextrun"/>
          <w:rFonts w:ascii="Verdana" w:hAnsi="Verdana"/>
          <w:sz w:val="18"/>
          <w:szCs w:val="18"/>
        </w:rPr>
        <w:t>M</w:t>
      </w:r>
      <w:r w:rsidRPr="00B56D9C" w:rsidR="00EF66C1">
        <w:rPr>
          <w:rStyle w:val="normaltextrun"/>
          <w:rFonts w:ascii="Verdana" w:hAnsi="Verdana"/>
          <w:sz w:val="18"/>
          <w:szCs w:val="18"/>
        </w:rPr>
        <w:t>obiliteit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 (</w:t>
      </w:r>
      <w:r w:rsidR="00424B9D">
        <w:rPr>
          <w:rStyle w:val="normaltextrun"/>
          <w:rFonts w:ascii="Verdana" w:hAnsi="Verdana"/>
          <w:sz w:val="18"/>
          <w:szCs w:val="18"/>
        </w:rPr>
        <w:t>deze week</w:t>
      </w:r>
      <w:r w:rsidRPr="00B56D9C">
        <w:rPr>
          <w:rStyle w:val="normaltextrun"/>
          <w:rFonts w:ascii="Verdana" w:hAnsi="Verdana"/>
          <w:sz w:val="18"/>
          <w:szCs w:val="18"/>
        </w:rPr>
        <w:t xml:space="preserve">) zullen de maatregelen, die ook bijdragen bij het emissiedoel industrie maar waarbij beleidsverantwoordelijkheid bij I&amp;W ligt, worden besproken. Dit betreft maatregelen omtrent de </w:t>
      </w:r>
      <w:proofErr w:type="spellStart"/>
      <w:r w:rsidRPr="00B56D9C">
        <w:rPr>
          <w:rStyle w:val="normaltextrun"/>
          <w:rFonts w:ascii="Verdana" w:hAnsi="Verdana"/>
          <w:sz w:val="18"/>
          <w:szCs w:val="18"/>
        </w:rPr>
        <w:t>AVI’s</w:t>
      </w:r>
      <w:proofErr w:type="spellEnd"/>
      <w:r w:rsidRPr="00B56D9C">
        <w:rPr>
          <w:rStyle w:val="normaltextrun"/>
          <w:rFonts w:ascii="Verdana" w:hAnsi="Verdana"/>
          <w:sz w:val="18"/>
          <w:szCs w:val="18"/>
        </w:rPr>
        <w:t xml:space="preserve">, plastics, </w:t>
      </w:r>
      <w:proofErr w:type="spellStart"/>
      <w:r w:rsidR="00691F7F">
        <w:rPr>
          <w:rStyle w:val="normaltextrun"/>
          <w:rFonts w:ascii="Verdana" w:hAnsi="Verdana"/>
          <w:sz w:val="18"/>
          <w:szCs w:val="18"/>
        </w:rPr>
        <w:t>iDSR</w:t>
      </w:r>
      <w:proofErr w:type="spellEnd"/>
      <w:r w:rsidR="00691F7F">
        <w:rPr>
          <w:rStyle w:val="normaltextrun"/>
          <w:rFonts w:ascii="Verdana" w:hAnsi="Verdana"/>
          <w:sz w:val="18"/>
          <w:szCs w:val="18"/>
        </w:rPr>
        <w:t xml:space="preserve">-normering, </w:t>
      </w:r>
      <w:r w:rsidRPr="00B56D9C">
        <w:rPr>
          <w:rStyle w:val="normaltextrun"/>
          <w:rFonts w:ascii="Verdana" w:hAnsi="Verdana"/>
          <w:sz w:val="18"/>
          <w:szCs w:val="18"/>
        </w:rPr>
        <w:t>raffinageroute en circulair bouwen.</w:t>
      </w:r>
      <w:r w:rsidRPr="00B56D9C">
        <w:rPr>
          <w:rStyle w:val="eop"/>
          <w:rFonts w:ascii="Verdana" w:hAnsi="Verdana"/>
          <w:sz w:val="18"/>
          <w:szCs w:val="18"/>
        </w:rPr>
        <w:t> </w:t>
      </w:r>
    </w:p>
    <w:p w:rsidRPr="00905D32" w:rsidR="0350A46C" w:rsidP="00332119" w:rsidRDefault="0350A46C" w14:paraId="28EB4EC5" w14:textId="591146C9">
      <w:pPr>
        <w:rPr>
          <w:szCs w:val="18"/>
        </w:rPr>
      </w:pPr>
    </w:p>
    <w:p w:rsidRPr="00905D32" w:rsidR="00020965" w:rsidP="00020965" w:rsidRDefault="00020965" w14:paraId="2D8E87BD" w14:textId="690FB477">
      <w:pPr>
        <w:pStyle w:val="Lijstalinea"/>
        <w:numPr>
          <w:ilvl w:val="0"/>
          <w:numId w:val="9"/>
        </w:numPr>
        <w:rPr>
          <w:i/>
          <w:iCs/>
          <w:szCs w:val="18"/>
        </w:rPr>
      </w:pPr>
      <w:bookmarkStart w:name="OLE_LINK3" w:id="0"/>
      <w:r w:rsidRPr="00905D32">
        <w:rPr>
          <w:b/>
          <w:bCs/>
          <w:szCs w:val="18"/>
        </w:rPr>
        <w:t>Beleidsopties ter bevordering</w:t>
      </w:r>
      <w:bookmarkEnd w:id="0"/>
      <w:r w:rsidRPr="00905D32">
        <w:rPr>
          <w:b/>
          <w:bCs/>
          <w:szCs w:val="18"/>
        </w:rPr>
        <w:t xml:space="preserve"> randvoorwaarden voor emissiereductie </w:t>
      </w:r>
      <w:r w:rsidR="008E33D3">
        <w:rPr>
          <w:b/>
          <w:bCs/>
          <w:szCs w:val="18"/>
        </w:rPr>
        <w:t xml:space="preserve">en elektrificatie </w:t>
      </w:r>
      <w:r w:rsidRPr="00905D32">
        <w:rPr>
          <w:b/>
          <w:bCs/>
          <w:szCs w:val="18"/>
        </w:rPr>
        <w:t xml:space="preserve">industrie  </w:t>
      </w:r>
    </w:p>
    <w:p w:rsidRPr="00905D32" w:rsidR="0042563B" w:rsidP="00E66B8A" w:rsidRDefault="005B35A8" w14:paraId="79F5C9DD" w14:textId="01F4A2E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i/>
          <w:iCs/>
          <w:szCs w:val="18"/>
        </w:rPr>
      </w:pPr>
      <w:r w:rsidRPr="00905D32">
        <w:rPr>
          <w:i/>
          <w:iCs/>
          <w:szCs w:val="18"/>
        </w:rPr>
        <w:t>Gevraagd besluit</w:t>
      </w:r>
      <w:r w:rsidRPr="00905D32" w:rsidR="31A20CD3">
        <w:rPr>
          <w:i/>
          <w:iCs/>
          <w:szCs w:val="18"/>
        </w:rPr>
        <w:t xml:space="preserve">: </w:t>
      </w:r>
    </w:p>
    <w:p w:rsidRPr="00905D32" w:rsidR="0042563B" w:rsidP="00611FBE" w:rsidRDefault="00E719B8" w14:paraId="0B2C1791" w14:textId="08607BB0">
      <w:pPr>
        <w:pStyle w:val="Lijstalinea"/>
        <w:numPr>
          <w:ilvl w:val="0"/>
          <w:numId w:val="13"/>
        </w:num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i/>
          <w:iCs/>
          <w:szCs w:val="18"/>
        </w:rPr>
      </w:pPr>
      <w:r w:rsidRPr="00905D32">
        <w:rPr>
          <w:i/>
          <w:iCs/>
          <w:szCs w:val="18"/>
        </w:rPr>
        <w:t xml:space="preserve">Gaat u akkoord </w:t>
      </w:r>
      <w:r w:rsidRPr="00905D32" w:rsidR="00533E9A">
        <w:rPr>
          <w:i/>
          <w:iCs/>
          <w:szCs w:val="18"/>
        </w:rPr>
        <w:t xml:space="preserve">met </w:t>
      </w:r>
      <w:r w:rsidRPr="00905D32" w:rsidR="31A20CD3">
        <w:rPr>
          <w:i/>
          <w:iCs/>
          <w:szCs w:val="18"/>
        </w:rPr>
        <w:t xml:space="preserve">de </w:t>
      </w:r>
      <w:r w:rsidRPr="00905D32" w:rsidR="0042563B">
        <w:rPr>
          <w:i/>
          <w:iCs/>
          <w:szCs w:val="18"/>
        </w:rPr>
        <w:t xml:space="preserve">onderstaande </w:t>
      </w:r>
      <w:r w:rsidRPr="00905D32" w:rsidR="31A20CD3">
        <w:rPr>
          <w:i/>
          <w:iCs/>
          <w:szCs w:val="18"/>
        </w:rPr>
        <w:t>beleidsopties ter bevordering van de randvoorwaarden</w:t>
      </w:r>
      <w:r w:rsidR="00905D32">
        <w:rPr>
          <w:i/>
          <w:iCs/>
          <w:szCs w:val="18"/>
        </w:rPr>
        <w:t xml:space="preserve"> voor de industrie</w:t>
      </w:r>
      <w:r w:rsidRPr="00905D32" w:rsidR="31A20CD3">
        <w:rPr>
          <w:i/>
          <w:iCs/>
          <w:szCs w:val="18"/>
        </w:rPr>
        <w:t>?</w:t>
      </w:r>
    </w:p>
    <w:p w:rsidRPr="00905D32" w:rsidR="00AE0D7C" w:rsidP="00332119" w:rsidRDefault="00AE0D7C" w14:paraId="685BD1FE" w14:textId="77777777">
      <w:pPr>
        <w:pStyle w:val="Lijstalinea"/>
        <w:ind w:left="1080"/>
        <w:rPr>
          <w:szCs w:val="18"/>
        </w:rPr>
      </w:pPr>
    </w:p>
    <w:p w:rsidRPr="00905D32" w:rsidR="005B66AE" w:rsidP="006E3CC3" w:rsidRDefault="00533E9A" w14:paraId="628045C8" w14:textId="684FA77C">
      <w:pPr>
        <w:pStyle w:val="Lijstalinea"/>
        <w:numPr>
          <w:ilvl w:val="0"/>
          <w:numId w:val="6"/>
        </w:numPr>
        <w:rPr>
          <w:rFonts w:eastAsia="Verdana" w:cs="Verdana"/>
          <w:color w:val="000000" w:themeColor="text1"/>
          <w:szCs w:val="18"/>
        </w:rPr>
      </w:pPr>
      <w:proofErr w:type="spellStart"/>
      <w:r w:rsidRPr="00905D32">
        <w:rPr>
          <w:rFonts w:eastAsia="Verdana" w:cs="Verdana"/>
          <w:color w:val="000000" w:themeColor="text1"/>
          <w:szCs w:val="18"/>
        </w:rPr>
        <w:t>R</w:t>
      </w:r>
      <w:r w:rsidRPr="00905D32" w:rsidR="00AE0D7C">
        <w:rPr>
          <w:rFonts w:eastAsia="Verdana" w:cs="Verdana"/>
          <w:color w:val="000000" w:themeColor="text1"/>
          <w:szCs w:val="18"/>
        </w:rPr>
        <w:t>andvoorwaardelijke</w:t>
      </w:r>
      <w:proofErr w:type="spellEnd"/>
      <w:r w:rsidRPr="00905D32" w:rsidR="00AE0D7C">
        <w:rPr>
          <w:rFonts w:eastAsia="Verdana" w:cs="Verdana"/>
          <w:color w:val="000000" w:themeColor="text1"/>
          <w:szCs w:val="18"/>
        </w:rPr>
        <w:t xml:space="preserve"> investeringen </w:t>
      </w:r>
      <w:r w:rsidRPr="00905D32" w:rsidR="005B66AE">
        <w:rPr>
          <w:rFonts w:eastAsia="Verdana" w:cs="Verdana"/>
          <w:color w:val="000000" w:themeColor="text1"/>
          <w:szCs w:val="18"/>
        </w:rPr>
        <w:t xml:space="preserve">zijn </w:t>
      </w:r>
      <w:r w:rsidRPr="00905D32" w:rsidR="0030771E">
        <w:rPr>
          <w:rFonts w:eastAsia="Verdana" w:cs="Verdana"/>
          <w:color w:val="000000" w:themeColor="text1"/>
          <w:szCs w:val="18"/>
        </w:rPr>
        <w:t xml:space="preserve">nodig </w:t>
      </w:r>
      <w:r w:rsidRPr="00905D32" w:rsidR="00AE0D7C">
        <w:rPr>
          <w:rFonts w:eastAsia="Verdana" w:cs="Verdana"/>
          <w:color w:val="000000" w:themeColor="text1"/>
          <w:szCs w:val="18"/>
        </w:rPr>
        <w:t>voor de ontwikkeling van het energiesysteem</w:t>
      </w:r>
      <w:r w:rsidRPr="00905D32" w:rsidR="00F82D45">
        <w:rPr>
          <w:rFonts w:eastAsia="Verdana" w:cs="Verdana"/>
          <w:color w:val="000000" w:themeColor="text1"/>
          <w:szCs w:val="18"/>
        </w:rPr>
        <w:t xml:space="preserve"> en elektrificatie</w:t>
      </w:r>
      <w:r w:rsidRPr="00905D32" w:rsidR="00E719B8">
        <w:rPr>
          <w:rFonts w:eastAsia="Verdana" w:cs="Verdana"/>
          <w:color w:val="000000" w:themeColor="text1"/>
          <w:szCs w:val="18"/>
        </w:rPr>
        <w:t>,</w:t>
      </w:r>
      <w:r w:rsidRPr="00905D32" w:rsidR="00611FBE">
        <w:rPr>
          <w:rFonts w:eastAsia="Verdana" w:cs="Verdana"/>
          <w:color w:val="000000" w:themeColor="text1"/>
          <w:szCs w:val="18"/>
        </w:rPr>
        <w:t xml:space="preserve"> </w:t>
      </w:r>
      <w:r w:rsidRPr="00905D32" w:rsidR="008475A1">
        <w:rPr>
          <w:rFonts w:eastAsia="Verdana" w:cs="Verdana"/>
          <w:color w:val="000000" w:themeColor="text1"/>
          <w:szCs w:val="18"/>
        </w:rPr>
        <w:t>om zo investeringen vanuit de industrie voor verduurzaming te realiseren.</w:t>
      </w:r>
    </w:p>
    <w:p w:rsidRPr="00905D32" w:rsidR="002649F5" w:rsidP="006E3CC3" w:rsidRDefault="005B66AE" w14:paraId="0BA7BAB2" w14:textId="609C0B54">
      <w:pPr>
        <w:pStyle w:val="Lijstalinea"/>
        <w:numPr>
          <w:ilvl w:val="0"/>
          <w:numId w:val="6"/>
        </w:numPr>
        <w:rPr>
          <w:rFonts w:eastAsia="Verdana" w:cs="Verdana"/>
          <w:color w:val="000000" w:themeColor="text1"/>
          <w:szCs w:val="18"/>
        </w:rPr>
      </w:pPr>
      <w:r w:rsidRPr="00905D32">
        <w:rPr>
          <w:rFonts w:eastAsia="Verdana" w:cs="Verdana"/>
          <w:color w:val="000000" w:themeColor="text1"/>
          <w:szCs w:val="18"/>
        </w:rPr>
        <w:t>Hiervoor zijn in het Klimaatfonds diverse maatregelen opgenomen die toezien op i) uitrol van CCS, ii) elektri</w:t>
      </w:r>
      <w:r w:rsidR="00D60600">
        <w:rPr>
          <w:rFonts w:eastAsia="Verdana" w:cs="Verdana"/>
          <w:color w:val="000000" w:themeColor="text1"/>
          <w:szCs w:val="18"/>
        </w:rPr>
        <w:t>fi</w:t>
      </w:r>
      <w:r w:rsidRPr="00905D32">
        <w:rPr>
          <w:rFonts w:eastAsia="Verdana" w:cs="Verdana"/>
          <w:color w:val="000000" w:themeColor="text1"/>
          <w:szCs w:val="18"/>
        </w:rPr>
        <w:t>catie, iii) (basisinfrastructuur</w:t>
      </w:r>
      <w:r w:rsidRPr="00905D32" w:rsidR="005B2F96">
        <w:rPr>
          <w:rFonts w:eastAsia="Verdana" w:cs="Verdana"/>
          <w:color w:val="000000" w:themeColor="text1"/>
          <w:szCs w:val="18"/>
        </w:rPr>
        <w:t xml:space="preserve"> voor</w:t>
      </w:r>
      <w:r w:rsidRPr="00905D32">
        <w:rPr>
          <w:rFonts w:eastAsia="Verdana" w:cs="Verdana"/>
          <w:color w:val="000000" w:themeColor="text1"/>
          <w:szCs w:val="18"/>
        </w:rPr>
        <w:t>) waterstof en iv) compensatie van nettarieven.</w:t>
      </w:r>
      <w:r w:rsidRPr="00905D32" w:rsidR="00813991">
        <w:rPr>
          <w:rFonts w:eastAsia="Verdana" w:cs="Verdana"/>
          <w:color w:val="000000" w:themeColor="text1"/>
          <w:szCs w:val="18"/>
        </w:rPr>
        <w:t xml:space="preserve"> </w:t>
      </w:r>
      <w:r w:rsidRPr="00905D32" w:rsidR="0042563B">
        <w:rPr>
          <w:rFonts w:eastAsia="Verdana" w:cs="Verdana"/>
          <w:color w:val="000000" w:themeColor="text1"/>
          <w:szCs w:val="18"/>
        </w:rPr>
        <w:t>In de bijlage is een volledig overzicht opgenomen van deze maatregelen.</w:t>
      </w:r>
    </w:p>
    <w:p w:rsidR="005B66AE" w:rsidP="006E3CC3" w:rsidRDefault="00611FBE" w14:paraId="602F0F71" w14:textId="1A14A17E">
      <w:pPr>
        <w:pStyle w:val="Lijstalinea"/>
        <w:numPr>
          <w:ilvl w:val="0"/>
          <w:numId w:val="6"/>
        </w:numPr>
        <w:rPr>
          <w:rFonts w:eastAsia="Verdana" w:cs="Verdana"/>
          <w:color w:val="000000" w:themeColor="text1"/>
          <w:szCs w:val="18"/>
        </w:rPr>
      </w:pPr>
      <w:r w:rsidRPr="00905D32">
        <w:rPr>
          <w:rFonts w:eastAsia="Verdana" w:cs="Verdana"/>
          <w:color w:val="000000" w:themeColor="text1"/>
          <w:szCs w:val="18"/>
        </w:rPr>
        <w:t>Het</w:t>
      </w:r>
      <w:r w:rsidRPr="00905D32" w:rsidR="00E719B8">
        <w:rPr>
          <w:rFonts w:eastAsia="Verdana" w:cs="Verdana"/>
          <w:color w:val="000000" w:themeColor="text1"/>
          <w:szCs w:val="18"/>
        </w:rPr>
        <w:t xml:space="preserve"> onderwerp </w:t>
      </w:r>
      <w:r w:rsidRPr="00905D32">
        <w:rPr>
          <w:rFonts w:eastAsia="Verdana" w:cs="Verdana"/>
          <w:color w:val="000000" w:themeColor="text1"/>
          <w:szCs w:val="18"/>
        </w:rPr>
        <w:t xml:space="preserve">nettarieven en de uitkomsten van het IBO </w:t>
      </w:r>
      <w:r w:rsidRPr="00905D32" w:rsidR="005B2F96">
        <w:rPr>
          <w:rFonts w:eastAsia="Verdana" w:cs="Verdana"/>
          <w:color w:val="000000" w:themeColor="text1"/>
          <w:szCs w:val="18"/>
        </w:rPr>
        <w:t>bekostiging elektriciteitsinfrastructuur zullen</w:t>
      </w:r>
      <w:r w:rsidRPr="00905D32" w:rsidR="00E719B8">
        <w:rPr>
          <w:rFonts w:eastAsia="Verdana" w:cs="Verdana"/>
          <w:color w:val="000000" w:themeColor="text1"/>
          <w:szCs w:val="18"/>
        </w:rPr>
        <w:t xml:space="preserve"> inhoudelijk aan bod komen in de vijfhoek</w:t>
      </w:r>
      <w:r w:rsidRPr="00905D32" w:rsidR="00B12A1C">
        <w:rPr>
          <w:rFonts w:eastAsia="Verdana" w:cs="Verdana"/>
          <w:color w:val="000000" w:themeColor="text1"/>
          <w:szCs w:val="18"/>
        </w:rPr>
        <w:t xml:space="preserve"> en de </w:t>
      </w:r>
      <w:proofErr w:type="spellStart"/>
      <w:r w:rsidRPr="00905D32" w:rsidR="00B12A1C">
        <w:rPr>
          <w:rFonts w:eastAsia="Verdana" w:cs="Verdana"/>
          <w:color w:val="000000" w:themeColor="text1"/>
          <w:szCs w:val="18"/>
        </w:rPr>
        <w:t>begrotingsbila</w:t>
      </w:r>
      <w:proofErr w:type="spellEnd"/>
      <w:r w:rsidRPr="00905D32" w:rsidR="00E719B8">
        <w:rPr>
          <w:rFonts w:eastAsia="Verdana" w:cs="Verdana"/>
          <w:color w:val="000000" w:themeColor="text1"/>
          <w:szCs w:val="18"/>
        </w:rPr>
        <w:t xml:space="preserve"> en </w:t>
      </w:r>
      <w:r w:rsidRPr="00905D32" w:rsidR="005B2F96">
        <w:rPr>
          <w:rFonts w:eastAsia="Verdana" w:cs="Verdana"/>
          <w:color w:val="000000" w:themeColor="text1"/>
          <w:szCs w:val="18"/>
        </w:rPr>
        <w:t>deze zullen dus</w:t>
      </w:r>
      <w:r w:rsidRPr="00905D32" w:rsidR="00E719B8">
        <w:rPr>
          <w:rFonts w:eastAsia="Verdana" w:cs="Verdana"/>
          <w:color w:val="000000" w:themeColor="text1"/>
          <w:szCs w:val="18"/>
        </w:rPr>
        <w:t xml:space="preserve"> niet in dit BWO belegd zijn. </w:t>
      </w:r>
      <w:r w:rsidRPr="00905D32" w:rsidR="00B96A83">
        <w:rPr>
          <w:rFonts w:eastAsia="Verdana" w:cs="Verdana"/>
          <w:color w:val="000000" w:themeColor="text1"/>
          <w:szCs w:val="18"/>
        </w:rPr>
        <w:t>Afhankelijk van deze brede besluitvorming kan worden besloten wat met de opgenomen reservering</w:t>
      </w:r>
      <w:r w:rsidR="0001241B">
        <w:rPr>
          <w:rFonts w:eastAsia="Verdana" w:cs="Verdana"/>
          <w:color w:val="000000" w:themeColor="text1"/>
          <w:szCs w:val="18"/>
        </w:rPr>
        <w:t xml:space="preserve"> voor</w:t>
      </w:r>
      <w:r w:rsidR="00A62C30">
        <w:rPr>
          <w:rFonts w:eastAsia="Verdana" w:cs="Verdana"/>
          <w:color w:val="000000" w:themeColor="text1"/>
          <w:szCs w:val="18"/>
        </w:rPr>
        <w:t xml:space="preserve"> </w:t>
      </w:r>
      <w:r w:rsidRPr="00F906C3" w:rsidR="0001241B">
        <w:rPr>
          <w:color w:val="000000"/>
          <w:szCs w:val="18"/>
        </w:rPr>
        <w:t>demping elektriciteitsnettarieven bedrijven (in plaats van toekenning voor IKC-ETS)</w:t>
      </w:r>
      <w:r w:rsidRPr="00F906C3" w:rsidR="0001241B">
        <w:rPr>
          <w:rFonts w:ascii="Arial" w:hAnsi="Arial" w:cs="Arial"/>
          <w:color w:val="000000"/>
          <w:szCs w:val="18"/>
        </w:rPr>
        <w:t>​</w:t>
      </w:r>
      <w:r w:rsidR="0001241B">
        <w:rPr>
          <w:rFonts w:eastAsia="Verdana" w:cs="Verdana"/>
          <w:color w:val="000000" w:themeColor="text1"/>
          <w:szCs w:val="18"/>
        </w:rPr>
        <w:t xml:space="preserve"> </w:t>
      </w:r>
      <w:r w:rsidR="00A62C30">
        <w:rPr>
          <w:rFonts w:eastAsia="Verdana" w:cs="Verdana"/>
          <w:color w:val="000000" w:themeColor="text1"/>
          <w:szCs w:val="18"/>
        </w:rPr>
        <w:t>(</w:t>
      </w:r>
      <w:r w:rsidR="0001241B">
        <w:rPr>
          <w:rFonts w:eastAsia="Verdana" w:cs="Verdana"/>
          <w:color w:val="000000" w:themeColor="text1"/>
          <w:szCs w:val="18"/>
        </w:rPr>
        <w:t xml:space="preserve">circa </w:t>
      </w:r>
      <w:r w:rsidR="00A62C30">
        <w:rPr>
          <w:rFonts w:eastAsia="Verdana" w:cs="Verdana"/>
          <w:color w:val="000000" w:themeColor="text1"/>
          <w:szCs w:val="18"/>
        </w:rPr>
        <w:t>EUR 600mln)</w:t>
      </w:r>
      <w:r w:rsidRPr="00905D32" w:rsidR="00B96A83">
        <w:rPr>
          <w:rFonts w:eastAsia="Verdana" w:cs="Verdana"/>
          <w:color w:val="000000" w:themeColor="text1"/>
          <w:szCs w:val="18"/>
        </w:rPr>
        <w:t xml:space="preserve"> wordt gedaan. </w:t>
      </w:r>
    </w:p>
    <w:p w:rsidRPr="008378BF" w:rsidR="00BD4231" w:rsidP="008378BF" w:rsidRDefault="00BD4231" w14:paraId="6251BF6D" w14:textId="77777777">
      <w:pPr>
        <w:spacing w:line="240" w:lineRule="auto"/>
        <w:rPr>
          <w:rFonts w:eastAsia="Verdana"/>
          <w:color w:val="365F91" w:themeColor="accent1" w:themeShade="BF"/>
        </w:rPr>
      </w:pPr>
    </w:p>
    <w:p w:rsidRPr="00905D32" w:rsidR="00850BEA" w:rsidP="008C6083" w:rsidRDefault="00850BEA" w14:paraId="4F116F5E" w14:textId="77164469">
      <w:pPr>
        <w:spacing w:line="240" w:lineRule="auto"/>
        <w:rPr>
          <w:rFonts w:eastAsia="Verdana" w:cs="Verdana"/>
          <w:color w:val="365F91" w:themeColor="accent1" w:themeShade="BF"/>
          <w:szCs w:val="18"/>
        </w:rPr>
      </w:pPr>
    </w:p>
    <w:p w:rsidRPr="00902771" w:rsidR="0042563B" w:rsidP="00E66B8A" w:rsidRDefault="008475A1" w14:paraId="67C6B032" w14:textId="56E564D1">
      <w:pPr>
        <w:pStyle w:val="Lijstalinea"/>
        <w:numPr>
          <w:ilvl w:val="0"/>
          <w:numId w:val="9"/>
        </w:numPr>
        <w:rPr>
          <w:b/>
          <w:bCs/>
          <w:szCs w:val="18"/>
        </w:rPr>
      </w:pPr>
      <w:r w:rsidRPr="00905D32">
        <w:rPr>
          <w:b/>
          <w:bCs/>
          <w:szCs w:val="18"/>
        </w:rPr>
        <w:t>Overige b</w:t>
      </w:r>
      <w:r w:rsidRPr="00905D32" w:rsidR="008C6083">
        <w:rPr>
          <w:b/>
          <w:bCs/>
          <w:szCs w:val="18"/>
        </w:rPr>
        <w:t xml:space="preserve">eleidsopties ter bevordering borging </w:t>
      </w:r>
      <w:r w:rsidRPr="00905D32" w:rsidR="00A503AC">
        <w:rPr>
          <w:b/>
          <w:bCs/>
          <w:szCs w:val="18"/>
        </w:rPr>
        <w:t>emissie</w:t>
      </w:r>
      <w:r w:rsidRPr="00905D32" w:rsidR="0B410813">
        <w:rPr>
          <w:b/>
          <w:bCs/>
          <w:szCs w:val="18"/>
        </w:rPr>
        <w:t>reductie</w:t>
      </w:r>
      <w:r w:rsidR="008E33D3">
        <w:rPr>
          <w:b/>
          <w:bCs/>
          <w:szCs w:val="18"/>
        </w:rPr>
        <w:t xml:space="preserve"> en elektrificatie</w:t>
      </w:r>
      <w:r w:rsidRPr="00905D32" w:rsidR="00CB0F08">
        <w:rPr>
          <w:b/>
          <w:bCs/>
          <w:szCs w:val="18"/>
        </w:rPr>
        <w:t xml:space="preserve"> </w:t>
      </w:r>
      <w:r w:rsidRPr="00905D32" w:rsidR="00A73FC8">
        <w:rPr>
          <w:b/>
          <w:bCs/>
          <w:szCs w:val="18"/>
        </w:rPr>
        <w:t xml:space="preserve">industrie  </w:t>
      </w:r>
    </w:p>
    <w:p w:rsidR="007E4DDF" w:rsidP="007E4DDF" w:rsidRDefault="007E4DDF" w14:paraId="392C128D" w14:textId="5613FC06">
      <w:pPr>
        <w:pStyle w:val="Lijstalinea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Tegelijk met het</w:t>
      </w:r>
      <w:r w:rsidRPr="00CB0F08">
        <w:rPr>
          <w:color w:val="000000" w:themeColor="text1"/>
        </w:rPr>
        <w:t xml:space="preserve"> realiseren van de juiste randvoorwaarden ter bevordering van de verduurzaming van de industrie, </w:t>
      </w:r>
      <w:r>
        <w:rPr>
          <w:color w:val="000000" w:themeColor="text1"/>
        </w:rPr>
        <w:t>zijn er</w:t>
      </w:r>
      <w:r w:rsidRPr="00CB0F08">
        <w:rPr>
          <w:color w:val="000000" w:themeColor="text1"/>
        </w:rPr>
        <w:t xml:space="preserve"> ook</w:t>
      </w:r>
      <w:r>
        <w:rPr>
          <w:color w:val="000000" w:themeColor="text1"/>
        </w:rPr>
        <w:t xml:space="preserve"> andere aanvullende beleidsopties mogelijk voor het bevorderen van</w:t>
      </w:r>
      <w:r w:rsidRPr="00CB0F08">
        <w:rPr>
          <w:color w:val="000000" w:themeColor="text1"/>
        </w:rPr>
        <w:t xml:space="preserve"> </w:t>
      </w:r>
      <w:r>
        <w:rPr>
          <w:color w:val="000000" w:themeColor="text1"/>
        </w:rPr>
        <w:t>emissi</w:t>
      </w:r>
      <w:r w:rsidR="001B2844">
        <w:rPr>
          <w:color w:val="000000" w:themeColor="text1"/>
        </w:rPr>
        <w:t>e</w:t>
      </w:r>
      <w:r>
        <w:rPr>
          <w:color w:val="000000" w:themeColor="text1"/>
        </w:rPr>
        <w:t>reductie</w:t>
      </w:r>
      <w:r w:rsidRPr="00CB0F08">
        <w:rPr>
          <w:color w:val="000000" w:themeColor="text1"/>
        </w:rPr>
        <w:t xml:space="preserve"> en</w:t>
      </w:r>
      <w:r>
        <w:rPr>
          <w:color w:val="000000" w:themeColor="text1"/>
        </w:rPr>
        <w:t xml:space="preserve"> </w:t>
      </w:r>
      <w:r w:rsidRPr="00CB0F08">
        <w:rPr>
          <w:color w:val="000000" w:themeColor="text1"/>
        </w:rPr>
        <w:t xml:space="preserve">verduurzamingsbeslissingen </w:t>
      </w:r>
      <w:r>
        <w:rPr>
          <w:color w:val="000000" w:themeColor="text1"/>
        </w:rPr>
        <w:t xml:space="preserve">in de industrie. </w:t>
      </w:r>
    </w:p>
    <w:p w:rsidRPr="00100F4C" w:rsidR="007E4DDF" w:rsidP="007E4DDF" w:rsidRDefault="00F33D1D" w14:paraId="5A853FE4" w14:textId="53E004E1">
      <w:pPr>
        <w:pStyle w:val="Lijstalinea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In </w:t>
      </w:r>
      <w:r w:rsidR="00E67B5A">
        <w:rPr>
          <w:color w:val="000000" w:themeColor="text1"/>
        </w:rPr>
        <w:t>dit</w:t>
      </w:r>
      <w:r>
        <w:rPr>
          <w:color w:val="000000" w:themeColor="text1"/>
        </w:rPr>
        <w:t xml:space="preserve"> BWO industrie liggen de CO2-heffing en </w:t>
      </w:r>
      <w:r w:rsidR="007E4DDF">
        <w:rPr>
          <w:color w:val="000000" w:themeColor="text1"/>
        </w:rPr>
        <w:t xml:space="preserve">de jaarverplichting groene waterstof, conform REDIII, </w:t>
      </w:r>
      <w:r>
        <w:rPr>
          <w:color w:val="000000" w:themeColor="text1"/>
        </w:rPr>
        <w:t>op tafel</w:t>
      </w:r>
      <w:r w:rsidR="007E4DD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7E4DDF" w:rsidP="007E4DDF" w:rsidRDefault="007E4DDF" w14:paraId="44F0F84D" w14:textId="77777777">
      <w:pPr>
        <w:ind w:left="709"/>
        <w:rPr>
          <w:b/>
          <w:bCs/>
          <w:color w:val="365F91" w:themeColor="accent1" w:themeShade="BF"/>
          <w:u w:val="single"/>
        </w:rPr>
      </w:pPr>
    </w:p>
    <w:p w:rsidR="00D47228" w:rsidP="007E4DDF" w:rsidRDefault="00D47228" w14:paraId="79CD1EC1" w14:textId="77777777">
      <w:pPr>
        <w:ind w:left="709"/>
        <w:rPr>
          <w:b/>
          <w:bCs/>
          <w:color w:val="365F91" w:themeColor="accent1" w:themeShade="BF"/>
          <w:u w:val="single"/>
        </w:rPr>
      </w:pPr>
    </w:p>
    <w:p w:rsidRPr="007B280A" w:rsidR="007E4DDF" w:rsidP="007E4DDF" w:rsidRDefault="007E4DDF" w14:paraId="6B728015" w14:textId="77777777">
      <w:pPr>
        <w:ind w:left="360"/>
        <w:rPr>
          <w:b/>
          <w:bCs/>
          <w:color w:val="000000" w:themeColor="text1"/>
        </w:rPr>
      </w:pPr>
      <w:r w:rsidRPr="007B280A">
        <w:rPr>
          <w:b/>
          <w:bCs/>
          <w:color w:val="000000" w:themeColor="text1"/>
        </w:rPr>
        <w:t>3.1. CO2-heffing</w:t>
      </w:r>
      <w:r>
        <w:rPr>
          <w:b/>
          <w:bCs/>
          <w:color w:val="000000" w:themeColor="text1"/>
        </w:rPr>
        <w:t xml:space="preserve"> industrie </w:t>
      </w:r>
    </w:p>
    <w:p w:rsidRPr="002B37DD" w:rsidR="007E4DDF" w:rsidP="007E4DDF" w:rsidRDefault="00C350E3" w14:paraId="22A884DD" w14:textId="5AC7E0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i/>
          <w:iCs/>
        </w:rPr>
      </w:pPr>
      <w:r>
        <w:rPr>
          <w:i/>
          <w:iCs/>
        </w:rPr>
        <w:t>Gevraagd besluit</w:t>
      </w:r>
      <w:r w:rsidRPr="002B37DD" w:rsidR="007E4DDF">
        <w:rPr>
          <w:i/>
          <w:iCs/>
        </w:rPr>
        <w:t xml:space="preserve">: </w:t>
      </w:r>
    </w:p>
    <w:p w:rsidRPr="00B73F11" w:rsidR="007E4DDF" w:rsidP="00202F9C" w:rsidRDefault="007E4DDF" w14:paraId="35FDE708" w14:textId="28B240CD">
      <w:pPr>
        <w:pStyle w:val="Lijstalinea"/>
        <w:numPr>
          <w:ilvl w:val="0"/>
          <w:numId w:val="1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20"/>
        <w:rPr>
          <w:i/>
          <w:iCs/>
        </w:rPr>
      </w:pPr>
      <w:r w:rsidRPr="002B37DD">
        <w:rPr>
          <w:i/>
          <w:iCs/>
        </w:rPr>
        <w:t xml:space="preserve">Welke optie </w:t>
      </w:r>
      <w:r>
        <w:rPr>
          <w:i/>
          <w:iCs/>
        </w:rPr>
        <w:t xml:space="preserve">kiest u </w:t>
      </w:r>
      <w:r w:rsidRPr="002B37DD">
        <w:rPr>
          <w:i/>
          <w:iCs/>
        </w:rPr>
        <w:t>voor de CO2-heffing</w:t>
      </w:r>
      <w:r>
        <w:rPr>
          <w:i/>
          <w:iCs/>
        </w:rPr>
        <w:t>?</w:t>
      </w:r>
      <w:r w:rsidRPr="002B37DD">
        <w:rPr>
          <w:i/>
          <w:iCs/>
        </w:rPr>
        <w:t xml:space="preserve"> </w:t>
      </w:r>
      <w:r w:rsidRPr="00202F9C" w:rsidR="00202F9C">
        <w:rPr>
          <w:i/>
          <w:iCs/>
        </w:rPr>
        <w:t xml:space="preserve">En wat betekent dit voor de middelen in het Klimaatfonds die gekoppeld zijn aan een emissiereductie van 4 </w:t>
      </w:r>
      <w:proofErr w:type="spellStart"/>
      <w:r w:rsidRPr="00202F9C" w:rsidR="00202F9C">
        <w:rPr>
          <w:i/>
          <w:iCs/>
        </w:rPr>
        <w:t>Mton</w:t>
      </w:r>
      <w:proofErr w:type="spellEnd"/>
      <w:r w:rsidRPr="00202F9C" w:rsidR="00202F9C">
        <w:rPr>
          <w:i/>
          <w:iCs/>
        </w:rPr>
        <w:t xml:space="preserve"> in 2030? </w:t>
      </w:r>
    </w:p>
    <w:p w:rsidRPr="002B37DD" w:rsidR="007E4DDF" w:rsidP="007E4DDF" w:rsidRDefault="007E4DDF" w14:paraId="6894E217" w14:textId="77777777">
      <w:pPr>
        <w:pStyle w:val="Lijstalinea"/>
        <w:numPr>
          <w:ilvl w:val="0"/>
          <w:numId w:val="1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20"/>
        <w:rPr>
          <w:i/>
          <w:iCs/>
        </w:rPr>
      </w:pPr>
      <w:r>
        <w:rPr>
          <w:i/>
          <w:iCs/>
        </w:rPr>
        <w:t xml:space="preserve">Gaat u akkoord </w:t>
      </w:r>
      <w:r w:rsidRPr="002B37DD">
        <w:rPr>
          <w:i/>
          <w:iCs/>
        </w:rPr>
        <w:t xml:space="preserve">met de invulling van Motie Erkens door versterking van de </w:t>
      </w:r>
      <w:proofErr w:type="spellStart"/>
      <w:r w:rsidRPr="002B37DD">
        <w:rPr>
          <w:i/>
          <w:iCs/>
        </w:rPr>
        <w:t>carry</w:t>
      </w:r>
      <w:proofErr w:type="spellEnd"/>
      <w:r w:rsidRPr="002B37DD">
        <w:rPr>
          <w:i/>
          <w:iCs/>
        </w:rPr>
        <w:t xml:space="preserve">-back onder de heffing en het meenemen van dit advies in het BWO-Industrie? </w:t>
      </w:r>
    </w:p>
    <w:p w:rsidR="007E4DDF" w:rsidP="007E4DDF" w:rsidRDefault="007E4DDF" w14:paraId="32B2716F" w14:textId="77777777">
      <w:pPr>
        <w:pStyle w:val="Lijstalinea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De ophoging van de CO2-heffing industrie conform VJB24 is geschrapt in het HLA en het RP. </w:t>
      </w:r>
    </w:p>
    <w:p w:rsidR="007E4DDF" w:rsidP="007E4DDF" w:rsidRDefault="007E4DDF" w14:paraId="2FE9BFBB" w14:textId="410EA203">
      <w:pPr>
        <w:pStyle w:val="Lijstalinea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Conform de inzet van het kabinet is gezocht naar alternatieve maatregelen om emissie reductie te realiseren. </w:t>
      </w:r>
    </w:p>
    <w:p w:rsidRPr="00566A01" w:rsidR="007E4DDF" w:rsidP="010184BC" w:rsidRDefault="007E4DDF" w14:paraId="5EDB36BB" w14:textId="716820B9">
      <w:pPr>
        <w:pStyle w:val="Lijstalinea"/>
        <w:numPr>
          <w:ilvl w:val="0"/>
          <w:numId w:val="12"/>
        </w:numPr>
        <w:rPr>
          <w:b/>
          <w:bCs/>
          <w:u w:val="single"/>
        </w:rPr>
      </w:pPr>
      <w:r>
        <w:t>In het BWO van 5 november 2024 is dan ook afgesproken om verschillende opties voor aanpassing van de CO2-heffing uit te zoeken waarover in het voorjaar van 2025 een besluit kan worden genomen.</w:t>
      </w:r>
    </w:p>
    <w:p w:rsidRPr="00B73F11" w:rsidR="007E4DDF" w:rsidP="007E4DDF" w:rsidRDefault="0039151B" w14:paraId="252A25D4" w14:textId="6F494AB3">
      <w:pPr>
        <w:pStyle w:val="Lijstalinea"/>
        <w:numPr>
          <w:ilvl w:val="0"/>
          <w:numId w:val="10"/>
        </w:numPr>
        <w:spacing w:line="240" w:lineRule="auto"/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 Ambtelijk zijn gezamenlijk de volgende opties voor</w:t>
      </w:r>
      <w:r w:rsidRPr="00B73F11" w:rsidR="007E4DDF">
        <w:rPr>
          <w:rFonts w:eastAsia="Verdana" w:cs="Verdana"/>
          <w:color w:val="000000" w:themeColor="text1"/>
          <w:szCs w:val="18"/>
        </w:rPr>
        <w:t xml:space="preserve"> de CO2-heffing uitgewerkt:</w:t>
      </w:r>
    </w:p>
    <w:p w:rsidRPr="00B73F11" w:rsidR="007E4DDF" w:rsidP="007E4DDF" w:rsidRDefault="007E4DDF" w14:paraId="5CF9F6AD" w14:textId="69C3A86A">
      <w:pPr>
        <w:pStyle w:val="Lijstalinea"/>
        <w:numPr>
          <w:ilvl w:val="1"/>
          <w:numId w:val="10"/>
        </w:numPr>
        <w:spacing w:line="276" w:lineRule="auto"/>
        <w:rPr>
          <w:rFonts w:eastAsia="Verdana" w:cs="Verdana"/>
          <w:color w:val="000000" w:themeColor="text1"/>
          <w:szCs w:val="18"/>
        </w:rPr>
      </w:pPr>
      <w:r w:rsidRPr="00B73F11">
        <w:rPr>
          <w:rFonts w:eastAsia="Verdana" w:cs="Verdana"/>
          <w:color w:val="000000" w:themeColor="text1"/>
          <w:szCs w:val="18"/>
          <w:u w:val="single"/>
        </w:rPr>
        <w:lastRenderedPageBreak/>
        <w:t>Optie A</w:t>
      </w:r>
      <w:r w:rsidRPr="00B73F11">
        <w:rPr>
          <w:rFonts w:eastAsia="Verdana" w:cs="Verdana"/>
          <w:color w:val="000000" w:themeColor="text1"/>
          <w:szCs w:val="18"/>
        </w:rPr>
        <w:t xml:space="preserve"> – </w:t>
      </w:r>
      <w:r w:rsidRPr="0039151B" w:rsidR="0039151B">
        <w:rPr>
          <w:rFonts w:eastAsia="Verdana" w:cs="Verdana"/>
          <w:color w:val="000000" w:themeColor="text1"/>
          <w:szCs w:val="18"/>
        </w:rPr>
        <w:t>CO2-heffing loopt generiek door na 2030 zonder aanpassing tarief</w:t>
      </w:r>
    </w:p>
    <w:p w:rsidR="007E4DDF" w:rsidP="007E4DDF" w:rsidRDefault="007E4DDF" w14:paraId="7C7941AE" w14:textId="1220E039">
      <w:pPr>
        <w:pStyle w:val="Lijstalinea"/>
        <w:numPr>
          <w:ilvl w:val="1"/>
          <w:numId w:val="10"/>
        </w:numPr>
        <w:spacing w:line="276" w:lineRule="auto"/>
        <w:rPr>
          <w:rFonts w:eastAsia="Verdana" w:cs="Verdana"/>
          <w:color w:val="000000" w:themeColor="text1"/>
          <w:szCs w:val="18"/>
        </w:rPr>
      </w:pPr>
      <w:r w:rsidRPr="00B73F11">
        <w:rPr>
          <w:rFonts w:eastAsia="Verdana" w:cs="Verdana"/>
          <w:color w:val="000000" w:themeColor="text1"/>
          <w:szCs w:val="18"/>
          <w:u w:val="single"/>
        </w:rPr>
        <w:t>Optie B</w:t>
      </w:r>
      <w:r w:rsidRPr="00B73F11">
        <w:rPr>
          <w:rFonts w:eastAsia="Verdana" w:cs="Verdana"/>
          <w:color w:val="000000" w:themeColor="text1"/>
          <w:szCs w:val="18"/>
        </w:rPr>
        <w:t xml:space="preserve"> - </w:t>
      </w:r>
      <w:r w:rsidRPr="0039151B" w:rsidR="0039151B">
        <w:rPr>
          <w:rFonts w:eastAsia="Verdana" w:cs="Verdana"/>
          <w:color w:val="000000" w:themeColor="text1"/>
          <w:szCs w:val="18"/>
        </w:rPr>
        <w:t xml:space="preserve">CO2-heffing loopt generiek door na 2030 met ophoging tarief </w:t>
      </w:r>
      <w:r w:rsidR="006A7BE0">
        <w:rPr>
          <w:rFonts w:eastAsia="Verdana" w:cs="Verdana"/>
          <w:color w:val="000000" w:themeColor="text1"/>
          <w:szCs w:val="18"/>
        </w:rPr>
        <w:t xml:space="preserve">richting </w:t>
      </w:r>
      <w:r w:rsidRPr="0039151B" w:rsidR="0039151B">
        <w:rPr>
          <w:rFonts w:eastAsia="Verdana" w:cs="Verdana"/>
          <w:color w:val="000000" w:themeColor="text1"/>
          <w:szCs w:val="18"/>
        </w:rPr>
        <w:t>2035</w:t>
      </w:r>
    </w:p>
    <w:p w:rsidRPr="00221274" w:rsidR="0039151B" w:rsidP="007E4DDF" w:rsidRDefault="0039151B" w14:paraId="53D58C78" w14:textId="0DAC06DB">
      <w:pPr>
        <w:pStyle w:val="Lijstalinea"/>
        <w:numPr>
          <w:ilvl w:val="1"/>
          <w:numId w:val="10"/>
        </w:numPr>
        <w:spacing w:line="276" w:lineRule="auto"/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  <w:u w:val="single"/>
        </w:rPr>
        <w:t xml:space="preserve">Optie C - </w:t>
      </w:r>
      <w:r w:rsidRPr="00902771">
        <w:rPr>
          <w:rFonts w:eastAsia="Verdana" w:cs="Verdana"/>
          <w:color w:val="000000" w:themeColor="text1"/>
          <w:szCs w:val="18"/>
        </w:rPr>
        <w:t>CO2-heffing wordt alleen opgehoogd na 2030 voor grootste uitstoters</w:t>
      </w:r>
      <w:r w:rsidRPr="00902771" w:rsidR="00124B46">
        <w:rPr>
          <w:rFonts w:eastAsia="Verdana" w:cs="Verdana"/>
          <w:color w:val="000000" w:themeColor="text1"/>
          <w:szCs w:val="18"/>
        </w:rPr>
        <w:t xml:space="preserve"> (tweeschijven)</w:t>
      </w:r>
      <w:r w:rsidR="00124B46">
        <w:rPr>
          <w:rFonts w:eastAsia="Verdana" w:cs="Verdana"/>
          <w:color w:val="000000" w:themeColor="text1"/>
          <w:szCs w:val="18"/>
          <w:u w:val="single"/>
        </w:rPr>
        <w:t xml:space="preserve"> </w:t>
      </w:r>
    </w:p>
    <w:p w:rsidRPr="00B73F11" w:rsidR="0039151B" w:rsidP="007E4DDF" w:rsidRDefault="0039151B" w14:paraId="11570BC3" w14:textId="352F4583">
      <w:pPr>
        <w:pStyle w:val="Lijstalinea"/>
        <w:numPr>
          <w:ilvl w:val="1"/>
          <w:numId w:val="10"/>
        </w:numPr>
        <w:spacing w:line="276" w:lineRule="auto"/>
        <w:rPr>
          <w:rFonts w:eastAsia="Verdana" w:cs="Verdana"/>
          <w:color w:val="000000" w:themeColor="text1"/>
          <w:szCs w:val="18"/>
        </w:rPr>
      </w:pPr>
      <w:r w:rsidRPr="00902771">
        <w:rPr>
          <w:rFonts w:eastAsia="Verdana" w:cs="Verdana"/>
          <w:color w:val="000000" w:themeColor="text1"/>
          <w:szCs w:val="18"/>
          <w:u w:val="single"/>
        </w:rPr>
        <w:t>Optie D -</w:t>
      </w:r>
      <w:r>
        <w:rPr>
          <w:rFonts w:eastAsia="Verdana" w:cs="Verdana"/>
          <w:color w:val="000000" w:themeColor="text1"/>
          <w:szCs w:val="18"/>
        </w:rPr>
        <w:t xml:space="preserve"> </w:t>
      </w:r>
      <w:r w:rsidRPr="0039151B">
        <w:rPr>
          <w:rFonts w:eastAsia="Verdana" w:cs="Verdana"/>
          <w:color w:val="000000" w:themeColor="text1"/>
          <w:szCs w:val="18"/>
        </w:rPr>
        <w:t>CO2-heffing wordt na 2033 of 2036 afgeschaft</w:t>
      </w:r>
    </w:p>
    <w:p w:rsidR="00F805C2" w:rsidP="0099358D" w:rsidRDefault="009C0679" w14:paraId="0E67375E" w14:textId="76177A29">
      <w:pPr>
        <w:pStyle w:val="Lijstalinea"/>
        <w:numPr>
          <w:ilvl w:val="0"/>
          <w:numId w:val="10"/>
        </w:numPr>
        <w:rPr>
          <w:rFonts w:eastAsia="Verdana" w:cs="Verdana"/>
          <w:color w:val="000000" w:themeColor="text1"/>
          <w:szCs w:val="18"/>
        </w:rPr>
      </w:pPr>
      <w:r w:rsidRPr="009C0679">
        <w:rPr>
          <w:rFonts w:eastAsia="Verdana" w:cs="Verdana"/>
          <w:color w:val="000000" w:themeColor="text1"/>
          <w:szCs w:val="18"/>
        </w:rPr>
        <w:t>In het kader van Motie Erkens</w:t>
      </w:r>
      <w:r w:rsidR="00067A76">
        <w:rPr>
          <w:rFonts w:eastAsia="Verdana" w:cs="Verdana"/>
          <w:color w:val="000000" w:themeColor="text1"/>
          <w:szCs w:val="18"/>
        </w:rPr>
        <w:t xml:space="preserve"> (hardheidsclausule)</w:t>
      </w:r>
      <w:r w:rsidRPr="009C0679">
        <w:rPr>
          <w:rFonts w:eastAsia="Verdana" w:cs="Verdana"/>
          <w:color w:val="000000" w:themeColor="text1"/>
          <w:szCs w:val="18"/>
        </w:rPr>
        <w:t xml:space="preserve"> die niet u</w:t>
      </w:r>
      <w:r w:rsidR="009626C3">
        <w:rPr>
          <w:rFonts w:eastAsia="Verdana" w:cs="Verdana"/>
          <w:color w:val="000000" w:themeColor="text1"/>
          <w:szCs w:val="18"/>
        </w:rPr>
        <w:t>itv</w:t>
      </w:r>
      <w:r w:rsidRPr="009C0679">
        <w:rPr>
          <w:rFonts w:eastAsia="Verdana" w:cs="Verdana"/>
          <w:color w:val="000000" w:themeColor="text1"/>
          <w:szCs w:val="18"/>
        </w:rPr>
        <w:t xml:space="preserve">oerbaar was, is gezocht naar manieren voor additionele </w:t>
      </w:r>
      <w:proofErr w:type="spellStart"/>
      <w:r w:rsidRPr="009C0679">
        <w:rPr>
          <w:rFonts w:eastAsia="Verdana" w:cs="Verdana"/>
          <w:color w:val="000000" w:themeColor="text1"/>
          <w:szCs w:val="18"/>
        </w:rPr>
        <w:t>flexbiliteit</w:t>
      </w:r>
      <w:proofErr w:type="spellEnd"/>
      <w:r w:rsidRPr="009C0679">
        <w:rPr>
          <w:rFonts w:eastAsia="Verdana" w:cs="Verdana"/>
          <w:color w:val="000000" w:themeColor="text1"/>
          <w:szCs w:val="18"/>
        </w:rPr>
        <w:t xml:space="preserve"> onder de heffing. </w:t>
      </w:r>
      <w:r w:rsidR="00067A76">
        <w:rPr>
          <w:rFonts w:eastAsia="Verdana" w:cs="Verdana"/>
          <w:color w:val="000000" w:themeColor="text1"/>
          <w:szCs w:val="18"/>
        </w:rPr>
        <w:t xml:space="preserve"> </w:t>
      </w:r>
    </w:p>
    <w:p w:rsidR="009626C3" w:rsidP="0099358D" w:rsidRDefault="009626C3" w14:paraId="65117722" w14:textId="002D5C3E">
      <w:pPr>
        <w:pStyle w:val="Lijstalinea"/>
        <w:numPr>
          <w:ilvl w:val="0"/>
          <w:numId w:val="10"/>
        </w:num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Hieruit is het opzetten van een handelsplatform voor handel in dispensatierechten</w:t>
      </w:r>
      <w:r w:rsidR="00A1264D">
        <w:rPr>
          <w:rFonts w:eastAsia="Verdana" w:cs="Verdana"/>
          <w:color w:val="000000" w:themeColor="text1"/>
          <w:szCs w:val="18"/>
        </w:rPr>
        <w:t xml:space="preserve"> (DPR)</w:t>
      </w:r>
      <w:r>
        <w:rPr>
          <w:rFonts w:eastAsia="Verdana" w:cs="Verdana"/>
          <w:color w:val="000000" w:themeColor="text1"/>
          <w:szCs w:val="18"/>
        </w:rPr>
        <w:t xml:space="preserve"> en het uitbreiden van de bestaande </w:t>
      </w:r>
      <w:proofErr w:type="spellStart"/>
      <w:r>
        <w:rPr>
          <w:rFonts w:eastAsia="Verdana" w:cs="Verdana"/>
          <w:color w:val="000000" w:themeColor="text1"/>
          <w:szCs w:val="18"/>
        </w:rPr>
        <w:t>carry</w:t>
      </w:r>
      <w:proofErr w:type="spellEnd"/>
      <w:r>
        <w:rPr>
          <w:rFonts w:eastAsia="Verdana" w:cs="Verdana"/>
          <w:color w:val="000000" w:themeColor="text1"/>
          <w:szCs w:val="18"/>
        </w:rPr>
        <w:t>-back onder de heffing</w:t>
      </w:r>
      <w:r w:rsidR="008D6FDB">
        <w:rPr>
          <w:rFonts w:eastAsia="Verdana" w:cs="Verdana"/>
          <w:color w:val="000000" w:themeColor="text1"/>
          <w:szCs w:val="18"/>
        </w:rPr>
        <w:t xml:space="preserve"> onderzocht. </w:t>
      </w:r>
    </w:p>
    <w:p w:rsidRPr="008378BF" w:rsidR="0099358D" w:rsidP="008378BF" w:rsidRDefault="008D6FDB" w14:paraId="55E825A0" w14:textId="00D16A21">
      <w:pPr>
        <w:pStyle w:val="Lijstalinea"/>
        <w:numPr>
          <w:ilvl w:val="0"/>
          <w:numId w:val="10"/>
        </w:numPr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 xml:space="preserve">Uitbreiden van de </w:t>
      </w:r>
      <w:proofErr w:type="spellStart"/>
      <w:r>
        <w:rPr>
          <w:rFonts w:eastAsia="Verdana" w:cs="Verdana"/>
          <w:color w:val="000000" w:themeColor="text1"/>
          <w:szCs w:val="18"/>
        </w:rPr>
        <w:t>carry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-back </w:t>
      </w:r>
      <w:proofErr w:type="spellStart"/>
      <w:r>
        <w:rPr>
          <w:rFonts w:eastAsia="Verdana" w:cs="Verdana"/>
          <w:color w:val="000000" w:themeColor="text1"/>
          <w:szCs w:val="18"/>
        </w:rPr>
        <w:t>behulst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: toestaan van </w:t>
      </w:r>
      <w:proofErr w:type="spellStart"/>
      <w:r>
        <w:rPr>
          <w:rFonts w:eastAsia="Verdana" w:cs="Verdana"/>
          <w:color w:val="000000" w:themeColor="text1"/>
          <w:szCs w:val="18"/>
        </w:rPr>
        <w:t>carry</w:t>
      </w:r>
      <w:proofErr w:type="spellEnd"/>
      <w:r>
        <w:rPr>
          <w:rFonts w:eastAsia="Verdana" w:cs="Verdana"/>
          <w:color w:val="000000" w:themeColor="text1"/>
          <w:szCs w:val="18"/>
        </w:rPr>
        <w:t xml:space="preserve">-back na 2029, en </w:t>
      </w:r>
      <w:r w:rsidR="00A1264D">
        <w:rPr>
          <w:rFonts w:eastAsia="Verdana" w:cs="Verdana"/>
          <w:color w:val="000000" w:themeColor="text1"/>
          <w:szCs w:val="18"/>
        </w:rPr>
        <w:t>automatisch verrekenen van overschotten van DPR in het jaar van hoogst betaalde heffing.</w:t>
      </w:r>
    </w:p>
    <w:p w:rsidR="007E4DDF" w:rsidP="007E4DDF" w:rsidRDefault="007E4DDF" w14:paraId="25F7A0F0" w14:textId="77777777">
      <w:pPr>
        <w:rPr>
          <w:rFonts w:eastAsia="Verdana" w:cs="Verdana"/>
          <w:b/>
          <w:bCs/>
          <w:color w:val="000000" w:themeColor="text1"/>
        </w:rPr>
      </w:pPr>
      <w:r>
        <w:rPr>
          <w:rFonts w:eastAsia="Verdana" w:cs="Verdana"/>
          <w:b/>
          <w:bCs/>
          <w:color w:val="000000" w:themeColor="text1"/>
        </w:rPr>
        <w:t>3.2. Realisatie markt voor groene w</w:t>
      </w:r>
      <w:r w:rsidRPr="0350A46C">
        <w:rPr>
          <w:rFonts w:eastAsia="Verdana" w:cs="Verdana"/>
          <w:b/>
          <w:bCs/>
          <w:color w:val="000000" w:themeColor="text1"/>
        </w:rPr>
        <w:t>aterstof</w:t>
      </w:r>
    </w:p>
    <w:tbl>
      <w:tblPr>
        <w:tblStyle w:val="Tabelraster"/>
        <w:tblW w:w="7519" w:type="dxa"/>
        <w:tblInd w:w="247" w:type="dxa"/>
        <w:tblLook w:val="04A0" w:firstRow="1" w:lastRow="0" w:firstColumn="1" w:lastColumn="0" w:noHBand="0" w:noVBand="1"/>
      </w:tblPr>
      <w:tblGrid>
        <w:gridCol w:w="7519"/>
      </w:tblGrid>
      <w:tr w:rsidR="007E4DDF" w:rsidTr="00100F4C" w14:paraId="4DE37B07" w14:textId="77777777">
        <w:tc>
          <w:tcPr>
            <w:tcW w:w="7519" w:type="dxa"/>
          </w:tcPr>
          <w:p w:rsidR="007E4DDF" w:rsidP="00100F4C" w:rsidRDefault="007E4DDF" w14:paraId="27E5F094" w14:textId="77777777">
            <w:r w:rsidRPr="00E66B8A">
              <w:rPr>
                <w:i/>
                <w:iCs/>
              </w:rPr>
              <w:t>Gevraag besluit:</w:t>
            </w:r>
            <w:r>
              <w:t xml:space="preserve"> </w:t>
            </w:r>
          </w:p>
          <w:p w:rsidR="007E4DDF" w:rsidP="00100F4C" w:rsidRDefault="007E4DDF" w14:paraId="3B4B2BFE" w14:textId="77777777">
            <w:pPr>
              <w:pStyle w:val="Lijstalinea"/>
              <w:numPr>
                <w:ilvl w:val="0"/>
                <w:numId w:val="20"/>
              </w:numPr>
            </w:pPr>
            <w:r>
              <w:rPr>
                <w:i/>
                <w:iCs/>
              </w:rPr>
              <w:t>Welke hoogte kiest u voor de jaarverplichting?</w:t>
            </w:r>
          </w:p>
        </w:tc>
      </w:tr>
    </w:tbl>
    <w:p w:rsidR="007E4DDF" w:rsidP="007E4DDF" w:rsidRDefault="007E4DDF" w14:paraId="2AF38786" w14:textId="77777777"/>
    <w:p w:rsidR="007E4DDF" w:rsidP="007E4DDF" w:rsidRDefault="007E4DDF" w14:paraId="5BA2DA33" w14:textId="77777777">
      <w:pPr>
        <w:pStyle w:val="Lijstalinea"/>
        <w:numPr>
          <w:ilvl w:val="0"/>
          <w:numId w:val="4"/>
        </w:numPr>
        <w:ind w:left="360"/>
      </w:pPr>
      <w:r>
        <w:t>Bij de augustusbesluitvorming 2024 is afgesproken dat naar aanleiding van de jaarverplichting waterstof een weegmoment over de invoering plaatsvindt in samenhang met de vraagsubsidies en productiesubsidies voor waterstof.</w:t>
      </w:r>
    </w:p>
    <w:p w:rsidR="007E4DDF" w:rsidP="007E4DDF" w:rsidRDefault="007E4DDF" w14:paraId="1199AB0D" w14:textId="77777777">
      <w:pPr>
        <w:pStyle w:val="Lijstalinea"/>
        <w:numPr>
          <w:ilvl w:val="0"/>
          <w:numId w:val="4"/>
        </w:numPr>
        <w:ind w:left="360"/>
      </w:pPr>
      <w:r>
        <w:t xml:space="preserve">De Jaarverplichting is tot 12 december 2024 geconsulteerd met een percentage van 8% of 24% in 2030. </w:t>
      </w:r>
    </w:p>
    <w:p w:rsidR="007E4DDF" w:rsidP="007E4DDF" w:rsidRDefault="007E4DDF" w14:paraId="4F43C100" w14:textId="77777777">
      <w:pPr>
        <w:pStyle w:val="Lijstalinea"/>
        <w:numPr>
          <w:ilvl w:val="0"/>
          <w:numId w:val="4"/>
        </w:numPr>
        <w:ind w:left="360"/>
        <w:rPr>
          <w:szCs w:val="18"/>
        </w:rPr>
      </w:pPr>
      <w:r>
        <w:rPr>
          <w:szCs w:val="18"/>
        </w:rPr>
        <w:t>De uitkomsten van de consultatie en de verwachte effecten van de jaarverplichting zijn opgenomen in bijlage voor het BWO.</w:t>
      </w:r>
    </w:p>
    <w:p w:rsidR="0039151B" w:rsidP="0001241B" w:rsidRDefault="0039151B" w14:paraId="7FAAA6AC" w14:textId="5BAA243F">
      <w:pPr>
        <w:pStyle w:val="Lijstalinea"/>
        <w:numPr>
          <w:ilvl w:val="0"/>
          <w:numId w:val="4"/>
        </w:numPr>
        <w:ind w:left="360"/>
      </w:pPr>
      <w:r>
        <w:rPr>
          <w:szCs w:val="18"/>
        </w:rPr>
        <w:t>De waterstofproducenten hebben aangeven voorkeur te hebben voor een jaarverplichting van 8%. De industrie</w:t>
      </w:r>
      <w:r w:rsidR="00F347A3">
        <w:rPr>
          <w:szCs w:val="18"/>
        </w:rPr>
        <w:t>/afnemers</w:t>
      </w:r>
      <w:r>
        <w:rPr>
          <w:szCs w:val="18"/>
        </w:rPr>
        <w:t xml:space="preserve"> en </w:t>
      </w:r>
      <w:r w:rsidR="0001241B">
        <w:rPr>
          <w:szCs w:val="18"/>
        </w:rPr>
        <w:t>M</w:t>
      </w:r>
      <w:r>
        <w:rPr>
          <w:szCs w:val="18"/>
        </w:rPr>
        <w:t>otie Erkens</w:t>
      </w:r>
      <w:r w:rsidR="0001241B">
        <w:rPr>
          <w:szCs w:val="18"/>
        </w:rPr>
        <w:t xml:space="preserve"> Jaarverplichting geven aan 0% tussen 2027 en 2030.</w:t>
      </w:r>
    </w:p>
    <w:p w:rsidR="00202F9C" w:rsidP="00221274" w:rsidRDefault="0039151B" w14:paraId="0441853A" w14:textId="53276A13">
      <w:pPr>
        <w:pStyle w:val="Lijstalinea"/>
        <w:numPr>
          <w:ilvl w:val="0"/>
          <w:numId w:val="4"/>
        </w:numPr>
        <w:ind w:left="360"/>
        <w:rPr>
          <w:szCs w:val="18"/>
        </w:rPr>
      </w:pPr>
      <w:r>
        <w:rPr>
          <w:szCs w:val="18"/>
        </w:rPr>
        <w:t xml:space="preserve">Eerder is bij het reserveren voor middelen voor vraagsubsidies (compensatie van de kosten die de industrie maakt) uitgegaan van een jaarverplichting van 24% </w:t>
      </w:r>
      <w:r w:rsidR="00202F9C">
        <w:rPr>
          <w:szCs w:val="18"/>
        </w:rPr>
        <w:t>gebaseerd op REDIII-doel van 42%</w:t>
      </w:r>
    </w:p>
    <w:p w:rsidR="007E4DDF" w:rsidP="007E4DDF" w:rsidRDefault="007E4DDF" w14:paraId="177CC05A" w14:textId="77777777">
      <w:pPr>
        <w:pStyle w:val="Lijstalinea"/>
        <w:numPr>
          <w:ilvl w:val="0"/>
          <w:numId w:val="4"/>
        </w:numPr>
        <w:ind w:left="360"/>
      </w:pPr>
      <w:r>
        <w:t>De r</w:t>
      </w:r>
      <w:r w:rsidRPr="00386523">
        <w:t>affinageroute</w:t>
      </w:r>
      <w:r>
        <w:t xml:space="preserve"> waterstof</w:t>
      </w:r>
      <w:r w:rsidRPr="00386523">
        <w:t xml:space="preserve"> wordt </w:t>
      </w:r>
      <w:r>
        <w:t xml:space="preserve">in </w:t>
      </w:r>
      <w:r w:rsidRPr="00386523">
        <w:t>BWO</w:t>
      </w:r>
      <w:r>
        <w:t xml:space="preserve"> mobiliteit besproken.</w:t>
      </w:r>
      <w:r w:rsidRPr="00386523">
        <w:t xml:space="preserve"> </w:t>
      </w:r>
    </w:p>
    <w:p w:rsidR="004C3513" w:rsidP="004C3513" w:rsidRDefault="004C3513" w14:paraId="1003A6A0" w14:textId="77777777"/>
    <w:p w:rsidR="00D87AC0" w:rsidP="00E66B8A" w:rsidRDefault="00D87AC0" w14:paraId="1BF5B0C7" w14:textId="4BE0508E">
      <w:pPr>
        <w:rPr>
          <w:rFonts w:eastAsia="Verdana" w:cs="Verdana"/>
          <w:b/>
          <w:bCs/>
          <w:color w:val="000000" w:themeColor="text1"/>
          <w:szCs w:val="18"/>
        </w:rPr>
      </w:pPr>
      <w:r w:rsidRPr="00905D32">
        <w:rPr>
          <w:rFonts w:eastAsia="Verdana" w:cs="Verdana"/>
          <w:b/>
          <w:bCs/>
          <w:color w:val="000000" w:themeColor="text1"/>
          <w:szCs w:val="18"/>
        </w:rPr>
        <w:t>3.</w:t>
      </w:r>
      <w:r w:rsidRPr="00905D32" w:rsidR="005B35A8">
        <w:rPr>
          <w:rFonts w:eastAsia="Verdana" w:cs="Verdana"/>
          <w:b/>
          <w:bCs/>
          <w:color w:val="000000" w:themeColor="text1"/>
          <w:szCs w:val="18"/>
        </w:rPr>
        <w:t>3</w:t>
      </w:r>
      <w:r w:rsidRPr="00905D32">
        <w:rPr>
          <w:rFonts w:eastAsia="Verdana" w:cs="Verdana"/>
          <w:b/>
          <w:bCs/>
          <w:color w:val="000000" w:themeColor="text1"/>
          <w:szCs w:val="18"/>
        </w:rPr>
        <w:t xml:space="preserve">. </w:t>
      </w:r>
      <w:r w:rsidR="007B5237">
        <w:rPr>
          <w:rFonts w:eastAsia="Verdana" w:cs="Verdana"/>
          <w:b/>
          <w:bCs/>
          <w:color w:val="000000" w:themeColor="text1"/>
          <w:szCs w:val="18"/>
        </w:rPr>
        <w:t xml:space="preserve">Ter info - </w:t>
      </w:r>
      <w:r w:rsidRPr="00905D32">
        <w:rPr>
          <w:rFonts w:eastAsia="Verdana" w:cs="Verdana"/>
          <w:b/>
          <w:bCs/>
          <w:color w:val="000000" w:themeColor="text1"/>
          <w:szCs w:val="18"/>
        </w:rPr>
        <w:t>Normering fossiele warmte opwek</w:t>
      </w:r>
      <w:r w:rsidRPr="00905D32" w:rsidR="005B35A8">
        <w:rPr>
          <w:rFonts w:eastAsia="Verdana" w:cs="Verdana"/>
          <w:b/>
          <w:bCs/>
          <w:color w:val="000000" w:themeColor="text1"/>
          <w:szCs w:val="18"/>
        </w:rPr>
        <w:t xml:space="preserve"> </w:t>
      </w:r>
    </w:p>
    <w:p w:rsidRPr="00566A01" w:rsidR="00D87AC0" w:rsidP="006E3CC3" w:rsidRDefault="00D87AC0" w14:paraId="3B8B80EF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Verdana" w:hAnsi="Verdana"/>
          <w:sz w:val="18"/>
          <w:szCs w:val="18"/>
        </w:rPr>
      </w:pPr>
      <w:r w:rsidRPr="00566A01">
        <w:rPr>
          <w:rStyle w:val="normaltextrun"/>
          <w:rFonts w:ascii="Verdana" w:hAnsi="Verdana"/>
          <w:sz w:val="18"/>
          <w:szCs w:val="18"/>
        </w:rPr>
        <w:t>VI werkt samen met VRO aan de uitwerking van deze maatregel om invulling te geven aan dit beleidsvoorstel uit VJN23. De normering moet verwerkt worden via wetgeving bij VRO.</w:t>
      </w:r>
      <w:r w:rsidRPr="00566A01">
        <w:rPr>
          <w:rStyle w:val="eop"/>
          <w:rFonts w:ascii="Verdana" w:hAnsi="Verdana"/>
          <w:sz w:val="18"/>
          <w:szCs w:val="18"/>
        </w:rPr>
        <w:t> </w:t>
      </w:r>
    </w:p>
    <w:p w:rsidRPr="00905D32" w:rsidR="00D87AC0" w:rsidP="006E3CC3" w:rsidRDefault="00D87AC0" w14:paraId="71DE24F7" w14:textId="6E34E804">
      <w:pPr>
        <w:pStyle w:val="Lijstalinea"/>
        <w:numPr>
          <w:ilvl w:val="0"/>
          <w:numId w:val="5"/>
        </w:numPr>
        <w:rPr>
          <w:szCs w:val="18"/>
        </w:rPr>
      </w:pPr>
      <w:r w:rsidRPr="00905D32">
        <w:rPr>
          <w:szCs w:val="18"/>
        </w:rPr>
        <w:t>Het gaat hierbij om een maatregel</w:t>
      </w:r>
      <w:r w:rsidRPr="00905D32" w:rsidR="001D5CC8">
        <w:rPr>
          <w:szCs w:val="18"/>
        </w:rPr>
        <w:t xml:space="preserve"> die</w:t>
      </w:r>
      <w:r w:rsidRPr="00905D32">
        <w:rPr>
          <w:szCs w:val="18"/>
        </w:rPr>
        <w:t xml:space="preserve"> de inzet van fossiele brandstoffen in verwarmingsprocessen zonder afvang bij uitbreiding, nieuwbouw en vervanging van industriële productie-installaties zonder CO2-afvang zou verbieden.</w:t>
      </w:r>
    </w:p>
    <w:p w:rsidRPr="00532A10" w:rsidR="00D87AC0" w:rsidP="006E3CC3" w:rsidRDefault="00D87AC0" w14:paraId="723D1741" w14:textId="77777777">
      <w:pPr>
        <w:pStyle w:val="Lijstalinea"/>
        <w:numPr>
          <w:ilvl w:val="0"/>
          <w:numId w:val="5"/>
        </w:numPr>
        <w:rPr>
          <w:color w:val="000000" w:themeColor="text1"/>
          <w:szCs w:val="18"/>
        </w:rPr>
      </w:pPr>
      <w:r w:rsidRPr="00905D32">
        <w:rPr>
          <w:szCs w:val="18"/>
        </w:rPr>
        <w:t xml:space="preserve">Het verbod dient als een finale stok achter de deur en geeft de markt zekerheid over de eindigheid van investeren in fossiele stooktechnieken. Het </w:t>
      </w:r>
      <w:r w:rsidRPr="00532A10">
        <w:rPr>
          <w:szCs w:val="18"/>
        </w:rPr>
        <w:t xml:space="preserve">verbod leidt niet tot emissiereductie voor 2030. </w:t>
      </w:r>
    </w:p>
    <w:p w:rsidRPr="00532A10" w:rsidR="00497C6D" w:rsidP="00C350E3" w:rsidRDefault="00497C6D" w14:paraId="1CEC2E46" w14:textId="219475E8">
      <w:pPr>
        <w:pStyle w:val="Lijstalinea"/>
        <w:numPr>
          <w:ilvl w:val="0"/>
          <w:numId w:val="5"/>
        </w:numPr>
        <w:rPr>
          <w:color w:val="000000" w:themeColor="text1"/>
          <w:szCs w:val="18"/>
        </w:rPr>
      </w:pPr>
      <w:r w:rsidRPr="00532A10">
        <w:rPr>
          <w:szCs w:val="18"/>
        </w:rPr>
        <w:t xml:space="preserve">Zowel politiek (VRO) als </w:t>
      </w:r>
      <w:r w:rsidRPr="00532A10" w:rsidR="008064ED">
        <w:rPr>
          <w:szCs w:val="18"/>
        </w:rPr>
        <w:t xml:space="preserve">door </w:t>
      </w:r>
      <w:r w:rsidRPr="00532A10">
        <w:rPr>
          <w:szCs w:val="18"/>
        </w:rPr>
        <w:t>de voorwaarde van geen netcongestie</w:t>
      </w:r>
      <w:r w:rsidRPr="00532A10" w:rsidR="0094731E">
        <w:rPr>
          <w:szCs w:val="18"/>
        </w:rPr>
        <w:t xml:space="preserve"> (</w:t>
      </w:r>
      <w:proofErr w:type="spellStart"/>
      <w:r w:rsidRPr="00532A10" w:rsidR="0094731E">
        <w:rPr>
          <w:szCs w:val="18"/>
        </w:rPr>
        <w:t>randvoorwaardelijk</w:t>
      </w:r>
      <w:proofErr w:type="spellEnd"/>
      <w:r w:rsidRPr="00532A10" w:rsidR="0094731E">
        <w:rPr>
          <w:szCs w:val="18"/>
        </w:rPr>
        <w:t>)</w:t>
      </w:r>
      <w:r w:rsidRPr="00532A10">
        <w:rPr>
          <w:szCs w:val="18"/>
        </w:rPr>
        <w:t xml:space="preserve"> stuit deze maatregel op moeilijkheden.</w:t>
      </w:r>
    </w:p>
    <w:p w:rsidRPr="00C350E3" w:rsidR="0039151B" w:rsidP="00C350E3" w:rsidRDefault="0039151B" w14:paraId="332FD92F" w14:textId="2F7428BD">
      <w:pPr>
        <w:pStyle w:val="Lijstalinea"/>
        <w:numPr>
          <w:ilvl w:val="0"/>
          <w:numId w:val="5"/>
        </w:numPr>
        <w:rPr>
          <w:color w:val="000000" w:themeColor="text1"/>
          <w:szCs w:val="18"/>
        </w:rPr>
      </w:pPr>
      <w:r>
        <w:rPr>
          <w:szCs w:val="18"/>
        </w:rPr>
        <w:t xml:space="preserve">De maatregel wordt verder uitgewerkt. </w:t>
      </w:r>
    </w:p>
    <w:p w:rsidRPr="00905D32" w:rsidR="00CC5FA5" w:rsidP="00332119" w:rsidRDefault="00CC5FA5" w14:paraId="1B6E06BF" w14:textId="77777777">
      <w:pPr>
        <w:rPr>
          <w:color w:val="000000" w:themeColor="text1"/>
          <w:szCs w:val="18"/>
        </w:rPr>
      </w:pPr>
    </w:p>
    <w:p w:rsidRPr="00905D32" w:rsidR="007075B1" w:rsidP="00E66B8A" w:rsidRDefault="005B35A8" w14:paraId="6B5E1832" w14:textId="41FE81FC">
      <w:pPr>
        <w:rPr>
          <w:rStyle w:val="normaltextrun"/>
          <w:b/>
          <w:bCs/>
          <w:color w:val="000000"/>
          <w:szCs w:val="18"/>
          <w:shd w:val="clear" w:color="auto" w:fill="FFFFFF"/>
        </w:rPr>
      </w:pPr>
      <w:r w:rsidRPr="00905D32">
        <w:rPr>
          <w:rStyle w:val="normaltextrun"/>
          <w:b/>
          <w:bCs/>
          <w:color w:val="000000"/>
          <w:szCs w:val="18"/>
          <w:shd w:val="clear" w:color="auto" w:fill="FFFFFF"/>
        </w:rPr>
        <w:lastRenderedPageBreak/>
        <w:t xml:space="preserve">3.4. </w:t>
      </w:r>
      <w:r w:rsidR="00B361FB">
        <w:rPr>
          <w:rStyle w:val="normaltextrun"/>
          <w:b/>
          <w:bCs/>
          <w:color w:val="000000"/>
          <w:szCs w:val="18"/>
          <w:shd w:val="clear" w:color="auto" w:fill="FFFFFF"/>
        </w:rPr>
        <w:t xml:space="preserve">Ter info - </w:t>
      </w:r>
      <w:r w:rsidRPr="00905D32">
        <w:rPr>
          <w:rStyle w:val="normaltextrun"/>
          <w:b/>
          <w:bCs/>
          <w:color w:val="000000"/>
          <w:szCs w:val="18"/>
          <w:shd w:val="clear" w:color="auto" w:fill="FFFFFF"/>
        </w:rPr>
        <w:t>Onderzoek</w:t>
      </w:r>
      <w:r w:rsidRPr="00905D32" w:rsidR="005C1737">
        <w:rPr>
          <w:rStyle w:val="normaltextrun"/>
          <w:b/>
          <w:bCs/>
          <w:color w:val="000000"/>
          <w:szCs w:val="18"/>
          <w:shd w:val="clear" w:color="auto" w:fill="FFFFFF"/>
        </w:rPr>
        <w:t xml:space="preserve"> aanscherping</w:t>
      </w:r>
      <w:r w:rsidRPr="00905D32" w:rsidR="00CB0F08">
        <w:rPr>
          <w:rStyle w:val="normaltextrun"/>
          <w:b/>
          <w:bCs/>
          <w:color w:val="000000"/>
          <w:szCs w:val="18"/>
          <w:shd w:val="clear" w:color="auto" w:fill="FFFFFF"/>
        </w:rPr>
        <w:t xml:space="preserve"> </w:t>
      </w:r>
      <w:r w:rsidRPr="00905D32">
        <w:rPr>
          <w:rStyle w:val="normaltextrun"/>
          <w:b/>
          <w:bCs/>
          <w:color w:val="000000"/>
          <w:szCs w:val="18"/>
          <w:shd w:val="clear" w:color="auto" w:fill="FFFFFF"/>
        </w:rPr>
        <w:t xml:space="preserve">EB </w:t>
      </w:r>
      <w:r w:rsidRPr="00905D32" w:rsidR="005C1737">
        <w:rPr>
          <w:rStyle w:val="normaltextrun"/>
          <w:b/>
          <w:bCs/>
          <w:color w:val="000000"/>
          <w:szCs w:val="18"/>
          <w:shd w:val="clear" w:color="auto" w:fill="FFFFFF"/>
        </w:rPr>
        <w:t xml:space="preserve">aardgas ETS2 </w:t>
      </w:r>
      <w:r w:rsidRPr="00905D32" w:rsidR="00332119">
        <w:rPr>
          <w:rStyle w:val="normaltextrun"/>
          <w:b/>
          <w:bCs/>
          <w:color w:val="000000"/>
          <w:szCs w:val="18"/>
          <w:shd w:val="clear" w:color="auto" w:fill="FFFFFF"/>
        </w:rPr>
        <w:t>en dienstensector</w:t>
      </w:r>
    </w:p>
    <w:p w:rsidRPr="00905D32" w:rsidR="00E45EA9" w:rsidP="00E45EA9" w:rsidRDefault="00E45EA9" w14:paraId="48C89C1F" w14:textId="77777777">
      <w:pPr>
        <w:pStyle w:val="Lijstalinea"/>
        <w:numPr>
          <w:ilvl w:val="0"/>
          <w:numId w:val="11"/>
        </w:numPr>
        <w:rPr>
          <w:rStyle w:val="eop"/>
          <w:b/>
          <w:bCs/>
          <w:color w:val="000000" w:themeColor="text1"/>
          <w:szCs w:val="18"/>
        </w:rPr>
      </w:pPr>
      <w:r w:rsidRPr="00905D32">
        <w:rPr>
          <w:rStyle w:val="normaltextrun"/>
          <w:color w:val="000000"/>
          <w:szCs w:val="18"/>
          <w:shd w:val="clear" w:color="auto" w:fill="FFFFFF"/>
        </w:rPr>
        <w:t xml:space="preserve">Maatvoering en CO2-effect </w:t>
      </w:r>
      <w:r>
        <w:rPr>
          <w:rStyle w:val="normaltextrun"/>
          <w:color w:val="000000"/>
          <w:szCs w:val="18"/>
          <w:shd w:val="clear" w:color="auto" w:fill="FFFFFF"/>
        </w:rPr>
        <w:t>is</w:t>
      </w:r>
      <w:r w:rsidRPr="00905D32">
        <w:rPr>
          <w:rStyle w:val="normaltextrun"/>
          <w:color w:val="000000"/>
          <w:szCs w:val="18"/>
          <w:shd w:val="clear" w:color="auto" w:fill="FFFFFF"/>
        </w:rPr>
        <w:t xml:space="preserve"> onderzocht in een apart onderzoek uitgevoerd in opdracht van FIN door onderzoeksbureau </w:t>
      </w:r>
      <w:proofErr w:type="spellStart"/>
      <w:r w:rsidRPr="00905D32">
        <w:rPr>
          <w:rStyle w:val="normaltextrun"/>
          <w:color w:val="000000"/>
          <w:szCs w:val="18"/>
          <w:shd w:val="clear" w:color="auto" w:fill="FFFFFF"/>
        </w:rPr>
        <w:t>Kalavasta</w:t>
      </w:r>
      <w:proofErr w:type="spellEnd"/>
      <w:r w:rsidRPr="00905D32">
        <w:rPr>
          <w:rStyle w:val="normaltextrun"/>
          <w:color w:val="000000"/>
          <w:szCs w:val="18"/>
          <w:shd w:val="clear" w:color="auto" w:fill="FFFFFF"/>
        </w:rPr>
        <w:t>.</w:t>
      </w:r>
      <w:r w:rsidRPr="00905D32">
        <w:rPr>
          <w:rStyle w:val="eop"/>
          <w:color w:val="000000"/>
          <w:szCs w:val="18"/>
          <w:shd w:val="clear" w:color="auto" w:fill="FFFFFF"/>
        </w:rPr>
        <w:t> </w:t>
      </w:r>
      <w:r>
        <w:rPr>
          <w:rStyle w:val="eop"/>
          <w:color w:val="000000"/>
          <w:szCs w:val="18"/>
          <w:shd w:val="clear" w:color="auto" w:fill="FFFFFF"/>
        </w:rPr>
        <w:t xml:space="preserve">Dit is conform de aankondiging in de fiscale strategische agenda (2024-2028). </w:t>
      </w:r>
    </w:p>
    <w:p w:rsidRPr="005E3B78" w:rsidR="00E45EA9" w:rsidP="00E45EA9" w:rsidRDefault="00E45EA9" w14:paraId="531A361D" w14:textId="77777777">
      <w:pPr>
        <w:pStyle w:val="Lijstalinea"/>
        <w:numPr>
          <w:ilvl w:val="0"/>
          <w:numId w:val="11"/>
        </w:numPr>
        <w:rPr>
          <w:rStyle w:val="eop"/>
          <w:b/>
          <w:bCs/>
          <w:color w:val="000000" w:themeColor="text1"/>
          <w:szCs w:val="18"/>
        </w:rPr>
      </w:pPr>
      <w:r w:rsidRPr="00905D32">
        <w:rPr>
          <w:rStyle w:val="eop"/>
          <w:color w:val="000000"/>
          <w:szCs w:val="18"/>
          <w:shd w:val="clear" w:color="auto" w:fill="FFFFFF"/>
        </w:rPr>
        <w:t xml:space="preserve">Uit dit onderzoek komt naar voren dat de huidige CO2-beprijzing (inclusief ETS2) naar verwachting voldoende is voor de benodigde reductie in de ETS2 industrie t/m 2030. </w:t>
      </w:r>
      <w:r>
        <w:rPr>
          <w:rStyle w:val="eop"/>
          <w:color w:val="000000"/>
          <w:szCs w:val="18"/>
          <w:shd w:val="clear" w:color="auto" w:fill="FFFFFF"/>
        </w:rPr>
        <w:t xml:space="preserve">Voor deze VJB is er daarom geen voorstel uitgewerkt voor een hogere CO2-prijs tot 2030. </w:t>
      </w:r>
    </w:p>
    <w:p w:rsidRPr="005E3B78" w:rsidR="00E45EA9" w:rsidP="00E45EA9" w:rsidRDefault="00E45EA9" w14:paraId="2F9AE31C" w14:textId="77777777">
      <w:pPr>
        <w:pStyle w:val="Lijstalinea"/>
        <w:numPr>
          <w:ilvl w:val="0"/>
          <w:numId w:val="11"/>
        </w:numPr>
        <w:rPr>
          <w:rStyle w:val="eop"/>
          <w:b/>
          <w:bCs/>
          <w:color w:val="000000" w:themeColor="text1"/>
          <w:szCs w:val="18"/>
        </w:rPr>
      </w:pPr>
      <w:r w:rsidRPr="00E45EA9">
        <w:rPr>
          <w:rStyle w:val="eop"/>
          <w:color w:val="000000"/>
          <w:szCs w:val="18"/>
          <w:shd w:val="clear" w:color="auto" w:fill="FFFFFF"/>
        </w:rPr>
        <w:t>Voor de periode na 2030 (richting klimaatneutraliteit) is wel een fors hogere CO2-prijs nodig.</w:t>
      </w:r>
      <w:r w:rsidRPr="00514511">
        <w:rPr>
          <w:rStyle w:val="eop"/>
          <w:color w:val="000000"/>
          <w:szCs w:val="18"/>
          <w:shd w:val="clear" w:color="auto" w:fill="FFFFFF"/>
        </w:rPr>
        <w:t xml:space="preserve"> </w:t>
      </w:r>
      <w:proofErr w:type="spellStart"/>
      <w:r w:rsidRPr="00514511">
        <w:rPr>
          <w:rStyle w:val="eop"/>
          <w:color w:val="000000"/>
          <w:szCs w:val="18"/>
          <w:shd w:val="clear" w:color="auto" w:fill="FFFFFF"/>
        </w:rPr>
        <w:t>Kalavasta</w:t>
      </w:r>
      <w:proofErr w:type="spellEnd"/>
      <w:r w:rsidRPr="00514511">
        <w:rPr>
          <w:rStyle w:val="eop"/>
          <w:color w:val="000000"/>
          <w:szCs w:val="18"/>
          <w:shd w:val="clear" w:color="auto" w:fill="FFFFFF"/>
        </w:rPr>
        <w:t xml:space="preserve"> suggereert daarnaast om op termijn te kijken naar een nationale minimumprijs voor ETS2, om meer zekerheid te bieden.</w:t>
      </w:r>
      <w:r>
        <w:rPr>
          <w:rStyle w:val="eop"/>
          <w:color w:val="000000"/>
          <w:szCs w:val="18"/>
          <w:shd w:val="clear" w:color="auto" w:fill="FFFFFF"/>
        </w:rPr>
        <w:t xml:space="preserve"> </w:t>
      </w:r>
    </w:p>
    <w:p w:rsidRPr="005E3B78" w:rsidR="00E45EA9" w:rsidP="00E45EA9" w:rsidRDefault="00E45EA9" w14:paraId="64076437" w14:textId="77777777">
      <w:pPr>
        <w:pStyle w:val="Lijstalinea"/>
        <w:numPr>
          <w:ilvl w:val="0"/>
          <w:numId w:val="11"/>
        </w:numPr>
        <w:rPr>
          <w:rStyle w:val="eop"/>
          <w:b/>
          <w:bCs/>
          <w:color w:val="000000" w:themeColor="text1"/>
          <w:szCs w:val="18"/>
        </w:rPr>
      </w:pPr>
      <w:r>
        <w:rPr>
          <w:rStyle w:val="eop"/>
          <w:color w:val="000000" w:themeColor="text1"/>
          <w:szCs w:val="18"/>
        </w:rPr>
        <w:t xml:space="preserve">Deze onderzoeksresultaten zullen worden meegenomen in een kabinetsreactie die na het voorjaar ter akkoord aan u wordt voorgelegd. Het onderzoek zal daarna samen met de andere </w:t>
      </w:r>
      <w:proofErr w:type="spellStart"/>
      <w:r>
        <w:rPr>
          <w:rStyle w:val="eop"/>
          <w:color w:val="000000" w:themeColor="text1"/>
          <w:szCs w:val="18"/>
        </w:rPr>
        <w:t>beprijzingsonderzoeken</w:t>
      </w:r>
      <w:proofErr w:type="spellEnd"/>
      <w:r>
        <w:rPr>
          <w:rStyle w:val="eop"/>
          <w:color w:val="000000" w:themeColor="text1"/>
          <w:szCs w:val="18"/>
        </w:rPr>
        <w:t xml:space="preserve"> naar de Tweede Kamer worden gestuurd. </w:t>
      </w:r>
    </w:p>
    <w:p w:rsidRPr="00905D32" w:rsidR="00F70188" w:rsidP="00F70188" w:rsidRDefault="00F70188" w14:paraId="3070FD12" w14:textId="77777777">
      <w:pPr>
        <w:rPr>
          <w:rStyle w:val="normaltextrun"/>
          <w:b/>
          <w:bCs/>
          <w:color w:val="000000" w:themeColor="text1"/>
          <w:szCs w:val="18"/>
        </w:rPr>
      </w:pPr>
    </w:p>
    <w:p w:rsidRPr="00905D32" w:rsidR="00F70188" w:rsidP="00F70188" w:rsidRDefault="00F70188" w14:paraId="19AECFC3" w14:textId="77777777">
      <w:pPr>
        <w:rPr>
          <w:rStyle w:val="normaltextrun"/>
          <w:b/>
          <w:bCs/>
          <w:color w:val="1F497D" w:themeColor="text2"/>
          <w:szCs w:val="18"/>
        </w:rPr>
      </w:pPr>
    </w:p>
    <w:p w:rsidRPr="00905D32" w:rsidR="00F70188" w:rsidP="00F70188" w:rsidRDefault="00F70188" w14:paraId="3F7CEF28" w14:textId="364BEC23">
      <w:pPr>
        <w:rPr>
          <w:rStyle w:val="normaltextrun"/>
          <w:b/>
          <w:bCs/>
          <w:szCs w:val="18"/>
        </w:rPr>
      </w:pPr>
      <w:r w:rsidRPr="00905D32">
        <w:rPr>
          <w:rStyle w:val="normaltextrun"/>
          <w:b/>
          <w:bCs/>
          <w:szCs w:val="18"/>
        </w:rPr>
        <w:t xml:space="preserve">Bijlages </w:t>
      </w:r>
    </w:p>
    <w:p w:rsidRPr="00905D32" w:rsidR="0042563B" w:rsidP="006E3CC3" w:rsidRDefault="00D87AC0" w14:paraId="3A7E9344" w14:textId="322B5860">
      <w:pPr>
        <w:pStyle w:val="Lijstalinea"/>
        <w:numPr>
          <w:ilvl w:val="0"/>
          <w:numId w:val="14"/>
        </w:numPr>
        <w:rPr>
          <w:szCs w:val="18"/>
        </w:rPr>
      </w:pPr>
      <w:r w:rsidRPr="00905D32">
        <w:rPr>
          <w:szCs w:val="18"/>
        </w:rPr>
        <w:t xml:space="preserve">Overzicht </w:t>
      </w:r>
      <w:r w:rsidRPr="00905D32" w:rsidR="00451ED7">
        <w:rPr>
          <w:szCs w:val="18"/>
        </w:rPr>
        <w:t xml:space="preserve">Klimaatfonds </w:t>
      </w:r>
    </w:p>
    <w:p w:rsidRPr="00905D32" w:rsidR="00DC01E4" w:rsidP="00B73F11" w:rsidRDefault="00DC01E4" w14:paraId="0E158774" w14:textId="77777777">
      <w:pPr>
        <w:pStyle w:val="Lijstalinea"/>
        <w:rPr>
          <w:szCs w:val="18"/>
        </w:rPr>
      </w:pPr>
    </w:p>
    <w:p w:rsidR="00D87AC0" w:rsidP="00E66B8A" w:rsidRDefault="00D87AC0" w14:paraId="792B0541" w14:textId="664F96F5">
      <w:pPr>
        <w:pStyle w:val="Lijstalinea"/>
        <w:rPr>
          <w:b/>
          <w:bCs/>
          <w:color w:val="000000" w:themeColor="text1"/>
        </w:rPr>
      </w:pPr>
    </w:p>
    <w:p w:rsidR="0042563B" w:rsidRDefault="0042563B" w14:paraId="626A8AFB" w14:textId="6F019179">
      <w:pPr>
        <w:spacing w:line="240" w:lineRule="auto"/>
        <w:rPr>
          <w:b/>
          <w:bCs/>
          <w:color w:val="000000" w:themeColor="text1"/>
        </w:rPr>
      </w:pPr>
    </w:p>
    <w:p w:rsidR="0042563B" w:rsidRDefault="0042563B" w14:paraId="5C99BA6B" w14:textId="77777777">
      <w:pPr>
        <w:spacing w:line="240" w:lineRule="auto"/>
        <w:rPr>
          <w:b/>
          <w:bCs/>
          <w:color w:val="000000" w:themeColor="text1"/>
        </w:rPr>
      </w:pPr>
    </w:p>
    <w:p w:rsidR="0042563B" w:rsidRDefault="0042563B" w14:paraId="018E03F5" w14:textId="77777777">
      <w:pPr>
        <w:spacing w:line="240" w:lineRule="auto"/>
        <w:rPr>
          <w:b/>
          <w:bCs/>
          <w:color w:val="000000" w:themeColor="text1"/>
        </w:rPr>
      </w:pPr>
    </w:p>
    <w:p w:rsidR="005B35A8" w:rsidRDefault="005B35A8" w14:paraId="44228D70" w14:textId="77777777">
      <w:pPr>
        <w:spacing w:line="240" w:lineRule="auto"/>
        <w:rPr>
          <w:b/>
          <w:bCs/>
          <w:color w:val="000000" w:themeColor="text1"/>
        </w:rPr>
      </w:pPr>
    </w:p>
    <w:p w:rsidR="001A33AD" w:rsidP="0042563B" w:rsidRDefault="0042563B" w14:paraId="4B29E5BD" w14:textId="184FAA4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Bijlage – Overzicht Klimaatfonds</w:t>
      </w:r>
    </w:p>
    <w:p w:rsidR="0042563B" w:rsidP="0042563B" w:rsidRDefault="0042563B" w14:paraId="38171C55" w14:textId="77777777">
      <w:pPr>
        <w:rPr>
          <w:b/>
          <w:bCs/>
          <w:color w:val="000000" w:themeColor="text1"/>
        </w:rPr>
      </w:pPr>
    </w:p>
    <w:tbl>
      <w:tblPr>
        <w:tblW w:w="10632" w:type="dxa"/>
        <w:tblInd w:w="-100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991"/>
        <w:gridCol w:w="978"/>
        <w:gridCol w:w="1418"/>
        <w:gridCol w:w="1417"/>
        <w:gridCol w:w="2977"/>
      </w:tblGrid>
      <w:tr w:rsidRPr="00F906C3" w:rsidR="0042563B" w:rsidTr="0042563B" w14:paraId="301361AF" w14:textId="77777777">
        <w:trPr>
          <w:trHeight w:val="90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17BC6"/>
            <w:hideMark/>
          </w:tcPr>
          <w:p w:rsidRPr="00F906C3" w:rsidR="0042563B" w:rsidP="0042563B" w:rsidRDefault="0042563B" w14:paraId="444E4291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F906C3">
              <w:rPr>
                <w:rFonts w:ascii="Times New Roman" w:hAnsi="Times New Roman"/>
                <w:sz w:val="24"/>
              </w:rPr>
              <w:t> </w:t>
            </w:r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17BC6"/>
            <w:hideMark/>
          </w:tcPr>
          <w:p w:rsidRPr="00F906C3" w:rsidR="0042563B" w:rsidP="00B9509D" w:rsidRDefault="0042563B" w14:paraId="095C860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F906C3">
              <w:rPr>
                <w:b/>
                <w:bCs/>
                <w:color w:val="FFFFFF"/>
                <w:szCs w:val="18"/>
              </w:rPr>
              <w:t>Beoordeling Klimaatfonds ingediende maatregelen industrie</w:t>
            </w:r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​​</w:t>
            </w:r>
          </w:p>
          <w:p w:rsidRPr="00F906C3" w:rsidR="0042563B" w:rsidP="00B9509D" w:rsidRDefault="0042563B" w14:paraId="3D8F5E3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17BC6"/>
            <w:hideMark/>
          </w:tcPr>
          <w:p w:rsidRPr="00F906C3" w:rsidR="0042563B" w:rsidP="00B9509D" w:rsidRDefault="0042563B" w14:paraId="401F28DF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F906C3">
              <w:rPr>
                <w:b/>
                <w:bCs/>
                <w:color w:val="FFFFFF"/>
                <w:szCs w:val="18"/>
              </w:rPr>
              <w:t>Claim (€ mln.)</w:t>
            </w:r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17BC6"/>
            <w:hideMark/>
          </w:tcPr>
          <w:p w:rsidRPr="00F906C3" w:rsidR="0042563B" w:rsidP="00B9509D" w:rsidRDefault="0042563B" w14:paraId="066FBD45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F906C3">
              <w:rPr>
                <w:b/>
                <w:bCs/>
                <w:color w:val="FFFFFF"/>
                <w:szCs w:val="18"/>
              </w:rPr>
              <w:t xml:space="preserve">Conceptbeoordeling december (€ mln.)  </w:t>
            </w:r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17BC6"/>
            <w:hideMark/>
          </w:tcPr>
          <w:p w:rsidRPr="00F906C3" w:rsidR="0042563B" w:rsidP="00B9509D" w:rsidRDefault="0042563B" w14:paraId="07BCB3C5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F906C3">
              <w:rPr>
                <w:b/>
                <w:bCs/>
                <w:color w:val="FFFFFF"/>
                <w:szCs w:val="18"/>
              </w:rPr>
              <w:t>Definitieve beoordeling na reflecties PBL en TNO (€ mln.)</w:t>
            </w:r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17BC6"/>
            <w:hideMark/>
          </w:tcPr>
          <w:p w:rsidRPr="00F906C3" w:rsidR="0042563B" w:rsidP="00B9509D" w:rsidRDefault="0042563B" w14:paraId="6D494CC7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</w:t>
            </w:r>
            <w:r w:rsidRPr="00F906C3">
              <w:rPr>
                <w:b/>
                <w:bCs/>
                <w:color w:val="FFFFFF"/>
                <w:szCs w:val="18"/>
              </w:rPr>
              <w:t>Koppeling met normering/</w:t>
            </w:r>
            <w:proofErr w:type="spellStart"/>
            <w:r w:rsidRPr="00F906C3">
              <w:rPr>
                <w:b/>
                <w:bCs/>
                <w:color w:val="FFFFFF"/>
                <w:szCs w:val="18"/>
              </w:rPr>
              <w:t>beprijzing</w:t>
            </w:r>
            <w:proofErr w:type="spellEnd"/>
            <w:r w:rsidRPr="00F906C3">
              <w:rPr>
                <w:rFonts w:ascii="Arial" w:hAnsi="Arial" w:cs="Arial"/>
                <w:b/>
                <w:bCs/>
                <w:color w:val="FFFFFF"/>
                <w:szCs w:val="18"/>
              </w:rPr>
              <w:t>​</w:t>
            </w:r>
          </w:p>
        </w:tc>
      </w:tr>
      <w:tr w:rsidRPr="00F906C3" w:rsidR="0042563B" w:rsidTr="0042563B" w14:paraId="4AEA9BB6" w14:textId="77777777">
        <w:trPr>
          <w:trHeight w:val="165"/>
        </w:trPr>
        <w:tc>
          <w:tcPr>
            <w:tcW w:w="851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729745EC" w14:textId="77777777">
            <w:pPr>
              <w:spacing w:before="100" w:beforeAutospacing="1" w:after="100" w:afterAutospacing="1" w:line="240" w:lineRule="auto"/>
              <w:textAlignment w:val="baseline"/>
              <w:rPr>
                <w:b/>
                <w:bCs/>
                <w:color w:val="000000"/>
                <w:szCs w:val="18"/>
              </w:rPr>
            </w:pPr>
            <w:r w:rsidRPr="00F906C3">
              <w:rPr>
                <w:b/>
                <w:bCs/>
                <w:color w:val="000000"/>
                <w:szCs w:val="18"/>
              </w:rPr>
              <w:t>Verduurzaming</w:t>
            </w:r>
            <w:r>
              <w:rPr>
                <w:b/>
                <w:bCs/>
                <w:color w:val="000000"/>
                <w:szCs w:val="18"/>
              </w:rPr>
              <w:t xml:space="preserve">  </w:t>
            </w:r>
            <w:r w:rsidRPr="00F906C3">
              <w:rPr>
                <w:b/>
                <w:bCs/>
                <w:color w:val="000000"/>
                <w:szCs w:val="18"/>
              </w:rPr>
              <w:t>industrie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91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30625649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IKC-ETS 2025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795098F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1.200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3B9C810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600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141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7E0EA75B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0 (A)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7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133748A5" w14:textId="3F8AF31C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  <w:r w:rsidR="0094731E">
              <w:rPr>
                <w:rFonts w:ascii="Arial" w:hAnsi="Arial" w:cs="Arial"/>
                <w:color w:val="000000"/>
                <w:szCs w:val="18"/>
              </w:rPr>
              <w:t>Inzet is primair op IKC via begroting, i.v.m. negatief effect op KEV bij bekostiging via KF.</w:t>
            </w:r>
          </w:p>
        </w:tc>
      </w:tr>
      <w:tr w:rsidRPr="00F906C3" w:rsidR="0042563B" w:rsidTr="0042563B" w14:paraId="5CEF31CC" w14:textId="77777777">
        <w:trPr>
          <w:trHeight w:val="64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256470AE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19439BB4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Reservering demping elektriciteitsnettarieven bedrijven (in plaats van toekenning voor IKC-ETS)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51B90FB9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39D030D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n.v.t.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798AD133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600   (R)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905D32" w:rsidR="0042563B" w:rsidP="00B9509D" w:rsidRDefault="0042563B" w14:paraId="5D889CAB" w14:textId="5A44898F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05D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Gekoppeld aan: breder pakket n.a.v. IBO Bekostiging elektriciteits-infrastructuur </w:t>
            </w:r>
            <w:r w:rsidRPr="00905D32" w:rsidR="00B02C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dat er in besluitvorming besloten wordt over </w:t>
            </w:r>
            <w:proofErr w:type="spellStart"/>
            <w:r w:rsidRPr="00905D32" w:rsidR="00B02C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amibitieus</w:t>
            </w:r>
            <w:proofErr w:type="spellEnd"/>
            <w:r w:rsidRPr="00905D32" w:rsidR="00B02C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pakket voor industrie met </w:t>
            </w:r>
            <w:proofErr w:type="spellStart"/>
            <w:r w:rsidRPr="00905D32" w:rsidR="00B02C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substiantieel</w:t>
            </w:r>
            <w:proofErr w:type="spellEnd"/>
            <w:r w:rsidRPr="00905D32" w:rsidR="00B02C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co2 effect. </w:t>
            </w:r>
          </w:p>
        </w:tc>
      </w:tr>
      <w:tr w:rsidRPr="00F906C3" w:rsidR="0042563B" w:rsidTr="0042563B" w14:paraId="7AF1EE82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5F564B9B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C9F53C0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NIKI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575CA971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300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18DD32D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300   (T)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78F40CF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300   (T)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5A235AC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3AFC4EE6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2E57E810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D6E8AF2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Reservering: NIKI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14D55DA7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700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58768D55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650 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5718E28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650 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0B7170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21D6FBE4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7C6BAD16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9DC1589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Stimuleringsprogramma innovatie en vroege opschaling koolstofverwijdering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1B32FC04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105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0DFAF7BA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50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  <w:p w:rsidRPr="00F906C3" w:rsidR="0042563B" w:rsidP="00B9509D" w:rsidRDefault="0042563B" w14:paraId="6FFE5EFA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16,5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0C8E96CF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50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  <w:p w:rsidRPr="00F906C3" w:rsidR="0042563B" w:rsidP="00B9509D" w:rsidRDefault="0042563B" w14:paraId="553C2B9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16,5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060EFAA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0563573C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F8A16F8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lastRenderedPageBreak/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FA018B5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Intensivering DEI+ (oorspronkelijk DEI-XL genoemd)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3BE0D82E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348,6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3BD24370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261  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0C71FAA7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261  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0BA99FC7" w14:textId="73BABFE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 xml:space="preserve">Gekoppeld aan: </w:t>
            </w:r>
            <w:r w:rsidRPr="005B5BE4">
              <w:rPr>
                <w:color w:val="000000"/>
                <w:szCs w:val="18"/>
              </w:rPr>
              <w:t xml:space="preserve">ophoging van de CO2-heffing passend bij het met 4 </w:t>
            </w:r>
            <w:proofErr w:type="spellStart"/>
            <w:r w:rsidRPr="005B5BE4">
              <w:rPr>
                <w:color w:val="000000"/>
                <w:szCs w:val="18"/>
              </w:rPr>
              <w:t>Mton</w:t>
            </w:r>
            <w:proofErr w:type="spellEnd"/>
            <w:r w:rsidRPr="005B5BE4">
              <w:rPr>
                <w:color w:val="000000"/>
                <w:szCs w:val="18"/>
              </w:rPr>
              <w:t xml:space="preserve"> verhoogde reductiedoel</w:t>
            </w:r>
            <w:r w:rsidRPr="005B5BE4">
              <w:rPr>
                <w:rFonts w:ascii="Arial" w:hAnsi="Arial" w:cs="Arial"/>
                <w:color w:val="000000"/>
                <w:szCs w:val="18"/>
              </w:rPr>
              <w:t>​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74DE2E98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F164647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2492F57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Reservering: onderzoek nationaal emissieplafond ESR sectoren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34DF0695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-1,9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6B0C58BE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53B57053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72A3115E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248E214E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0AAE6958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600C0CA4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Opschaling nieuwe industrie ter bevordering Groene Groei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94DC7D8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250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47F88242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 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23AA012F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 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BFC2E6E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114E4528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7BA08406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57F5E07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Ondersteuning cluster 6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EB088CD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28,5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257CDEF7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17,6 (T)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  <w:r w:rsidRPr="00F906C3">
              <w:rPr>
                <w:color w:val="000000"/>
                <w:szCs w:val="18"/>
              </w:rPr>
              <w:t>20,4 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42826FF0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17,6 (T)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  <w:r w:rsidRPr="00F906C3">
              <w:rPr>
                <w:color w:val="000000"/>
                <w:szCs w:val="18"/>
              </w:rPr>
              <w:t>20,4 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210D2B99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3E510C9A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02BFC855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b/>
                <w:bCs/>
                <w:color w:val="000000"/>
                <w:szCs w:val="18"/>
              </w:rPr>
              <w:t>Maatwerk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12750C38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Reservering maatwerkfinanciering (uit reservering eventuele maatwerksubsidies)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2F6281AF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574,7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7115F009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479,4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71A684D3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479,4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1C4280B9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  <w:r w:rsidRPr="00F906C3">
              <w:rPr>
                <w:b/>
                <w:bCs/>
                <w:color w:val="000000"/>
                <w:szCs w:val="18"/>
              </w:rPr>
              <w:t>N.B. potentieel Mt-effect maatwerkafspraken</w:t>
            </w:r>
          </w:p>
        </w:tc>
      </w:tr>
      <w:tr w:rsidRPr="00F906C3" w:rsidR="0042563B" w:rsidTr="0042563B" w14:paraId="6B10AC5B" w14:textId="77777777">
        <w:trPr>
          <w:trHeight w:val="49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65D5027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4D8CAB4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Reservering ophoging budget maatwerkfinanciering (uit reservering ophoging perceel)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BE5096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229,6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6CA655C2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229,6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4434ED29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229,6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="0042563B" w:rsidP="00B9509D" w:rsidRDefault="0042563B" w14:paraId="3D7B1722" w14:textId="3FDB53C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 xml:space="preserve">Gekoppeld aan: </w:t>
            </w:r>
            <w:r w:rsidRPr="005B5BE4">
              <w:rPr>
                <w:color w:val="000000"/>
                <w:szCs w:val="18"/>
              </w:rPr>
              <w:t xml:space="preserve">ophoging van de CO2-heffing passend bij het met 4 </w:t>
            </w:r>
            <w:proofErr w:type="spellStart"/>
            <w:r w:rsidRPr="005B5BE4">
              <w:rPr>
                <w:color w:val="000000"/>
                <w:szCs w:val="18"/>
              </w:rPr>
              <w:t>Mton</w:t>
            </w:r>
            <w:proofErr w:type="spellEnd"/>
            <w:r w:rsidRPr="005B5BE4">
              <w:rPr>
                <w:color w:val="000000"/>
                <w:szCs w:val="18"/>
              </w:rPr>
              <w:t xml:space="preserve"> verhoogde reductiedoel</w:t>
            </w:r>
            <w:r w:rsidRPr="005B5BE4">
              <w:rPr>
                <w:rFonts w:ascii="Arial" w:hAnsi="Arial" w:cs="Arial"/>
                <w:color w:val="000000"/>
                <w:szCs w:val="18"/>
              </w:rPr>
              <w:t>​</w:t>
            </w:r>
          </w:p>
          <w:p w:rsidRPr="00F906C3" w:rsidR="0042563B" w:rsidP="00B9509D" w:rsidRDefault="0042563B" w14:paraId="36335A01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b/>
                <w:bCs/>
                <w:color w:val="000000"/>
                <w:szCs w:val="18"/>
              </w:rPr>
              <w:t>N.B. potentieel Mt-effect maatwerkafspraken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5F29DEFB" w14:textId="77777777">
        <w:trPr>
          <w:trHeight w:val="21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9B110A6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18D8983C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Uitvoeringskosten en Maatwerk NPVI (</w:t>
            </w:r>
            <w:proofErr w:type="spellStart"/>
            <w:r w:rsidRPr="00F906C3">
              <w:rPr>
                <w:color w:val="000000"/>
                <w:szCs w:val="18"/>
              </w:rPr>
              <w:t>IenW</w:t>
            </w:r>
            <w:proofErr w:type="spellEnd"/>
            <w:r w:rsidRPr="00F906C3">
              <w:rPr>
                <w:color w:val="000000"/>
                <w:szCs w:val="18"/>
              </w:rPr>
              <w:t>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854E6E0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11,2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7C29F83D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  (A)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71252655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  (A)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393C738E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</w:tr>
      <w:tr w:rsidRPr="00F906C3" w:rsidR="0042563B" w:rsidTr="0042563B" w14:paraId="3F292EED" w14:textId="77777777">
        <w:trPr>
          <w:trHeight w:val="21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645C3F90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1FF653C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Uitvoeringskosten en Maatwerk NPVI (KGG)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7DDB742D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25,2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6704EA31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42993FC7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C30974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</w:tr>
      <w:tr w:rsidRPr="00F906C3" w:rsidR="0042563B" w:rsidTr="0042563B" w14:paraId="51B950C5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29FA1EA7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b/>
                <w:bCs/>
                <w:color w:val="000000"/>
                <w:szCs w:val="18"/>
              </w:rPr>
              <w:t>Waterstof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B76BD5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Toekenning onder voorwaarde: Elektrolyse, vraagsubsidies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154B8AAE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767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0E13EC49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767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2D5C7367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767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EC409D0" w14:textId="2B5854D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 xml:space="preserve">Gekoppeld aan: Jaarverplichting </w:t>
            </w:r>
          </w:p>
        </w:tc>
      </w:tr>
      <w:tr w:rsidRPr="00F906C3" w:rsidR="0042563B" w:rsidTr="0042563B" w14:paraId="4C603569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D5C7819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b/>
                <w:bCs/>
                <w:color w:val="000000"/>
                <w:szCs w:val="18"/>
              </w:rPr>
              <w:t>CCS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6F782B7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906C3">
              <w:rPr>
                <w:color w:val="000000"/>
                <w:szCs w:val="18"/>
              </w:rPr>
              <w:t>Aramis</w:t>
            </w:r>
            <w:proofErr w:type="spellEnd"/>
            <w:r w:rsidRPr="00F906C3">
              <w:rPr>
                <w:color w:val="000000"/>
                <w:szCs w:val="18"/>
              </w:rPr>
              <w:t> (volloop)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7027C8D8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412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4151003A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412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5B82915A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412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3B0F1332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72F03154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21EDEB97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3F73CFA8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EBN: versnellen onderzoek CO2-opslag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58F224AA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 48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5C757648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48 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214790E8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48   (R)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518EEB92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67AF6BB3" w14:textId="77777777">
        <w:trPr>
          <w:trHeight w:val="16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3A155EF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5F6A736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Deelname EBN in CCS-infrastructuur (CO2-transport en -opslag)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11D9745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823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5E50B2C6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381,8   (R)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58E74439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395,2 (R)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3B3126EF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56F9ADA7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FC399CD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b/>
                <w:bCs/>
                <w:color w:val="000000"/>
                <w:szCs w:val="18"/>
              </w:rPr>
              <w:t>Energiebesparing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1DF03D45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Energiebesparing mkb: energiebesparingsfonds mkb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246B33D8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100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3FB0ACA7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100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77DC4B92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100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594C1620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Gekoppeld aan: Aangescherpte energiebesparingsplicht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</w:tr>
      <w:tr w:rsidRPr="00F906C3" w:rsidR="0042563B" w:rsidTr="0042563B" w14:paraId="30B02CC9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387CC50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BB60170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Energiebesparing mkb: Uitbreiding </w:t>
            </w:r>
            <w:proofErr w:type="spellStart"/>
            <w:r w:rsidRPr="00F906C3">
              <w:rPr>
                <w:color w:val="000000"/>
                <w:szCs w:val="18"/>
              </w:rPr>
              <w:t>ontzorgingsprogramma</w:t>
            </w:r>
            <w:proofErr w:type="spellEnd"/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20620081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25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6ABA0E08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25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7EB93972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25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22DDC3E0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Gekoppeld aan: Aangescherpte energiebesparingsplicht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</w:tr>
      <w:tr w:rsidRPr="00F906C3" w:rsidR="0042563B" w:rsidTr="0042563B" w14:paraId="4407D63E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1B2EEA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879D85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Energiebesparing mkb: Duurzaamheidsleningen mkb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756CE4C1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15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6D90C303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15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65963084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15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DD01D7B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Gekoppeld aan: Aangescherpte energiebesparingsplicht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</w:tr>
      <w:tr w:rsidRPr="00F906C3" w:rsidR="0042563B" w:rsidTr="0042563B" w14:paraId="0A1B256E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7BB2EB3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19F60C33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  <w:lang w:val="en-US"/>
              </w:rPr>
              <w:t>Social Climate Fund: </w:t>
            </w:r>
            <w:proofErr w:type="spellStart"/>
            <w:r w:rsidRPr="00F906C3">
              <w:rPr>
                <w:color w:val="000000"/>
                <w:szCs w:val="18"/>
                <w:lang w:val="en-US"/>
              </w:rPr>
              <w:t>fixteams</w:t>
            </w:r>
            <w:proofErr w:type="spellEnd"/>
            <w:r w:rsidRPr="00F906C3">
              <w:rPr>
                <w:color w:val="000000"/>
                <w:szCs w:val="18"/>
                <w:lang w:val="en-US"/>
              </w:rPr>
              <w:t> voor </w:t>
            </w:r>
            <w:proofErr w:type="spellStart"/>
            <w:r w:rsidRPr="00F906C3">
              <w:rPr>
                <w:color w:val="000000"/>
                <w:szCs w:val="18"/>
                <w:lang w:val="en-US"/>
              </w:rPr>
              <w:t>bedrijven</w:t>
            </w:r>
            <w:proofErr w:type="spellEnd"/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F3EBFFF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  <w:lang w:val="en-US"/>
              </w:rPr>
              <w:t xml:space="preserve">    </w:t>
            </w:r>
            <w:r w:rsidRPr="00F906C3">
              <w:rPr>
                <w:color w:val="000000"/>
                <w:szCs w:val="18"/>
              </w:rPr>
              <w:t>9 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75584757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9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56B5CD2A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9 (</w:t>
            </w:r>
            <w:proofErr w:type="spellStart"/>
            <w:r w:rsidRPr="00F906C3">
              <w:rPr>
                <w:color w:val="000000"/>
                <w:szCs w:val="18"/>
              </w:rPr>
              <w:t>ToV</w:t>
            </w:r>
            <w:proofErr w:type="spellEnd"/>
            <w:r w:rsidRPr="00F906C3">
              <w:rPr>
                <w:color w:val="000000"/>
                <w:szCs w:val="18"/>
              </w:rPr>
              <w:t>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178CA824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  <w:tr w:rsidRPr="00F906C3" w:rsidR="0042563B" w:rsidTr="0042563B" w14:paraId="2130930F" w14:textId="77777777">
        <w:trPr>
          <w:trHeight w:val="330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4E7790DA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5BFCD542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Reservering: Handhaving aangescherpte energiebesparingsplicht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0D8E2B8F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6,7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2229B39D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6,7   (R)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B050"/>
            <w:hideMark/>
          </w:tcPr>
          <w:p w:rsidRPr="00F906C3" w:rsidR="0042563B" w:rsidP="00B9509D" w:rsidRDefault="0042563B" w14:paraId="34DC5D63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6,7   (R) 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CF5"/>
            <w:hideMark/>
          </w:tcPr>
          <w:p w:rsidRPr="00F906C3" w:rsidR="0042563B" w:rsidP="00B9509D" w:rsidRDefault="0042563B" w14:paraId="04F76028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F906C3">
              <w:rPr>
                <w:color w:val="000000"/>
                <w:szCs w:val="18"/>
              </w:rPr>
              <w:t>Gekoppeld aan: Aangescherpte energiebesparingsplicht</w:t>
            </w:r>
            <w:r w:rsidRPr="00F906C3">
              <w:rPr>
                <w:rFonts w:ascii="Arial" w:hAnsi="Arial" w:cs="Arial"/>
                <w:color w:val="000000"/>
                <w:szCs w:val="18"/>
                <w:lang w:val="en-US"/>
              </w:rPr>
              <w:t>​</w:t>
            </w:r>
          </w:p>
        </w:tc>
      </w:tr>
      <w:tr w:rsidRPr="00F906C3" w:rsidR="0042563B" w:rsidTr="0042563B" w14:paraId="7DD63A91" w14:textId="77777777">
        <w:trPr>
          <w:trHeight w:val="345"/>
        </w:trPr>
        <w:tc>
          <w:tcPr>
            <w:tcW w:w="8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5F866696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lastRenderedPageBreak/>
              <w:t>​</w:t>
            </w:r>
          </w:p>
        </w:tc>
        <w:tc>
          <w:tcPr>
            <w:tcW w:w="29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421A74EA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Sterker handhaven energiebesparingsplicht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9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C04087B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  37,1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11C61780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0000"/>
            <w:hideMark/>
          </w:tcPr>
          <w:p w:rsidRPr="00F906C3" w:rsidR="0042563B" w:rsidP="00B9509D" w:rsidRDefault="0042563B" w14:paraId="7780418B" w14:textId="77777777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color w:val="000000"/>
                <w:szCs w:val="18"/>
              </w:rPr>
              <w:t>0 (A) </w:t>
            </w: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  <w:tc>
          <w:tcPr>
            <w:tcW w:w="297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D7EA"/>
            <w:hideMark/>
          </w:tcPr>
          <w:p w:rsidRPr="00F906C3" w:rsidR="0042563B" w:rsidP="00B9509D" w:rsidRDefault="0042563B" w14:paraId="0E5F6C9B" w14:textId="7777777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906C3">
              <w:rPr>
                <w:rFonts w:ascii="Arial" w:hAnsi="Arial" w:cs="Arial"/>
                <w:color w:val="000000"/>
                <w:szCs w:val="18"/>
              </w:rPr>
              <w:t>​</w:t>
            </w:r>
          </w:p>
        </w:tc>
      </w:tr>
    </w:tbl>
    <w:p w:rsidRPr="009D587A" w:rsidR="0042563B" w:rsidP="0042563B" w:rsidRDefault="0042563B" w14:paraId="1E91B8BA" w14:textId="77777777">
      <w:pPr>
        <w:rPr>
          <w:szCs w:val="18"/>
        </w:rPr>
      </w:pPr>
      <w:r w:rsidRPr="009D587A">
        <w:rPr>
          <w:sz w:val="16"/>
          <w:szCs w:val="16"/>
        </w:rPr>
        <w:t xml:space="preserve">* Aan een subsidiemaatregel wordt in principe geen </w:t>
      </w:r>
      <w:proofErr w:type="spellStart"/>
      <w:r w:rsidRPr="009D587A">
        <w:rPr>
          <w:sz w:val="16"/>
          <w:szCs w:val="16"/>
        </w:rPr>
        <w:t>Mton</w:t>
      </w:r>
      <w:proofErr w:type="spellEnd"/>
      <w:r w:rsidRPr="009D587A">
        <w:rPr>
          <w:sz w:val="16"/>
          <w:szCs w:val="16"/>
        </w:rPr>
        <w:t xml:space="preserve">-effect gekoppeld omdat dit toegerekend wordt aan de bijpassende normerende en </w:t>
      </w:r>
      <w:proofErr w:type="spellStart"/>
      <w:r w:rsidRPr="009D587A">
        <w:rPr>
          <w:sz w:val="16"/>
          <w:szCs w:val="16"/>
        </w:rPr>
        <w:t>beprijzende</w:t>
      </w:r>
      <w:proofErr w:type="spellEnd"/>
      <w:r w:rsidRPr="009D587A">
        <w:rPr>
          <w:sz w:val="16"/>
          <w:szCs w:val="16"/>
        </w:rPr>
        <w:t xml:space="preserve"> maatregelen. Indien een subsidiemaatregel een additioneel effect heeft t.o.v. de huidige KEV en normering en </w:t>
      </w:r>
      <w:proofErr w:type="spellStart"/>
      <w:r w:rsidRPr="009D587A">
        <w:rPr>
          <w:sz w:val="16"/>
          <w:szCs w:val="16"/>
        </w:rPr>
        <w:t>beprijzing</w:t>
      </w:r>
      <w:proofErr w:type="spellEnd"/>
      <w:r w:rsidRPr="009D587A">
        <w:rPr>
          <w:sz w:val="16"/>
          <w:szCs w:val="16"/>
        </w:rPr>
        <w:t xml:space="preserve"> wordt dit in de toelichting vermeld.</w:t>
      </w:r>
      <w:r>
        <w:rPr>
          <w:sz w:val="16"/>
          <w:szCs w:val="16"/>
        </w:rPr>
        <w:t xml:space="preserve">                      </w:t>
      </w:r>
      <w:r w:rsidRPr="009D587A">
        <w:rPr>
          <w:sz w:val="16"/>
          <w:szCs w:val="16"/>
        </w:rPr>
        <w:t>** (T) = toekenning, (</w:t>
      </w:r>
      <w:proofErr w:type="spellStart"/>
      <w:r w:rsidRPr="009D587A">
        <w:rPr>
          <w:sz w:val="16"/>
          <w:szCs w:val="16"/>
        </w:rPr>
        <w:t>ToV</w:t>
      </w:r>
      <w:proofErr w:type="spellEnd"/>
      <w:r w:rsidRPr="009D587A">
        <w:rPr>
          <w:sz w:val="16"/>
          <w:szCs w:val="16"/>
        </w:rPr>
        <w:t>) = toekenning onder voorwaarde, (R) = reservering, (A) = afwijzing</w:t>
      </w:r>
    </w:p>
    <w:p w:rsidRPr="00E66B8A" w:rsidR="0042563B" w:rsidP="00E66B8A" w:rsidRDefault="0042563B" w14:paraId="37424086" w14:textId="77777777">
      <w:pPr>
        <w:rPr>
          <w:b/>
          <w:bCs/>
          <w:color w:val="000000" w:themeColor="text1"/>
        </w:rPr>
      </w:pPr>
    </w:p>
    <w:p w:rsidR="007075B1" w:rsidP="00332119" w:rsidRDefault="007075B1" w14:paraId="25B1E13E" w14:textId="77777777">
      <w:pPr>
        <w:rPr>
          <w:szCs w:val="18"/>
        </w:rPr>
      </w:pPr>
    </w:p>
    <w:p w:rsidR="007075B1" w:rsidP="00332119" w:rsidRDefault="007075B1" w14:paraId="01134D48" w14:textId="77777777">
      <w:pPr>
        <w:rPr>
          <w:szCs w:val="18"/>
        </w:rPr>
      </w:pPr>
    </w:p>
    <w:sectPr w:rsidR="007075B1" w:rsidSect="005C3F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6787" w14:textId="77777777" w:rsidR="000F08D9" w:rsidRDefault="000F08D9">
      <w:r>
        <w:separator/>
      </w:r>
    </w:p>
    <w:p w14:paraId="7B258D5E" w14:textId="77777777" w:rsidR="000F08D9" w:rsidRDefault="000F08D9"/>
  </w:endnote>
  <w:endnote w:type="continuationSeparator" w:id="0">
    <w:p w14:paraId="12D043CB" w14:textId="77777777" w:rsidR="000F08D9" w:rsidRDefault="000F08D9">
      <w:r>
        <w:continuationSeparator/>
      </w:r>
    </w:p>
    <w:p w14:paraId="5AC56F41" w14:textId="77777777" w:rsidR="000F08D9" w:rsidRDefault="000F08D9"/>
  </w:endnote>
  <w:endnote w:type="continuationNotice" w:id="1">
    <w:p w14:paraId="2518FCCC" w14:textId="77777777" w:rsidR="000F08D9" w:rsidRDefault="000F08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1DFE" w14:textId="0BDBD606" w:rsidR="00C60224" w:rsidRDefault="0009512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991A99" wp14:editId="789E54B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kstvak 5625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F206C" w14:textId="77777777" w:rsidR="00231E07" w:rsidRPr="00231E07" w:rsidRDefault="0009512F" w:rsidP="00231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91A99" id="_x0000_t202" coordsize="21600,21600" o:spt="202" path="m,l,21600r21600,l21600,xe">
              <v:stroke joinstyle="miter"/>
              <v:path gradientshapeok="t" o:connecttype="rect"/>
            </v:shapetype>
            <v:shape id="Tekstvak 5625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70F206C" w14:textId="77777777" w:rsidR="00231E07" w:rsidRPr="00231E07" w:rsidRDefault="0009512F" w:rsidP="00231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A998" w14:textId="1CEE8C1C" w:rsidR="00600B57" w:rsidRPr="00BC3B53" w:rsidRDefault="0009512F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2406D4" wp14:editId="1A26EEE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kstvak 5677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366A1" w14:textId="77777777" w:rsidR="00231E07" w:rsidRPr="00231E07" w:rsidRDefault="0009512F" w:rsidP="00231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406D4" id="_x0000_t202" coordsize="21600,21600" o:spt="202" path="m,l,21600r21600,l21600,xe">
              <v:stroke joinstyle="miter"/>
              <v:path gradientshapeok="t" o:connecttype="rect"/>
            </v:shapetype>
            <v:shape id="Tekstvak 5677" o:spid="_x0000_s1027" type="#_x0000_t202" alt="Intern gebruik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C8366A1" w14:textId="77777777" w:rsidR="00231E07" w:rsidRPr="00231E07" w:rsidRDefault="0009512F" w:rsidP="00231E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E0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A0717" w14:paraId="0973277F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0AA8FF51" w14:textId="77777777" w:rsidR="00600B57" w:rsidRDefault="00600B57" w:rsidP="003F1F6B">
          <w:pPr>
            <w:pStyle w:val="Huisstijl-Rubricering"/>
          </w:pPr>
        </w:p>
      </w:tc>
      <w:tc>
        <w:tcPr>
          <w:tcW w:w="2156" w:type="dxa"/>
        </w:tcPr>
        <w:p w14:paraId="10578AC3" w14:textId="43C885CA" w:rsidR="00600B57" w:rsidRPr="00236CFE" w:rsidRDefault="0009512F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5265D9">
            <w:t>2</w:t>
          </w:r>
          <w:r w:rsidRPr="00CB7ABA">
            <w:fldChar w:fldCharType="end"/>
          </w:r>
          <w:r w:rsidRPr="00CB7ABA">
            <w:t xml:space="preserve"> van </w:t>
          </w:r>
          <w:r w:rsidR="00FD315B">
            <w:fldChar w:fldCharType="begin"/>
          </w:r>
          <w:r>
            <w:instrText xml:space="preserve"> SECTIONPAGES   \* MERGEFORMAT </w:instrText>
          </w:r>
          <w:r w:rsidR="00FD315B">
            <w:fldChar w:fldCharType="separate"/>
          </w:r>
          <w:r w:rsidR="002C6E0D">
            <w:t>6</w:t>
          </w:r>
          <w:r w:rsidR="00FD315B">
            <w:fldChar w:fldCharType="end"/>
          </w:r>
        </w:p>
      </w:tc>
    </w:tr>
  </w:tbl>
  <w:p w14:paraId="21BEDFA5" w14:textId="77777777" w:rsidR="00600B57" w:rsidRPr="00BC3B53" w:rsidRDefault="00600B57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A0717" w14:paraId="208880EB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5E18C95F" w14:textId="69394383" w:rsidR="00600B57" w:rsidRDefault="0009512F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1BADB7D" wp14:editId="4883012F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4" name="Tekstvak 5573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7159B0" w14:textId="77777777" w:rsidR="00231E07" w:rsidRPr="00231E07" w:rsidRDefault="0009512F" w:rsidP="00231E0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31E07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1BADB7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5573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027159B0" w14:textId="77777777" w:rsidR="00231E07" w:rsidRPr="00231E07" w:rsidRDefault="0009512F" w:rsidP="00231E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E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77F22BD5" w14:textId="23BADE2B" w:rsidR="00600B57" w:rsidRPr="00CB7ABA" w:rsidRDefault="0009512F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E650EA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FD315B">
            <w:fldChar w:fldCharType="begin"/>
          </w:r>
          <w:r>
            <w:instrText xml:space="preserve"> SECTIONPAGES   \* MERGEFORMAT </w:instrText>
          </w:r>
          <w:r w:rsidR="00FD315B">
            <w:fldChar w:fldCharType="separate"/>
          </w:r>
          <w:r w:rsidR="002C6E0D">
            <w:t>6</w:t>
          </w:r>
          <w:r w:rsidR="00FD315B">
            <w:fldChar w:fldCharType="end"/>
          </w:r>
        </w:p>
      </w:tc>
    </w:tr>
  </w:tbl>
  <w:p w14:paraId="2FC678A3" w14:textId="77777777" w:rsidR="00600B57" w:rsidRPr="00BC3B53" w:rsidRDefault="00600B57" w:rsidP="008C356D">
    <w:pPr>
      <w:pStyle w:val="Voettekst"/>
      <w:spacing w:line="240" w:lineRule="auto"/>
      <w:rPr>
        <w:sz w:val="2"/>
        <w:szCs w:val="2"/>
      </w:rPr>
    </w:pPr>
  </w:p>
  <w:p w14:paraId="6C0EC0B5" w14:textId="77777777" w:rsidR="00600B57" w:rsidRPr="00BC3B53" w:rsidRDefault="00600B57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C15A" w14:textId="77777777" w:rsidR="000F08D9" w:rsidRDefault="000F08D9">
      <w:r>
        <w:separator/>
      </w:r>
    </w:p>
    <w:p w14:paraId="7BA8430D" w14:textId="77777777" w:rsidR="000F08D9" w:rsidRDefault="000F08D9"/>
  </w:footnote>
  <w:footnote w:type="continuationSeparator" w:id="0">
    <w:p w14:paraId="76A4C941" w14:textId="77777777" w:rsidR="000F08D9" w:rsidRDefault="000F08D9">
      <w:r>
        <w:continuationSeparator/>
      </w:r>
    </w:p>
    <w:p w14:paraId="2AC9B1F6" w14:textId="77777777" w:rsidR="000F08D9" w:rsidRDefault="000F08D9"/>
  </w:footnote>
  <w:footnote w:type="continuationNotice" w:id="1">
    <w:p w14:paraId="67D96AA7" w14:textId="77777777" w:rsidR="000F08D9" w:rsidRDefault="000F08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AC2B" w14:textId="77777777" w:rsidR="00600B57" w:rsidRDefault="00600B57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A0717" w14:paraId="1ECF7265" w14:textId="77777777" w:rsidTr="005558E0">
      <w:tc>
        <w:tcPr>
          <w:tcW w:w="2160" w:type="dxa"/>
          <w:shd w:val="clear" w:color="auto" w:fill="auto"/>
        </w:tcPr>
        <w:p w14:paraId="4AE3C37D" w14:textId="1AA8E2B0" w:rsidR="00600B57" w:rsidRPr="00044613" w:rsidRDefault="0009512F" w:rsidP="005558E0">
          <w:pPr>
            <w:pStyle w:val="Huisstijl-Adres"/>
          </w:pPr>
          <w:r>
            <w:rPr>
              <w:b/>
            </w:rPr>
            <w:t>Klimaat en groene Groei</w:t>
          </w:r>
          <w:r>
            <w:rPr>
              <w:b/>
            </w:rPr>
            <w:br/>
          </w:r>
        </w:p>
      </w:tc>
    </w:tr>
    <w:tr w:rsidR="00EA0717" w14:paraId="7FE9B628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17645A52" w14:textId="77777777" w:rsidR="00600B57" w:rsidRPr="005819CE" w:rsidRDefault="00600B57" w:rsidP="005558E0"/>
      </w:tc>
    </w:tr>
    <w:tr w:rsidR="00EA0717" w14:paraId="3C7AFAF1" w14:textId="77777777" w:rsidTr="005558E0">
      <w:tc>
        <w:tcPr>
          <w:tcW w:w="2160" w:type="dxa"/>
          <w:shd w:val="clear" w:color="auto" w:fill="auto"/>
        </w:tcPr>
        <w:p w14:paraId="43FE097A" w14:textId="77777777" w:rsidR="00600B57" w:rsidRPr="005819CE" w:rsidRDefault="0009512F" w:rsidP="005558E0">
          <w:pPr>
            <w:pStyle w:val="Huisstijl-Kopje"/>
          </w:pPr>
          <w:r>
            <w:t>Ons kenmerk</w:t>
          </w:r>
        </w:p>
        <w:p w14:paraId="3B295A53" w14:textId="31155D86" w:rsidR="00600B57" w:rsidRPr="005819CE" w:rsidRDefault="0009512F" w:rsidP="007075B1">
          <w:pPr>
            <w:pStyle w:val="Huisstijl-Gegeven"/>
          </w:pPr>
          <w:r>
            <w:t>KGG / 97374005</w:t>
          </w:r>
        </w:p>
      </w:tc>
    </w:tr>
  </w:tbl>
  <w:p w14:paraId="6E1373E6" w14:textId="741A1846" w:rsidR="00600B57" w:rsidRPr="00740712" w:rsidRDefault="00600B57" w:rsidP="00FD315B">
    <w:pPr>
      <w:tabs>
        <w:tab w:val="left" w:pos="1200"/>
      </w:tabs>
    </w:pPr>
  </w:p>
  <w:p w14:paraId="7B521E76" w14:textId="77777777" w:rsidR="00600B57" w:rsidRPr="00217880" w:rsidRDefault="00600B57" w:rsidP="008C356D">
    <w:pPr>
      <w:spacing w:line="0" w:lineRule="atLeast"/>
      <w:rPr>
        <w:sz w:val="2"/>
        <w:szCs w:val="2"/>
      </w:rPr>
    </w:pPr>
  </w:p>
  <w:p w14:paraId="186781E4" w14:textId="77777777" w:rsidR="00600B57" w:rsidRDefault="00600B57" w:rsidP="004F44C2">
    <w:pPr>
      <w:pStyle w:val="Koptekst"/>
      <w:rPr>
        <w:rFonts w:cs="Verdana-Bold"/>
        <w:b/>
        <w:bCs/>
        <w:smallCaps/>
        <w:szCs w:val="18"/>
      </w:rPr>
    </w:pPr>
  </w:p>
  <w:p w14:paraId="55EEC664" w14:textId="77777777" w:rsidR="00600B57" w:rsidRDefault="00600B57" w:rsidP="004F44C2"/>
  <w:p w14:paraId="443DDDDE" w14:textId="77777777" w:rsidR="00600B57" w:rsidRPr="00740712" w:rsidRDefault="00600B57" w:rsidP="004F44C2"/>
  <w:p w14:paraId="14756AF0" w14:textId="77777777" w:rsidR="00600B57" w:rsidRPr="00217880" w:rsidRDefault="00600B57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A0717" w14:paraId="6DA9828E" w14:textId="77777777" w:rsidTr="003B7675">
      <w:trPr>
        <w:trHeight w:val="2636"/>
      </w:trPr>
      <w:tc>
        <w:tcPr>
          <w:tcW w:w="737" w:type="dxa"/>
          <w:shd w:val="clear" w:color="auto" w:fill="auto"/>
        </w:tcPr>
        <w:p w14:paraId="55880F50" w14:textId="77777777" w:rsidR="00600B57" w:rsidRDefault="0009512F" w:rsidP="00044613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  <w:lang w:val="en-US" w:eastAsia="en-US"/>
            </w:rPr>
            <w:drawing>
              <wp:inline distT="0" distB="0" distL="0" distR="0" wp14:anchorId="62A6C497" wp14:editId="32D0BE0E">
                <wp:extent cx="466725" cy="1581150"/>
                <wp:effectExtent l="0" t="0" r="0" b="0"/>
                <wp:docPr id="1237084451" name="Picture 9" descr="Rijkslint 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9" descr="Rijkslint 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6" w:type="dxa"/>
          <w:shd w:val="clear" w:color="auto" w:fill="auto"/>
        </w:tcPr>
        <w:p w14:paraId="5FC041CF" w14:textId="6C9CDC76" w:rsidR="00600B57" w:rsidRPr="00DB5138" w:rsidRDefault="0009512F" w:rsidP="00044613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inline distT="0" distB="0" distL="0" distR="0" wp14:anchorId="0D17F9D4" wp14:editId="6BD7EC37">
                <wp:extent cx="2343150" cy="1581150"/>
                <wp:effectExtent l="0" t="0" r="0" b="0"/>
                <wp:docPr id="99714140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02720E" w14:textId="77777777" w:rsidR="00600B57" w:rsidRDefault="00600B57" w:rsidP="00044613">
    <w:pPr>
      <w:framePr w:w="6340" w:h="2750" w:hRule="exact" w:hSpace="180" w:wrap="around" w:vAnchor="page" w:hAnchor="text" w:x="3873" w:y="-70"/>
    </w:pPr>
  </w:p>
  <w:p w14:paraId="47DE4F4A" w14:textId="77777777" w:rsidR="00600B57" w:rsidRDefault="00600B57"/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A0717" w:rsidRPr="000F08D9" w14:paraId="5A086A2D" w14:textId="77777777" w:rsidTr="005558E0">
      <w:tc>
        <w:tcPr>
          <w:tcW w:w="2160" w:type="dxa"/>
          <w:shd w:val="clear" w:color="auto" w:fill="auto"/>
        </w:tcPr>
        <w:p w14:paraId="3694994F" w14:textId="7C809C23" w:rsidR="00600B57" w:rsidRPr="00F9751C" w:rsidRDefault="0009512F" w:rsidP="005558E0">
          <w:pPr>
            <w:pStyle w:val="Huisstijl-Adres"/>
          </w:pPr>
          <w:r>
            <w:rPr>
              <w:b/>
            </w:rPr>
            <w:t>Klimaat en groene Groei</w:t>
          </w:r>
          <w:r w:rsidRPr="00F9751C">
            <w:rPr>
              <w:b/>
            </w:rPr>
            <w:br/>
          </w:r>
          <w:r w:rsidR="008C46DF" w:rsidRPr="00F9751C">
            <w:t xml:space="preserve"> </w:t>
          </w:r>
        </w:p>
        <w:p w14:paraId="7DCA33DA" w14:textId="338B9A63" w:rsidR="00770D8D" w:rsidRPr="00770D8D" w:rsidRDefault="0009512F" w:rsidP="00770D8D">
          <w:pPr>
            <w:pStyle w:val="Huisstijl-Adres"/>
          </w:pPr>
          <w:r>
            <w:rPr>
              <w:b/>
            </w:rPr>
            <w:t>Behandeld door</w:t>
          </w:r>
          <w:r w:rsidRPr="00F9751C">
            <w:rPr>
              <w:b/>
            </w:rPr>
            <w:br/>
          </w:r>
        </w:p>
        <w:p w14:paraId="51342F53" w14:textId="0F013BE6" w:rsidR="00600B57" w:rsidRPr="00770D8D" w:rsidRDefault="00600B57" w:rsidP="005558E0">
          <w:pPr>
            <w:pStyle w:val="Huisstijl-Adres"/>
          </w:pPr>
        </w:p>
      </w:tc>
    </w:tr>
    <w:tr w:rsidR="00EA0717" w:rsidRPr="000F08D9" w14:paraId="5AF7E30F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0FDE3730" w14:textId="77777777" w:rsidR="00600B57" w:rsidRPr="00770D8D" w:rsidRDefault="00600B57" w:rsidP="005558E0"/>
      </w:tc>
    </w:tr>
    <w:tr w:rsidR="00EA0717" w14:paraId="17DE47F2" w14:textId="77777777" w:rsidTr="005558E0">
      <w:tc>
        <w:tcPr>
          <w:tcW w:w="2160" w:type="dxa"/>
          <w:shd w:val="clear" w:color="auto" w:fill="auto"/>
        </w:tcPr>
        <w:p w14:paraId="72CEA03F" w14:textId="77777777" w:rsidR="00600B57" w:rsidRPr="00F9751C" w:rsidRDefault="0009512F" w:rsidP="005558E0">
          <w:pPr>
            <w:pStyle w:val="Huisstijl-Kopje"/>
          </w:pPr>
          <w:r>
            <w:t>Datum</w:t>
          </w:r>
        </w:p>
        <w:p w14:paraId="7BE67D01" w14:textId="78AE9952" w:rsidR="00600B57" w:rsidRPr="00F9751C" w:rsidRDefault="0009512F" w:rsidP="005558E0">
          <w:pPr>
            <w:pStyle w:val="Huisstijl-Gegeven"/>
          </w:pPr>
          <w:r>
            <w:t>28 februari 2025</w:t>
          </w:r>
        </w:p>
        <w:p w14:paraId="545693C3" w14:textId="77777777" w:rsidR="00600B57" w:rsidRPr="00F9751C" w:rsidRDefault="0009512F" w:rsidP="005558E0">
          <w:pPr>
            <w:pStyle w:val="Huisstijl-Kopje"/>
          </w:pPr>
          <w:r>
            <w:t>Kenmerk</w:t>
          </w:r>
        </w:p>
        <w:p w14:paraId="186F782F" w14:textId="3A96D8CB" w:rsidR="00600B57" w:rsidRPr="00F9751C" w:rsidRDefault="0009512F" w:rsidP="005558E0">
          <w:pPr>
            <w:pStyle w:val="Huisstijl-Gegeven"/>
          </w:pPr>
          <w:r>
            <w:t>KGG / 97374005</w:t>
          </w:r>
        </w:p>
        <w:p w14:paraId="07625C79" w14:textId="77777777" w:rsidR="00600B57" w:rsidRPr="00F9751C" w:rsidRDefault="0009512F" w:rsidP="005558E0">
          <w:pPr>
            <w:pStyle w:val="Huisstijl-Kopje"/>
          </w:pPr>
          <w:r w:rsidRPr="00F9751C">
            <w:t>Bijlage</w:t>
          </w:r>
          <w:r>
            <w:t>(</w:t>
          </w:r>
          <w:r w:rsidRPr="00F9751C">
            <w:t>n</w:t>
          </w:r>
          <w:r>
            <w:t>)</w:t>
          </w:r>
        </w:p>
        <w:p w14:paraId="638246AD" w14:textId="5E9528DA" w:rsidR="00600B57" w:rsidRPr="00F0379C" w:rsidRDefault="00CE7B43" w:rsidP="005558E0">
          <w:pPr>
            <w:pStyle w:val="Huisstijl-Gegeven"/>
          </w:pPr>
          <w:r>
            <w:t>1</w:t>
          </w:r>
        </w:p>
      </w:tc>
    </w:tr>
  </w:tbl>
  <w:p w14:paraId="457AD45F" w14:textId="77777777" w:rsidR="00604CD1" w:rsidRPr="00604CD1" w:rsidRDefault="00604CD1" w:rsidP="00604CD1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5195"/>
    </w:tblGrid>
    <w:tr w:rsidR="00EA0717" w14:paraId="635A4726" w14:textId="77777777" w:rsidTr="00E66B8A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143228F7" w14:textId="038F7850" w:rsidR="00600B57" w:rsidRPr="00B349FA" w:rsidRDefault="00600B57" w:rsidP="009D5D50"/>
      </w:tc>
    </w:tr>
    <w:tr w:rsidR="00EA0717" w14:paraId="530D26E6" w14:textId="77777777" w:rsidTr="00E66B8A">
      <w:trPr>
        <w:trHeight w:hRule="exact" w:val="1880"/>
      </w:trPr>
      <w:tc>
        <w:tcPr>
          <w:tcW w:w="7371" w:type="dxa"/>
          <w:gridSpan w:val="2"/>
          <w:shd w:val="clear" w:color="auto" w:fill="auto"/>
        </w:tcPr>
        <w:p w14:paraId="19685838" w14:textId="2D6F1593" w:rsidR="00600B57" w:rsidRPr="00E66B8A" w:rsidRDefault="00600B57" w:rsidP="00925121">
          <w:pPr>
            <w:pStyle w:val="Huisstijl-NAW"/>
            <w:rPr>
              <w:b/>
              <w:bCs/>
            </w:rPr>
          </w:pPr>
        </w:p>
      </w:tc>
    </w:tr>
    <w:tr w:rsidR="00EA0717" w14:paraId="03B11928" w14:textId="77777777" w:rsidTr="00E66B8A">
      <w:trPr>
        <w:trHeight w:val="460"/>
      </w:trPr>
      <w:tc>
        <w:tcPr>
          <w:tcW w:w="2176" w:type="dxa"/>
          <w:vMerge w:val="restart"/>
          <w:shd w:val="clear" w:color="auto" w:fill="auto"/>
        </w:tcPr>
        <w:p w14:paraId="3A9A1521" w14:textId="69EFF6C2" w:rsidR="00600B57" w:rsidRDefault="0009512F" w:rsidP="009D5D50">
          <w:r>
            <w:rPr>
              <w:noProof/>
              <w:lang w:val="en-US" w:eastAsia="en-US"/>
            </w:rPr>
            <w:drawing>
              <wp:inline distT="0" distB="0" distL="0" distR="0" wp14:anchorId="558DEEA5" wp14:editId="410902BD">
                <wp:extent cx="1238250" cy="533400"/>
                <wp:effectExtent l="0" t="0" r="0" b="0"/>
                <wp:docPr id="357954873" name="Picture 38" descr="Agen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8" descr="Agen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5" w:type="dxa"/>
          <w:shd w:val="clear" w:color="auto" w:fill="auto"/>
        </w:tcPr>
        <w:p w14:paraId="44296915" w14:textId="77777777" w:rsidR="00600B57" w:rsidRDefault="00600B57" w:rsidP="009D5D50"/>
      </w:tc>
    </w:tr>
    <w:tr w:rsidR="005B35A8" w14:paraId="0A056354" w14:textId="77777777" w:rsidTr="00E66B8A">
      <w:trPr>
        <w:trHeight w:val="560"/>
      </w:trPr>
      <w:tc>
        <w:tcPr>
          <w:tcW w:w="2176" w:type="dxa"/>
          <w:vMerge/>
          <w:tcBorders>
            <w:bottom w:val="dotted" w:sz="4" w:space="0" w:color="auto"/>
          </w:tcBorders>
          <w:shd w:val="clear" w:color="auto" w:fill="auto"/>
        </w:tcPr>
        <w:p w14:paraId="3C1ED4CB" w14:textId="77777777" w:rsidR="005B35A8" w:rsidRDefault="005B35A8" w:rsidP="005B35A8"/>
      </w:tc>
      <w:tc>
        <w:tcPr>
          <w:tcW w:w="5195" w:type="dxa"/>
          <w:tcBorders>
            <w:bottom w:val="dotted" w:sz="4" w:space="0" w:color="auto"/>
          </w:tcBorders>
          <w:shd w:val="clear" w:color="auto" w:fill="auto"/>
        </w:tcPr>
        <w:p w14:paraId="05D6519B" w14:textId="3438DE19" w:rsidR="005B35A8" w:rsidRPr="00E66B8A" w:rsidRDefault="00E719B8" w:rsidP="005B35A8">
          <w:pPr>
            <w:rPr>
              <w:b/>
              <w:bCs/>
            </w:rPr>
          </w:pPr>
          <w:r>
            <w:rPr>
              <w:b/>
              <w:bCs/>
            </w:rPr>
            <w:t>BWO Industrie</w:t>
          </w:r>
        </w:p>
      </w:tc>
    </w:tr>
    <w:tr w:rsidR="005B35A8" w14:paraId="6EDBC0A4" w14:textId="77777777" w:rsidTr="00E66B8A">
      <w:trPr>
        <w:trHeight w:hRule="exact" w:val="238"/>
      </w:trPr>
      <w:tc>
        <w:tcPr>
          <w:tcW w:w="2176" w:type="dxa"/>
          <w:tcBorders>
            <w:top w:val="dotted" w:sz="4" w:space="0" w:color="auto"/>
          </w:tcBorders>
          <w:shd w:val="clear" w:color="auto" w:fill="auto"/>
        </w:tcPr>
        <w:p w14:paraId="0BC053F4" w14:textId="77777777" w:rsidR="005B35A8" w:rsidRDefault="005B35A8" w:rsidP="005B35A8">
          <w:pPr>
            <w:pStyle w:val="Huisstijl-Gegeven"/>
            <w:rPr>
              <w:noProof w:val="0"/>
            </w:rPr>
          </w:pPr>
        </w:p>
      </w:tc>
      <w:tc>
        <w:tcPr>
          <w:tcW w:w="5195" w:type="dxa"/>
          <w:tcBorders>
            <w:top w:val="dotted" w:sz="4" w:space="0" w:color="auto"/>
          </w:tcBorders>
          <w:shd w:val="clear" w:color="auto" w:fill="auto"/>
        </w:tcPr>
        <w:p w14:paraId="6C616139" w14:textId="77777777" w:rsidR="005B35A8" w:rsidRPr="00863AA8" w:rsidRDefault="005B35A8" w:rsidP="005B35A8">
          <w:pPr>
            <w:spacing w:line="120" w:lineRule="exact"/>
            <w:rPr>
              <w:sz w:val="9"/>
              <w:szCs w:val="9"/>
            </w:rPr>
          </w:pPr>
        </w:p>
      </w:tc>
    </w:tr>
    <w:tr w:rsidR="005B35A8" w14:paraId="02567B37" w14:textId="77777777" w:rsidTr="00E66B8A">
      <w:trPr>
        <w:trHeight w:val="238"/>
      </w:trPr>
      <w:tc>
        <w:tcPr>
          <w:tcW w:w="2176" w:type="dxa"/>
          <w:shd w:val="clear" w:color="auto" w:fill="auto"/>
        </w:tcPr>
        <w:p w14:paraId="7F7A3402" w14:textId="77777777" w:rsidR="005B35A8" w:rsidRDefault="005B35A8" w:rsidP="005B35A8">
          <w:pPr>
            <w:pStyle w:val="Huisstijl-Gegeven"/>
            <w:rPr>
              <w:noProof w:val="0"/>
            </w:rPr>
          </w:pPr>
          <w:r>
            <w:rPr>
              <w:noProof w:val="0"/>
            </w:rPr>
            <w:t>Omschrijving</w:t>
          </w:r>
        </w:p>
      </w:tc>
      <w:tc>
        <w:tcPr>
          <w:tcW w:w="5195" w:type="dxa"/>
          <w:shd w:val="clear" w:color="auto" w:fill="auto"/>
        </w:tcPr>
        <w:p w14:paraId="0E2A283E" w14:textId="3793474C" w:rsidR="005B35A8" w:rsidRDefault="00020677" w:rsidP="005B35A8">
          <w:r>
            <w:t xml:space="preserve">BWO Klimaatbeleid Industrie </w:t>
          </w:r>
          <w:r w:rsidR="003C6FDD">
            <w:t>– VJB25</w:t>
          </w:r>
        </w:p>
      </w:tc>
    </w:tr>
    <w:tr w:rsidR="005B35A8" w14:paraId="11A0D368" w14:textId="77777777" w:rsidTr="00E66B8A">
      <w:trPr>
        <w:trHeight w:val="238"/>
      </w:trPr>
      <w:tc>
        <w:tcPr>
          <w:tcW w:w="2176" w:type="dxa"/>
          <w:shd w:val="clear" w:color="auto" w:fill="auto"/>
        </w:tcPr>
        <w:p w14:paraId="4AC1924B" w14:textId="77777777" w:rsidR="005B35A8" w:rsidRDefault="005B35A8" w:rsidP="005B35A8">
          <w:pPr>
            <w:pStyle w:val="Huisstijl-Gegeven"/>
            <w:rPr>
              <w:noProof w:val="0"/>
            </w:rPr>
          </w:pPr>
          <w:r>
            <w:rPr>
              <w:noProof w:val="0"/>
            </w:rPr>
            <w:t>Voorzitter</w:t>
          </w:r>
        </w:p>
      </w:tc>
      <w:tc>
        <w:tcPr>
          <w:tcW w:w="5195" w:type="dxa"/>
          <w:shd w:val="clear" w:color="auto" w:fill="auto"/>
        </w:tcPr>
        <w:p w14:paraId="7F16329E" w14:textId="3C7E023D" w:rsidR="005B35A8" w:rsidRDefault="00020677" w:rsidP="005B35A8">
          <w:r>
            <w:t>Minister voor Klimaat en Groene Groei</w:t>
          </w:r>
        </w:p>
      </w:tc>
    </w:tr>
    <w:tr w:rsidR="005B35A8" w14:paraId="7844A024" w14:textId="77777777" w:rsidTr="00E66B8A">
      <w:trPr>
        <w:trHeight w:val="238"/>
      </w:trPr>
      <w:tc>
        <w:tcPr>
          <w:tcW w:w="2176" w:type="dxa"/>
          <w:shd w:val="clear" w:color="auto" w:fill="auto"/>
        </w:tcPr>
        <w:p w14:paraId="61DB07EF" w14:textId="77777777" w:rsidR="005B35A8" w:rsidRDefault="005B35A8" w:rsidP="005B35A8">
          <w:pPr>
            <w:pStyle w:val="Huisstijl-Gegeven"/>
            <w:rPr>
              <w:noProof w:val="0"/>
            </w:rPr>
          </w:pPr>
          <w:r>
            <w:rPr>
              <w:noProof w:val="0"/>
            </w:rPr>
            <w:t>Notulist</w:t>
          </w:r>
        </w:p>
      </w:tc>
      <w:tc>
        <w:tcPr>
          <w:tcW w:w="5195" w:type="dxa"/>
          <w:shd w:val="clear" w:color="auto" w:fill="auto"/>
        </w:tcPr>
        <w:p w14:paraId="2ACC3CC8" w14:textId="2EBD6B51" w:rsidR="005B35A8" w:rsidRDefault="005B35A8" w:rsidP="005B35A8"/>
      </w:tc>
    </w:tr>
    <w:tr w:rsidR="005B35A8" w14:paraId="2A93709E" w14:textId="77777777" w:rsidTr="00E66B8A">
      <w:trPr>
        <w:trHeight w:val="238"/>
      </w:trPr>
      <w:tc>
        <w:tcPr>
          <w:tcW w:w="2176" w:type="dxa"/>
          <w:shd w:val="clear" w:color="auto" w:fill="auto"/>
        </w:tcPr>
        <w:p w14:paraId="7BC07CF6" w14:textId="77777777" w:rsidR="005B35A8" w:rsidRDefault="005B35A8" w:rsidP="005B35A8">
          <w:pPr>
            <w:pStyle w:val="Huisstijl-Gegeven"/>
            <w:rPr>
              <w:noProof w:val="0"/>
            </w:rPr>
          </w:pPr>
          <w:r>
            <w:rPr>
              <w:noProof w:val="0"/>
            </w:rPr>
            <w:t>Vergaderdatum en -tijd</w:t>
          </w:r>
        </w:p>
      </w:tc>
      <w:tc>
        <w:tcPr>
          <w:tcW w:w="5195" w:type="dxa"/>
          <w:shd w:val="clear" w:color="auto" w:fill="auto"/>
        </w:tcPr>
        <w:p w14:paraId="2286DB2F" w14:textId="06572504" w:rsidR="005B35A8" w:rsidRDefault="00020677" w:rsidP="005B35A8">
          <w:r>
            <w:t>21</w:t>
          </w:r>
          <w:r w:rsidR="005B35A8">
            <w:t xml:space="preserve"> maart 2025, . uur - . uur</w:t>
          </w:r>
        </w:p>
      </w:tc>
    </w:tr>
    <w:tr w:rsidR="005B35A8" w14:paraId="4E5D8653" w14:textId="77777777" w:rsidTr="00E66B8A">
      <w:trPr>
        <w:trHeight w:val="238"/>
      </w:trPr>
      <w:tc>
        <w:tcPr>
          <w:tcW w:w="2176" w:type="dxa"/>
          <w:shd w:val="clear" w:color="auto" w:fill="auto"/>
        </w:tcPr>
        <w:p w14:paraId="75542F5E" w14:textId="77777777" w:rsidR="005B35A8" w:rsidRDefault="005B35A8" w:rsidP="005B35A8">
          <w:pPr>
            <w:pStyle w:val="Huisstijl-Gegeven"/>
            <w:rPr>
              <w:noProof w:val="0"/>
            </w:rPr>
          </w:pPr>
          <w:r>
            <w:rPr>
              <w:noProof w:val="0"/>
            </w:rPr>
            <w:t>Locatie</w:t>
          </w:r>
        </w:p>
      </w:tc>
      <w:tc>
        <w:tcPr>
          <w:tcW w:w="5195" w:type="dxa"/>
          <w:shd w:val="clear" w:color="auto" w:fill="auto"/>
        </w:tcPr>
        <w:p w14:paraId="39AA1E69" w14:textId="750BB74D" w:rsidR="005B35A8" w:rsidRDefault="005B35A8" w:rsidP="005B35A8"/>
      </w:tc>
    </w:tr>
    <w:tr w:rsidR="005B35A8" w14:paraId="2EB4C395" w14:textId="77777777" w:rsidTr="00E66B8A">
      <w:trPr>
        <w:trHeight w:hRule="exact" w:val="80"/>
      </w:trPr>
      <w:tc>
        <w:tcPr>
          <w:tcW w:w="2176" w:type="dxa"/>
          <w:tcBorders>
            <w:bottom w:val="dotted" w:sz="4" w:space="0" w:color="auto"/>
          </w:tcBorders>
          <w:shd w:val="clear" w:color="auto" w:fill="auto"/>
        </w:tcPr>
        <w:p w14:paraId="74F6F25E" w14:textId="77777777" w:rsidR="005B35A8" w:rsidRDefault="005B35A8" w:rsidP="005B35A8">
          <w:pPr>
            <w:pStyle w:val="Huisstijl-Gegeven"/>
            <w:rPr>
              <w:noProof w:val="0"/>
            </w:rPr>
          </w:pPr>
        </w:p>
      </w:tc>
      <w:tc>
        <w:tcPr>
          <w:tcW w:w="5195" w:type="dxa"/>
          <w:tcBorders>
            <w:bottom w:val="dotted" w:sz="4" w:space="0" w:color="auto"/>
          </w:tcBorders>
          <w:shd w:val="clear" w:color="auto" w:fill="auto"/>
        </w:tcPr>
        <w:p w14:paraId="40BD06A5" w14:textId="77777777" w:rsidR="005B35A8" w:rsidRDefault="005B35A8" w:rsidP="005B35A8">
          <w:pPr>
            <w:spacing w:line="240" w:lineRule="exact"/>
          </w:pPr>
        </w:p>
      </w:tc>
    </w:tr>
  </w:tbl>
  <w:p w14:paraId="67BFE439" w14:textId="77777777" w:rsidR="00600B57" w:rsidRPr="00BC4AE3" w:rsidRDefault="00600B57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639"/>
    <w:multiLevelType w:val="hybridMultilevel"/>
    <w:tmpl w:val="FFFFFFFF"/>
    <w:lvl w:ilvl="0" w:tplc="761C863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CD0DA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D6CA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9CD0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BA1F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608B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49A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A2EC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B89B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D5E78"/>
    <w:multiLevelType w:val="hybridMultilevel"/>
    <w:tmpl w:val="E6DC249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120A4"/>
    <w:multiLevelType w:val="hybridMultilevel"/>
    <w:tmpl w:val="1D8E1FCE"/>
    <w:lvl w:ilvl="0" w:tplc="4D96D8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B908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BEF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EC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E68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D2E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2F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E3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9638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915"/>
    <w:multiLevelType w:val="hybridMultilevel"/>
    <w:tmpl w:val="0F30EFB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4770"/>
    <w:multiLevelType w:val="hybridMultilevel"/>
    <w:tmpl w:val="CBCE1E90"/>
    <w:lvl w:ilvl="0" w:tplc="C34CB270">
      <w:start w:val="1"/>
      <w:numFmt w:val="bullet"/>
      <w:lvlText w:val=""/>
      <w:lvlJc w:val="left"/>
      <w:pPr>
        <w:ind w:left="-153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752D3A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1FF8B79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A502A65C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5" w:tplc="C31CBA64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2EE4344A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829E85E8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8" w:tplc="B21C49EE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5" w15:restartNumberingAfterBreak="0">
    <w:nsid w:val="0F706393"/>
    <w:multiLevelType w:val="multilevel"/>
    <w:tmpl w:val="EE4C9750"/>
    <w:styleLink w:val="Nummeringagen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0F4076F"/>
    <w:multiLevelType w:val="multilevel"/>
    <w:tmpl w:val="678E2D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14B35BAB"/>
    <w:multiLevelType w:val="multilevel"/>
    <w:tmpl w:val="E10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4430CC"/>
    <w:multiLevelType w:val="hybridMultilevel"/>
    <w:tmpl w:val="77B040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1F10"/>
    <w:multiLevelType w:val="hybridMultilevel"/>
    <w:tmpl w:val="B23E6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55FEF"/>
    <w:multiLevelType w:val="hybridMultilevel"/>
    <w:tmpl w:val="50F0923E"/>
    <w:lvl w:ilvl="0" w:tplc="46D4BD1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CE62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0A3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2B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06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64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E1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29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52B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62D87"/>
    <w:multiLevelType w:val="hybridMultilevel"/>
    <w:tmpl w:val="9F88BF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44FCA"/>
    <w:multiLevelType w:val="hybridMultilevel"/>
    <w:tmpl w:val="5FF01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20DF4"/>
    <w:multiLevelType w:val="hybridMultilevel"/>
    <w:tmpl w:val="2DC8C0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21612"/>
    <w:multiLevelType w:val="hybridMultilevel"/>
    <w:tmpl w:val="E84643E2"/>
    <w:lvl w:ilvl="0" w:tplc="B2560BD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30019">
      <w:start w:val="1"/>
      <w:numFmt w:val="lowerLetter"/>
      <w:lvlText w:val="%2."/>
      <w:lvlJc w:val="left"/>
      <w:pPr>
        <w:ind w:left="1517" w:hanging="360"/>
      </w:pPr>
    </w:lvl>
    <w:lvl w:ilvl="2" w:tplc="0413001B" w:tentative="1">
      <w:start w:val="1"/>
      <w:numFmt w:val="lowerRoman"/>
      <w:lvlText w:val="%3."/>
      <w:lvlJc w:val="right"/>
      <w:pPr>
        <w:ind w:left="2237" w:hanging="180"/>
      </w:pPr>
    </w:lvl>
    <w:lvl w:ilvl="3" w:tplc="0413000F" w:tentative="1">
      <w:start w:val="1"/>
      <w:numFmt w:val="decimal"/>
      <w:lvlText w:val="%4."/>
      <w:lvlJc w:val="left"/>
      <w:pPr>
        <w:ind w:left="2957" w:hanging="360"/>
      </w:pPr>
    </w:lvl>
    <w:lvl w:ilvl="4" w:tplc="04130019" w:tentative="1">
      <w:start w:val="1"/>
      <w:numFmt w:val="lowerLetter"/>
      <w:lvlText w:val="%5."/>
      <w:lvlJc w:val="left"/>
      <w:pPr>
        <w:ind w:left="3677" w:hanging="360"/>
      </w:pPr>
    </w:lvl>
    <w:lvl w:ilvl="5" w:tplc="0413001B" w:tentative="1">
      <w:start w:val="1"/>
      <w:numFmt w:val="lowerRoman"/>
      <w:lvlText w:val="%6."/>
      <w:lvlJc w:val="right"/>
      <w:pPr>
        <w:ind w:left="4397" w:hanging="180"/>
      </w:pPr>
    </w:lvl>
    <w:lvl w:ilvl="6" w:tplc="0413000F" w:tentative="1">
      <w:start w:val="1"/>
      <w:numFmt w:val="decimal"/>
      <w:lvlText w:val="%7."/>
      <w:lvlJc w:val="left"/>
      <w:pPr>
        <w:ind w:left="5117" w:hanging="360"/>
      </w:pPr>
    </w:lvl>
    <w:lvl w:ilvl="7" w:tplc="04130019" w:tentative="1">
      <w:start w:val="1"/>
      <w:numFmt w:val="lowerLetter"/>
      <w:lvlText w:val="%8."/>
      <w:lvlJc w:val="left"/>
      <w:pPr>
        <w:ind w:left="5837" w:hanging="360"/>
      </w:pPr>
    </w:lvl>
    <w:lvl w:ilvl="8" w:tplc="0413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 w15:restartNumberingAfterBreak="0">
    <w:nsid w:val="30A8560C"/>
    <w:multiLevelType w:val="multilevel"/>
    <w:tmpl w:val="8C76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2E1AD2"/>
    <w:multiLevelType w:val="hybridMultilevel"/>
    <w:tmpl w:val="8054B5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129F2"/>
    <w:multiLevelType w:val="hybridMultilevel"/>
    <w:tmpl w:val="C4C431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07A"/>
    <w:multiLevelType w:val="hybridMultilevel"/>
    <w:tmpl w:val="3A36AE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61AEA"/>
    <w:multiLevelType w:val="multilevel"/>
    <w:tmpl w:val="5D30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883157"/>
    <w:multiLevelType w:val="hybridMultilevel"/>
    <w:tmpl w:val="25F6C7D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527610"/>
    <w:multiLevelType w:val="multilevel"/>
    <w:tmpl w:val="47CE1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FC87721"/>
    <w:multiLevelType w:val="hybridMultilevel"/>
    <w:tmpl w:val="FEEEA7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8854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24" w15:restartNumberingAfterBreak="0">
    <w:nsid w:val="545B5FAD"/>
    <w:multiLevelType w:val="hybridMultilevel"/>
    <w:tmpl w:val="3FB680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08EE5"/>
    <w:multiLevelType w:val="hybridMultilevel"/>
    <w:tmpl w:val="FEDE16BA"/>
    <w:lvl w:ilvl="0" w:tplc="6838C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B2C3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3803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524A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4A9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C237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B40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0AB2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3C19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280457"/>
    <w:multiLevelType w:val="hybridMultilevel"/>
    <w:tmpl w:val="EBB419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7D75B1"/>
    <w:multiLevelType w:val="hybridMultilevel"/>
    <w:tmpl w:val="B67C6B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B220E6A8">
      <w:numFmt w:val="bullet"/>
      <w:lvlText w:val="•"/>
      <w:lvlJc w:val="left"/>
      <w:pPr>
        <w:ind w:left="2505" w:hanging="705"/>
      </w:pPr>
      <w:rPr>
        <w:rFonts w:ascii="Verdana" w:eastAsiaTheme="minorHAnsi" w:hAnsi="Verdana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E0504"/>
    <w:multiLevelType w:val="multilevel"/>
    <w:tmpl w:val="499C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DB0651"/>
    <w:multiLevelType w:val="hybridMultilevel"/>
    <w:tmpl w:val="B922F02A"/>
    <w:lvl w:ilvl="0" w:tplc="041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FC63FBD"/>
    <w:multiLevelType w:val="hybridMultilevel"/>
    <w:tmpl w:val="C8A889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44E02"/>
    <w:multiLevelType w:val="hybridMultilevel"/>
    <w:tmpl w:val="794E44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5AA8C"/>
    <w:multiLevelType w:val="hybridMultilevel"/>
    <w:tmpl w:val="006EB5EE"/>
    <w:lvl w:ilvl="0" w:tplc="86247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4C28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7091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FC1E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9EDD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2849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23C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8036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3211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15138F"/>
    <w:multiLevelType w:val="hybridMultilevel"/>
    <w:tmpl w:val="F2FC6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C0979"/>
    <w:multiLevelType w:val="hybridMultilevel"/>
    <w:tmpl w:val="0CA6AA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4585">
    <w:abstractNumId w:val="2"/>
  </w:num>
  <w:num w:numId="2" w16cid:durableId="1162894683">
    <w:abstractNumId w:val="10"/>
  </w:num>
  <w:num w:numId="3" w16cid:durableId="1952009953">
    <w:abstractNumId w:val="5"/>
  </w:num>
  <w:num w:numId="4" w16cid:durableId="1764523960">
    <w:abstractNumId w:val="4"/>
  </w:num>
  <w:num w:numId="5" w16cid:durableId="1195196479">
    <w:abstractNumId w:val="25"/>
  </w:num>
  <w:num w:numId="6" w16cid:durableId="160044500">
    <w:abstractNumId w:val="32"/>
  </w:num>
  <w:num w:numId="7" w16cid:durableId="740559687">
    <w:abstractNumId w:val="0"/>
  </w:num>
  <w:num w:numId="8" w16cid:durableId="1933511833">
    <w:abstractNumId w:val="23"/>
  </w:num>
  <w:num w:numId="9" w16cid:durableId="2114352343">
    <w:abstractNumId w:val="14"/>
  </w:num>
  <w:num w:numId="10" w16cid:durableId="280891085">
    <w:abstractNumId w:val="16"/>
  </w:num>
  <w:num w:numId="11" w16cid:durableId="99179761">
    <w:abstractNumId w:val="18"/>
  </w:num>
  <w:num w:numId="12" w16cid:durableId="745689152">
    <w:abstractNumId w:val="31"/>
  </w:num>
  <w:num w:numId="13" w16cid:durableId="1541236433">
    <w:abstractNumId w:val="13"/>
  </w:num>
  <w:num w:numId="14" w16cid:durableId="728847082">
    <w:abstractNumId w:val="24"/>
  </w:num>
  <w:num w:numId="15" w16cid:durableId="2115317931">
    <w:abstractNumId w:val="29"/>
  </w:num>
  <w:num w:numId="16" w16cid:durableId="1677003330">
    <w:abstractNumId w:val="6"/>
  </w:num>
  <w:num w:numId="17" w16cid:durableId="1388456801">
    <w:abstractNumId w:val="17"/>
  </w:num>
  <w:num w:numId="18" w16cid:durableId="1759402700">
    <w:abstractNumId w:val="28"/>
  </w:num>
  <w:num w:numId="19" w16cid:durableId="1073746112">
    <w:abstractNumId w:val="7"/>
  </w:num>
  <w:num w:numId="20" w16cid:durableId="768966127">
    <w:abstractNumId w:val="9"/>
  </w:num>
  <w:num w:numId="21" w16cid:durableId="2090614660">
    <w:abstractNumId w:val="27"/>
  </w:num>
  <w:num w:numId="22" w16cid:durableId="1596094504">
    <w:abstractNumId w:val="31"/>
  </w:num>
  <w:num w:numId="23" w16cid:durableId="194002314">
    <w:abstractNumId w:val="29"/>
  </w:num>
  <w:num w:numId="24" w16cid:durableId="1915780838">
    <w:abstractNumId w:val="1"/>
  </w:num>
  <w:num w:numId="25" w16cid:durableId="1054963530">
    <w:abstractNumId w:val="8"/>
  </w:num>
  <w:num w:numId="26" w16cid:durableId="1426799926">
    <w:abstractNumId w:val="34"/>
  </w:num>
  <w:num w:numId="27" w16cid:durableId="362636483">
    <w:abstractNumId w:val="22"/>
  </w:num>
  <w:num w:numId="28" w16cid:durableId="841968168">
    <w:abstractNumId w:val="20"/>
  </w:num>
  <w:num w:numId="29" w16cid:durableId="1037438602">
    <w:abstractNumId w:val="26"/>
  </w:num>
  <w:num w:numId="30" w16cid:durableId="2088991847">
    <w:abstractNumId w:val="15"/>
  </w:num>
  <w:num w:numId="31" w16cid:durableId="1224684959">
    <w:abstractNumId w:val="19"/>
  </w:num>
  <w:num w:numId="32" w16cid:durableId="174003954">
    <w:abstractNumId w:val="21"/>
  </w:num>
  <w:num w:numId="33" w16cid:durableId="923075570">
    <w:abstractNumId w:val="3"/>
  </w:num>
  <w:num w:numId="34" w16cid:durableId="193228383">
    <w:abstractNumId w:val="33"/>
  </w:num>
  <w:num w:numId="35" w16cid:durableId="764233069">
    <w:abstractNumId w:val="12"/>
  </w:num>
  <w:num w:numId="36" w16cid:durableId="27529973">
    <w:abstractNumId w:val="30"/>
  </w:num>
  <w:num w:numId="37" w16cid:durableId="143913173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D6"/>
    <w:rsid w:val="000019AC"/>
    <w:rsid w:val="00005018"/>
    <w:rsid w:val="00006F8A"/>
    <w:rsid w:val="000104C9"/>
    <w:rsid w:val="0001241B"/>
    <w:rsid w:val="00013862"/>
    <w:rsid w:val="00016012"/>
    <w:rsid w:val="00017DFD"/>
    <w:rsid w:val="00017ED7"/>
    <w:rsid w:val="00020189"/>
    <w:rsid w:val="00020677"/>
    <w:rsid w:val="00020965"/>
    <w:rsid w:val="00020EE4"/>
    <w:rsid w:val="00023E9A"/>
    <w:rsid w:val="00025D03"/>
    <w:rsid w:val="00027DB9"/>
    <w:rsid w:val="00034A84"/>
    <w:rsid w:val="0003586B"/>
    <w:rsid w:val="00035E67"/>
    <w:rsid w:val="000366F3"/>
    <w:rsid w:val="00044613"/>
    <w:rsid w:val="0004625D"/>
    <w:rsid w:val="00050FB2"/>
    <w:rsid w:val="00052598"/>
    <w:rsid w:val="000549C9"/>
    <w:rsid w:val="000630FB"/>
    <w:rsid w:val="0006381A"/>
    <w:rsid w:val="00067A76"/>
    <w:rsid w:val="00071F28"/>
    <w:rsid w:val="0007250C"/>
    <w:rsid w:val="00074079"/>
    <w:rsid w:val="0007553A"/>
    <w:rsid w:val="00085E55"/>
    <w:rsid w:val="00092799"/>
    <w:rsid w:val="00092BA7"/>
    <w:rsid w:val="00092C5F"/>
    <w:rsid w:val="0009512F"/>
    <w:rsid w:val="00096680"/>
    <w:rsid w:val="000971B3"/>
    <w:rsid w:val="000A12C4"/>
    <w:rsid w:val="000A174A"/>
    <w:rsid w:val="000A3E0A"/>
    <w:rsid w:val="000A4AD7"/>
    <w:rsid w:val="000A65AC"/>
    <w:rsid w:val="000B2698"/>
    <w:rsid w:val="000B613E"/>
    <w:rsid w:val="000B7281"/>
    <w:rsid w:val="000B7FAB"/>
    <w:rsid w:val="000C3EA9"/>
    <w:rsid w:val="000C5D3B"/>
    <w:rsid w:val="000C7FEE"/>
    <w:rsid w:val="000D0225"/>
    <w:rsid w:val="000D119D"/>
    <w:rsid w:val="000D2CEC"/>
    <w:rsid w:val="000D430E"/>
    <w:rsid w:val="000D6C86"/>
    <w:rsid w:val="000E0522"/>
    <w:rsid w:val="000E22ED"/>
    <w:rsid w:val="000E560A"/>
    <w:rsid w:val="000E789C"/>
    <w:rsid w:val="000F08D9"/>
    <w:rsid w:val="000F161D"/>
    <w:rsid w:val="000F46EC"/>
    <w:rsid w:val="000F51CD"/>
    <w:rsid w:val="000F71E3"/>
    <w:rsid w:val="00100420"/>
    <w:rsid w:val="001068D8"/>
    <w:rsid w:val="00114221"/>
    <w:rsid w:val="001158E3"/>
    <w:rsid w:val="00123704"/>
    <w:rsid w:val="00124B46"/>
    <w:rsid w:val="001270C7"/>
    <w:rsid w:val="00130189"/>
    <w:rsid w:val="00132540"/>
    <w:rsid w:val="00132C6D"/>
    <w:rsid w:val="0013329C"/>
    <w:rsid w:val="00135884"/>
    <w:rsid w:val="001379E5"/>
    <w:rsid w:val="00141034"/>
    <w:rsid w:val="00142A3D"/>
    <w:rsid w:val="0014786A"/>
    <w:rsid w:val="001516A4"/>
    <w:rsid w:val="00151E5F"/>
    <w:rsid w:val="001546D1"/>
    <w:rsid w:val="001569AB"/>
    <w:rsid w:val="001608C2"/>
    <w:rsid w:val="001612F5"/>
    <w:rsid w:val="001618BD"/>
    <w:rsid w:val="00162673"/>
    <w:rsid w:val="0016624A"/>
    <w:rsid w:val="001678FF"/>
    <w:rsid w:val="001726F3"/>
    <w:rsid w:val="00173BBC"/>
    <w:rsid w:val="0017407F"/>
    <w:rsid w:val="00174C97"/>
    <w:rsid w:val="00174CC2"/>
    <w:rsid w:val="00175188"/>
    <w:rsid w:val="00176CC6"/>
    <w:rsid w:val="0017740F"/>
    <w:rsid w:val="00181BE4"/>
    <w:rsid w:val="00182E18"/>
    <w:rsid w:val="00184454"/>
    <w:rsid w:val="00185576"/>
    <w:rsid w:val="00185951"/>
    <w:rsid w:val="00185E38"/>
    <w:rsid w:val="00196B8B"/>
    <w:rsid w:val="001A2BEA"/>
    <w:rsid w:val="001A33AD"/>
    <w:rsid w:val="001A6D93"/>
    <w:rsid w:val="001B07FD"/>
    <w:rsid w:val="001B27D8"/>
    <w:rsid w:val="001B2844"/>
    <w:rsid w:val="001B3E9E"/>
    <w:rsid w:val="001C2543"/>
    <w:rsid w:val="001C32EC"/>
    <w:rsid w:val="001C4D5A"/>
    <w:rsid w:val="001C6250"/>
    <w:rsid w:val="001C6EE5"/>
    <w:rsid w:val="001D0378"/>
    <w:rsid w:val="001D32C9"/>
    <w:rsid w:val="001D4A52"/>
    <w:rsid w:val="001D53EC"/>
    <w:rsid w:val="001D5CC8"/>
    <w:rsid w:val="001D69B0"/>
    <w:rsid w:val="001E0A39"/>
    <w:rsid w:val="001E34C6"/>
    <w:rsid w:val="001E4C6B"/>
    <w:rsid w:val="001E5581"/>
    <w:rsid w:val="001E5C46"/>
    <w:rsid w:val="001F3C70"/>
    <w:rsid w:val="001F4815"/>
    <w:rsid w:val="001F7123"/>
    <w:rsid w:val="00200D88"/>
    <w:rsid w:val="00201F68"/>
    <w:rsid w:val="00202F9C"/>
    <w:rsid w:val="00203B0C"/>
    <w:rsid w:val="00203F14"/>
    <w:rsid w:val="0021116F"/>
    <w:rsid w:val="00212F2A"/>
    <w:rsid w:val="002134BF"/>
    <w:rsid w:val="00214BC0"/>
    <w:rsid w:val="00214F2B"/>
    <w:rsid w:val="00216BC2"/>
    <w:rsid w:val="00217880"/>
    <w:rsid w:val="00221274"/>
    <w:rsid w:val="002309A8"/>
    <w:rsid w:val="00230EE0"/>
    <w:rsid w:val="00231D93"/>
    <w:rsid w:val="00231E07"/>
    <w:rsid w:val="00234D40"/>
    <w:rsid w:val="00234E2B"/>
    <w:rsid w:val="00236CFE"/>
    <w:rsid w:val="00237AA0"/>
    <w:rsid w:val="00237C0C"/>
    <w:rsid w:val="00241498"/>
    <w:rsid w:val="002428E3"/>
    <w:rsid w:val="00243BCC"/>
    <w:rsid w:val="0024475E"/>
    <w:rsid w:val="0024588C"/>
    <w:rsid w:val="00253AD8"/>
    <w:rsid w:val="00260BAF"/>
    <w:rsid w:val="0026208B"/>
    <w:rsid w:val="0026395E"/>
    <w:rsid w:val="002649F5"/>
    <w:rsid w:val="002650F7"/>
    <w:rsid w:val="002676A6"/>
    <w:rsid w:val="00271D6E"/>
    <w:rsid w:val="00273F3B"/>
    <w:rsid w:val="00274B75"/>
    <w:rsid w:val="00274DB7"/>
    <w:rsid w:val="00274E4B"/>
    <w:rsid w:val="00275984"/>
    <w:rsid w:val="00280CD1"/>
    <w:rsid w:val="00280F74"/>
    <w:rsid w:val="002860AB"/>
    <w:rsid w:val="0028628B"/>
    <w:rsid w:val="00286998"/>
    <w:rsid w:val="00291AB7"/>
    <w:rsid w:val="00292BFE"/>
    <w:rsid w:val="0029422B"/>
    <w:rsid w:val="00294BF5"/>
    <w:rsid w:val="00297812"/>
    <w:rsid w:val="00297D3C"/>
    <w:rsid w:val="002A0384"/>
    <w:rsid w:val="002A03A6"/>
    <w:rsid w:val="002A4E76"/>
    <w:rsid w:val="002B153C"/>
    <w:rsid w:val="002B1D01"/>
    <w:rsid w:val="002B37DD"/>
    <w:rsid w:val="002C1086"/>
    <w:rsid w:val="002C1738"/>
    <w:rsid w:val="002C2830"/>
    <w:rsid w:val="002C2CFD"/>
    <w:rsid w:val="002C533C"/>
    <w:rsid w:val="002C6965"/>
    <w:rsid w:val="002C6E0D"/>
    <w:rsid w:val="002C73B7"/>
    <w:rsid w:val="002D001A"/>
    <w:rsid w:val="002D317B"/>
    <w:rsid w:val="002D3587"/>
    <w:rsid w:val="002D502D"/>
    <w:rsid w:val="002D71E2"/>
    <w:rsid w:val="002E0F69"/>
    <w:rsid w:val="002E1A63"/>
    <w:rsid w:val="002E2D23"/>
    <w:rsid w:val="002E741B"/>
    <w:rsid w:val="002E787C"/>
    <w:rsid w:val="002F39A6"/>
    <w:rsid w:val="002F5147"/>
    <w:rsid w:val="002F69E3"/>
    <w:rsid w:val="002F6E3E"/>
    <w:rsid w:val="002F7084"/>
    <w:rsid w:val="00300A1B"/>
    <w:rsid w:val="0030771E"/>
    <w:rsid w:val="00312597"/>
    <w:rsid w:val="00314870"/>
    <w:rsid w:val="003211AD"/>
    <w:rsid w:val="00321348"/>
    <w:rsid w:val="00324A46"/>
    <w:rsid w:val="00331B06"/>
    <w:rsid w:val="00332119"/>
    <w:rsid w:val="00332FE9"/>
    <w:rsid w:val="00334154"/>
    <w:rsid w:val="00334F55"/>
    <w:rsid w:val="0034128E"/>
    <w:rsid w:val="00341FA0"/>
    <w:rsid w:val="00342FC7"/>
    <w:rsid w:val="0034463F"/>
    <w:rsid w:val="00352BCF"/>
    <w:rsid w:val="00353932"/>
    <w:rsid w:val="0035464B"/>
    <w:rsid w:val="00354A9E"/>
    <w:rsid w:val="00356B39"/>
    <w:rsid w:val="00360525"/>
    <w:rsid w:val="0036193C"/>
    <w:rsid w:val="00362001"/>
    <w:rsid w:val="0036252A"/>
    <w:rsid w:val="00364D9D"/>
    <w:rsid w:val="00367454"/>
    <w:rsid w:val="00367BE9"/>
    <w:rsid w:val="003709A1"/>
    <w:rsid w:val="0037421D"/>
    <w:rsid w:val="00375964"/>
    <w:rsid w:val="00383DA1"/>
    <w:rsid w:val="00385A29"/>
    <w:rsid w:val="00386523"/>
    <w:rsid w:val="00390D44"/>
    <w:rsid w:val="00390D5F"/>
    <w:rsid w:val="0039151B"/>
    <w:rsid w:val="0039361F"/>
    <w:rsid w:val="00393963"/>
    <w:rsid w:val="00393DAB"/>
    <w:rsid w:val="00393E73"/>
    <w:rsid w:val="00395575"/>
    <w:rsid w:val="00395672"/>
    <w:rsid w:val="003A02B3"/>
    <w:rsid w:val="003A06C8"/>
    <w:rsid w:val="003A0D7C"/>
    <w:rsid w:val="003A5288"/>
    <w:rsid w:val="003A7E57"/>
    <w:rsid w:val="003B02CD"/>
    <w:rsid w:val="003B5490"/>
    <w:rsid w:val="003B5F20"/>
    <w:rsid w:val="003B7675"/>
    <w:rsid w:val="003B7EE7"/>
    <w:rsid w:val="003C2CCB"/>
    <w:rsid w:val="003C372F"/>
    <w:rsid w:val="003C3CDE"/>
    <w:rsid w:val="003C6804"/>
    <w:rsid w:val="003C6FDD"/>
    <w:rsid w:val="003D39EC"/>
    <w:rsid w:val="003D42E2"/>
    <w:rsid w:val="003E3DD5"/>
    <w:rsid w:val="003E520D"/>
    <w:rsid w:val="003E7A81"/>
    <w:rsid w:val="003F07C6"/>
    <w:rsid w:val="003F1F6B"/>
    <w:rsid w:val="003F3757"/>
    <w:rsid w:val="003F44B7"/>
    <w:rsid w:val="003F6262"/>
    <w:rsid w:val="003F6572"/>
    <w:rsid w:val="0040329B"/>
    <w:rsid w:val="0041055B"/>
    <w:rsid w:val="00413D48"/>
    <w:rsid w:val="00417BCB"/>
    <w:rsid w:val="00424B9D"/>
    <w:rsid w:val="0042563B"/>
    <w:rsid w:val="00427208"/>
    <w:rsid w:val="00441AC2"/>
    <w:rsid w:val="0044249B"/>
    <w:rsid w:val="00445321"/>
    <w:rsid w:val="0045023C"/>
    <w:rsid w:val="0045083A"/>
    <w:rsid w:val="00451A5B"/>
    <w:rsid w:val="00451ED7"/>
    <w:rsid w:val="00452BCD"/>
    <w:rsid w:val="00452CEA"/>
    <w:rsid w:val="00452EC5"/>
    <w:rsid w:val="00465B52"/>
    <w:rsid w:val="0046708E"/>
    <w:rsid w:val="00474463"/>
    <w:rsid w:val="00474B75"/>
    <w:rsid w:val="004828DD"/>
    <w:rsid w:val="00483372"/>
    <w:rsid w:val="00483F0B"/>
    <w:rsid w:val="004846FE"/>
    <w:rsid w:val="00484957"/>
    <w:rsid w:val="00485395"/>
    <w:rsid w:val="004869B2"/>
    <w:rsid w:val="004903C1"/>
    <w:rsid w:val="00496319"/>
    <w:rsid w:val="00497C6D"/>
    <w:rsid w:val="004A16CD"/>
    <w:rsid w:val="004A1D25"/>
    <w:rsid w:val="004A3B23"/>
    <w:rsid w:val="004A49BC"/>
    <w:rsid w:val="004A52B1"/>
    <w:rsid w:val="004A7F7A"/>
    <w:rsid w:val="004B5465"/>
    <w:rsid w:val="004B7F3E"/>
    <w:rsid w:val="004C2ACE"/>
    <w:rsid w:val="004C3513"/>
    <w:rsid w:val="004C5FEA"/>
    <w:rsid w:val="004C686B"/>
    <w:rsid w:val="004D505E"/>
    <w:rsid w:val="004D51F5"/>
    <w:rsid w:val="004D54E5"/>
    <w:rsid w:val="004D60EA"/>
    <w:rsid w:val="004D72CA"/>
    <w:rsid w:val="004D7892"/>
    <w:rsid w:val="004E1478"/>
    <w:rsid w:val="004E2242"/>
    <w:rsid w:val="004E3E57"/>
    <w:rsid w:val="004E6461"/>
    <w:rsid w:val="004E7FD3"/>
    <w:rsid w:val="004F0877"/>
    <w:rsid w:val="004F2C98"/>
    <w:rsid w:val="004F42FF"/>
    <w:rsid w:val="004F44C2"/>
    <w:rsid w:val="00500049"/>
    <w:rsid w:val="00500F87"/>
    <w:rsid w:val="00503B91"/>
    <w:rsid w:val="00505874"/>
    <w:rsid w:val="00505EDD"/>
    <w:rsid w:val="00507E34"/>
    <w:rsid w:val="00514F14"/>
    <w:rsid w:val="00516022"/>
    <w:rsid w:val="00521CEE"/>
    <w:rsid w:val="00523F46"/>
    <w:rsid w:val="005252B6"/>
    <w:rsid w:val="005265D9"/>
    <w:rsid w:val="005306D3"/>
    <w:rsid w:val="00532A10"/>
    <w:rsid w:val="00533E9A"/>
    <w:rsid w:val="00533FB9"/>
    <w:rsid w:val="005368A7"/>
    <w:rsid w:val="00541FE7"/>
    <w:rsid w:val="005429DC"/>
    <w:rsid w:val="00542F2B"/>
    <w:rsid w:val="00544DB1"/>
    <w:rsid w:val="00545B2D"/>
    <w:rsid w:val="00545FA1"/>
    <w:rsid w:val="00551C3A"/>
    <w:rsid w:val="00554E13"/>
    <w:rsid w:val="005558E0"/>
    <w:rsid w:val="00556E1D"/>
    <w:rsid w:val="00566158"/>
    <w:rsid w:val="00566690"/>
    <w:rsid w:val="00566A01"/>
    <w:rsid w:val="00573041"/>
    <w:rsid w:val="00575B80"/>
    <w:rsid w:val="005819CE"/>
    <w:rsid w:val="0058298D"/>
    <w:rsid w:val="00587D4C"/>
    <w:rsid w:val="005908B7"/>
    <w:rsid w:val="0059136E"/>
    <w:rsid w:val="00592F9F"/>
    <w:rsid w:val="00593C2B"/>
    <w:rsid w:val="00596166"/>
    <w:rsid w:val="00597C21"/>
    <w:rsid w:val="005A002F"/>
    <w:rsid w:val="005A358E"/>
    <w:rsid w:val="005A51CC"/>
    <w:rsid w:val="005B2F96"/>
    <w:rsid w:val="005B35A8"/>
    <w:rsid w:val="005B4049"/>
    <w:rsid w:val="005B66AE"/>
    <w:rsid w:val="005C1737"/>
    <w:rsid w:val="005C34F9"/>
    <w:rsid w:val="005C3F39"/>
    <w:rsid w:val="005C3FE0"/>
    <w:rsid w:val="005C4A05"/>
    <w:rsid w:val="005C740C"/>
    <w:rsid w:val="005D13E6"/>
    <w:rsid w:val="005D1DA4"/>
    <w:rsid w:val="005D2E9E"/>
    <w:rsid w:val="005D610F"/>
    <w:rsid w:val="005D625B"/>
    <w:rsid w:val="005D7EFC"/>
    <w:rsid w:val="005E27A3"/>
    <w:rsid w:val="005F08BE"/>
    <w:rsid w:val="005F1DBC"/>
    <w:rsid w:val="005F3DB6"/>
    <w:rsid w:val="005F424C"/>
    <w:rsid w:val="005F6D11"/>
    <w:rsid w:val="00600B57"/>
    <w:rsid w:val="00600CF0"/>
    <w:rsid w:val="006022BA"/>
    <w:rsid w:val="006048F4"/>
    <w:rsid w:val="00604CD1"/>
    <w:rsid w:val="0060660A"/>
    <w:rsid w:val="00611FBE"/>
    <w:rsid w:val="00614CB0"/>
    <w:rsid w:val="00614E89"/>
    <w:rsid w:val="006168BB"/>
    <w:rsid w:val="00617A44"/>
    <w:rsid w:val="006202B6"/>
    <w:rsid w:val="00622291"/>
    <w:rsid w:val="00625CD0"/>
    <w:rsid w:val="006262D4"/>
    <w:rsid w:val="00626CC0"/>
    <w:rsid w:val="00627432"/>
    <w:rsid w:val="00631090"/>
    <w:rsid w:val="006312A8"/>
    <w:rsid w:val="006425CB"/>
    <w:rsid w:val="006437FA"/>
    <w:rsid w:val="006448E4"/>
    <w:rsid w:val="00647177"/>
    <w:rsid w:val="0064767E"/>
    <w:rsid w:val="0064DC0D"/>
    <w:rsid w:val="0065066C"/>
    <w:rsid w:val="006523C7"/>
    <w:rsid w:val="00653606"/>
    <w:rsid w:val="0066010F"/>
    <w:rsid w:val="00661591"/>
    <w:rsid w:val="0066195F"/>
    <w:rsid w:val="00663312"/>
    <w:rsid w:val="0066632F"/>
    <w:rsid w:val="00670C36"/>
    <w:rsid w:val="00674A89"/>
    <w:rsid w:val="00681334"/>
    <w:rsid w:val="00685545"/>
    <w:rsid w:val="006864B3"/>
    <w:rsid w:val="0068799B"/>
    <w:rsid w:val="00691F7F"/>
    <w:rsid w:val="00695793"/>
    <w:rsid w:val="00697104"/>
    <w:rsid w:val="006A10F8"/>
    <w:rsid w:val="006A2100"/>
    <w:rsid w:val="006A3172"/>
    <w:rsid w:val="006A573D"/>
    <w:rsid w:val="006A7295"/>
    <w:rsid w:val="006A7ADC"/>
    <w:rsid w:val="006A7BE0"/>
    <w:rsid w:val="006B0209"/>
    <w:rsid w:val="006B0BF3"/>
    <w:rsid w:val="006B1D6E"/>
    <w:rsid w:val="006B1E2C"/>
    <w:rsid w:val="006B429A"/>
    <w:rsid w:val="006B6E3A"/>
    <w:rsid w:val="006B6FE5"/>
    <w:rsid w:val="006B775E"/>
    <w:rsid w:val="006C1490"/>
    <w:rsid w:val="006C2535"/>
    <w:rsid w:val="006C441E"/>
    <w:rsid w:val="006C4B90"/>
    <w:rsid w:val="006C713E"/>
    <w:rsid w:val="006D1016"/>
    <w:rsid w:val="006D17F2"/>
    <w:rsid w:val="006D2BA8"/>
    <w:rsid w:val="006D4B7F"/>
    <w:rsid w:val="006D6041"/>
    <w:rsid w:val="006D675C"/>
    <w:rsid w:val="006E10F3"/>
    <w:rsid w:val="006E287B"/>
    <w:rsid w:val="006E3546"/>
    <w:rsid w:val="006E3A4C"/>
    <w:rsid w:val="006E3CC3"/>
    <w:rsid w:val="006E3FA9"/>
    <w:rsid w:val="006E4282"/>
    <w:rsid w:val="006E7A44"/>
    <w:rsid w:val="006E7D82"/>
    <w:rsid w:val="006F0F93"/>
    <w:rsid w:val="006F31F2"/>
    <w:rsid w:val="00703FD6"/>
    <w:rsid w:val="00707595"/>
    <w:rsid w:val="007075B1"/>
    <w:rsid w:val="007111DD"/>
    <w:rsid w:val="00711DF6"/>
    <w:rsid w:val="00714DC5"/>
    <w:rsid w:val="00714F68"/>
    <w:rsid w:val="00715237"/>
    <w:rsid w:val="00717028"/>
    <w:rsid w:val="0072232C"/>
    <w:rsid w:val="00722CA6"/>
    <w:rsid w:val="00723E50"/>
    <w:rsid w:val="007254A5"/>
    <w:rsid w:val="00725748"/>
    <w:rsid w:val="00725F85"/>
    <w:rsid w:val="00732028"/>
    <w:rsid w:val="00735D88"/>
    <w:rsid w:val="0073720D"/>
    <w:rsid w:val="00737507"/>
    <w:rsid w:val="007402E0"/>
    <w:rsid w:val="00740712"/>
    <w:rsid w:val="00742AB9"/>
    <w:rsid w:val="00743023"/>
    <w:rsid w:val="007454D4"/>
    <w:rsid w:val="00745AC1"/>
    <w:rsid w:val="00746233"/>
    <w:rsid w:val="00750DDA"/>
    <w:rsid w:val="00754FBF"/>
    <w:rsid w:val="00755101"/>
    <w:rsid w:val="0075648C"/>
    <w:rsid w:val="00760920"/>
    <w:rsid w:val="00761538"/>
    <w:rsid w:val="00761E6F"/>
    <w:rsid w:val="0077006F"/>
    <w:rsid w:val="007709EF"/>
    <w:rsid w:val="00770D8D"/>
    <w:rsid w:val="00783559"/>
    <w:rsid w:val="00790371"/>
    <w:rsid w:val="007952D9"/>
    <w:rsid w:val="00797AA5"/>
    <w:rsid w:val="007A4105"/>
    <w:rsid w:val="007A7141"/>
    <w:rsid w:val="007A7DA3"/>
    <w:rsid w:val="007B280A"/>
    <w:rsid w:val="007B2D82"/>
    <w:rsid w:val="007B3CE1"/>
    <w:rsid w:val="007B4503"/>
    <w:rsid w:val="007B5237"/>
    <w:rsid w:val="007C406E"/>
    <w:rsid w:val="007C4512"/>
    <w:rsid w:val="007C5183"/>
    <w:rsid w:val="007D0050"/>
    <w:rsid w:val="007D0A6B"/>
    <w:rsid w:val="007D0ABB"/>
    <w:rsid w:val="007D1311"/>
    <w:rsid w:val="007D1415"/>
    <w:rsid w:val="007D21B7"/>
    <w:rsid w:val="007D7584"/>
    <w:rsid w:val="007E02B5"/>
    <w:rsid w:val="007E03AF"/>
    <w:rsid w:val="007E205A"/>
    <w:rsid w:val="007E2B20"/>
    <w:rsid w:val="007E35F0"/>
    <w:rsid w:val="007E3F14"/>
    <w:rsid w:val="007E418B"/>
    <w:rsid w:val="007E4DDF"/>
    <w:rsid w:val="007F2868"/>
    <w:rsid w:val="007F5331"/>
    <w:rsid w:val="007F7E17"/>
    <w:rsid w:val="00800CCA"/>
    <w:rsid w:val="00802763"/>
    <w:rsid w:val="00805951"/>
    <w:rsid w:val="00806120"/>
    <w:rsid w:val="008064ED"/>
    <w:rsid w:val="00812028"/>
    <w:rsid w:val="00813082"/>
    <w:rsid w:val="00813991"/>
    <w:rsid w:val="00814D03"/>
    <w:rsid w:val="0081547C"/>
    <w:rsid w:val="008165AA"/>
    <w:rsid w:val="00816D33"/>
    <w:rsid w:val="00823AE2"/>
    <w:rsid w:val="00830AAE"/>
    <w:rsid w:val="008315F7"/>
    <w:rsid w:val="0083178B"/>
    <w:rsid w:val="00833246"/>
    <w:rsid w:val="00833695"/>
    <w:rsid w:val="008336B7"/>
    <w:rsid w:val="00833872"/>
    <w:rsid w:val="00833A8E"/>
    <w:rsid w:val="00834CAD"/>
    <w:rsid w:val="008378BF"/>
    <w:rsid w:val="008426EA"/>
    <w:rsid w:val="00842CD8"/>
    <w:rsid w:val="008431FA"/>
    <w:rsid w:val="00845867"/>
    <w:rsid w:val="008473A0"/>
    <w:rsid w:val="008475A1"/>
    <w:rsid w:val="0084792E"/>
    <w:rsid w:val="00850BEA"/>
    <w:rsid w:val="008510CB"/>
    <w:rsid w:val="00851353"/>
    <w:rsid w:val="00853234"/>
    <w:rsid w:val="008547BA"/>
    <w:rsid w:val="008553C7"/>
    <w:rsid w:val="00857FEB"/>
    <w:rsid w:val="008601AF"/>
    <w:rsid w:val="00861833"/>
    <w:rsid w:val="00863AA8"/>
    <w:rsid w:val="00863F0A"/>
    <w:rsid w:val="00866AA1"/>
    <w:rsid w:val="00867556"/>
    <w:rsid w:val="0087147D"/>
    <w:rsid w:val="00872271"/>
    <w:rsid w:val="00881F19"/>
    <w:rsid w:val="00882623"/>
    <w:rsid w:val="0088385C"/>
    <w:rsid w:val="00890FB6"/>
    <w:rsid w:val="008914C0"/>
    <w:rsid w:val="00891AD7"/>
    <w:rsid w:val="008A28F5"/>
    <w:rsid w:val="008B3929"/>
    <w:rsid w:val="008B4467"/>
    <w:rsid w:val="008B4CB3"/>
    <w:rsid w:val="008B7B24"/>
    <w:rsid w:val="008C2314"/>
    <w:rsid w:val="008C356D"/>
    <w:rsid w:val="008C4299"/>
    <w:rsid w:val="008C46DF"/>
    <w:rsid w:val="008C6083"/>
    <w:rsid w:val="008C72BE"/>
    <w:rsid w:val="008D15A5"/>
    <w:rsid w:val="008D5339"/>
    <w:rsid w:val="008D6C99"/>
    <w:rsid w:val="008D6FDB"/>
    <w:rsid w:val="008E33D3"/>
    <w:rsid w:val="008E3B63"/>
    <w:rsid w:val="008E49AD"/>
    <w:rsid w:val="008E6B30"/>
    <w:rsid w:val="008F18D2"/>
    <w:rsid w:val="008F2731"/>
    <w:rsid w:val="008F3246"/>
    <w:rsid w:val="008F3C1B"/>
    <w:rsid w:val="008F41D7"/>
    <w:rsid w:val="008F4D30"/>
    <w:rsid w:val="008F508C"/>
    <w:rsid w:val="0090078F"/>
    <w:rsid w:val="00901305"/>
    <w:rsid w:val="0090271B"/>
    <w:rsid w:val="00902771"/>
    <w:rsid w:val="009032AA"/>
    <w:rsid w:val="00903430"/>
    <w:rsid w:val="00905D32"/>
    <w:rsid w:val="0090700D"/>
    <w:rsid w:val="00910642"/>
    <w:rsid w:val="00910DDF"/>
    <w:rsid w:val="00916B2E"/>
    <w:rsid w:val="0092032E"/>
    <w:rsid w:val="0092123C"/>
    <w:rsid w:val="00923A1E"/>
    <w:rsid w:val="00925121"/>
    <w:rsid w:val="009311C8"/>
    <w:rsid w:val="00933376"/>
    <w:rsid w:val="00933A2F"/>
    <w:rsid w:val="00943D63"/>
    <w:rsid w:val="00944213"/>
    <w:rsid w:val="00944D5E"/>
    <w:rsid w:val="0094731E"/>
    <w:rsid w:val="009517CD"/>
    <w:rsid w:val="00953AA7"/>
    <w:rsid w:val="009574F8"/>
    <w:rsid w:val="009626C3"/>
    <w:rsid w:val="009718F9"/>
    <w:rsid w:val="00972309"/>
    <w:rsid w:val="00972FB9"/>
    <w:rsid w:val="00973727"/>
    <w:rsid w:val="00975112"/>
    <w:rsid w:val="009766D8"/>
    <w:rsid w:val="009809C0"/>
    <w:rsid w:val="00981768"/>
    <w:rsid w:val="009839D2"/>
    <w:rsid w:val="00983D5C"/>
    <w:rsid w:val="00983E8F"/>
    <w:rsid w:val="0099358D"/>
    <w:rsid w:val="00994FDA"/>
    <w:rsid w:val="009A2586"/>
    <w:rsid w:val="009A2FD7"/>
    <w:rsid w:val="009A333C"/>
    <w:rsid w:val="009A3B71"/>
    <w:rsid w:val="009A54E3"/>
    <w:rsid w:val="009A5C00"/>
    <w:rsid w:val="009A61BC"/>
    <w:rsid w:val="009A664F"/>
    <w:rsid w:val="009A6A46"/>
    <w:rsid w:val="009B0138"/>
    <w:rsid w:val="009B0FE9"/>
    <w:rsid w:val="009B4FA2"/>
    <w:rsid w:val="009C0679"/>
    <w:rsid w:val="009C3D08"/>
    <w:rsid w:val="009C3F20"/>
    <w:rsid w:val="009C72A2"/>
    <w:rsid w:val="009C7CA1"/>
    <w:rsid w:val="009D043D"/>
    <w:rsid w:val="009D58AC"/>
    <w:rsid w:val="009D5D50"/>
    <w:rsid w:val="009E39E8"/>
    <w:rsid w:val="009E56F8"/>
    <w:rsid w:val="009F2930"/>
    <w:rsid w:val="009F3259"/>
    <w:rsid w:val="009F4F70"/>
    <w:rsid w:val="009F71CB"/>
    <w:rsid w:val="00A01731"/>
    <w:rsid w:val="00A0295A"/>
    <w:rsid w:val="00A06A27"/>
    <w:rsid w:val="00A11CCE"/>
    <w:rsid w:val="00A1264D"/>
    <w:rsid w:val="00A128AD"/>
    <w:rsid w:val="00A12A4D"/>
    <w:rsid w:val="00A12C94"/>
    <w:rsid w:val="00A12E0C"/>
    <w:rsid w:val="00A149E2"/>
    <w:rsid w:val="00A15D93"/>
    <w:rsid w:val="00A15DE9"/>
    <w:rsid w:val="00A15DEE"/>
    <w:rsid w:val="00A165F6"/>
    <w:rsid w:val="00A21E76"/>
    <w:rsid w:val="00A22130"/>
    <w:rsid w:val="00A22FA9"/>
    <w:rsid w:val="00A23BC8"/>
    <w:rsid w:val="00A2443A"/>
    <w:rsid w:val="00A2457A"/>
    <w:rsid w:val="00A245E7"/>
    <w:rsid w:val="00A24F15"/>
    <w:rsid w:val="00A27CE4"/>
    <w:rsid w:val="00A30E68"/>
    <w:rsid w:val="00A31933"/>
    <w:rsid w:val="00A34AA0"/>
    <w:rsid w:val="00A34B31"/>
    <w:rsid w:val="00A37DFF"/>
    <w:rsid w:val="00A40A03"/>
    <w:rsid w:val="00A41FE2"/>
    <w:rsid w:val="00A47948"/>
    <w:rsid w:val="00A50361"/>
    <w:rsid w:val="00A503AC"/>
    <w:rsid w:val="00A50824"/>
    <w:rsid w:val="00A547F6"/>
    <w:rsid w:val="00A56946"/>
    <w:rsid w:val="00A62C30"/>
    <w:rsid w:val="00A63B8C"/>
    <w:rsid w:val="00A67E76"/>
    <w:rsid w:val="00A67F4D"/>
    <w:rsid w:val="00A73FC8"/>
    <w:rsid w:val="00A76080"/>
    <w:rsid w:val="00A77F6F"/>
    <w:rsid w:val="00A83008"/>
    <w:rsid w:val="00A831FD"/>
    <w:rsid w:val="00A85E2E"/>
    <w:rsid w:val="00A9016E"/>
    <w:rsid w:val="00A9050C"/>
    <w:rsid w:val="00A919EE"/>
    <w:rsid w:val="00A91FA3"/>
    <w:rsid w:val="00AA31E4"/>
    <w:rsid w:val="00AA6534"/>
    <w:rsid w:val="00AA7FC9"/>
    <w:rsid w:val="00AB092A"/>
    <w:rsid w:val="00AB237D"/>
    <w:rsid w:val="00AB34C4"/>
    <w:rsid w:val="00AB5933"/>
    <w:rsid w:val="00AB6031"/>
    <w:rsid w:val="00AC4A8A"/>
    <w:rsid w:val="00AC531B"/>
    <w:rsid w:val="00AC7E06"/>
    <w:rsid w:val="00AD6B7B"/>
    <w:rsid w:val="00AE013D"/>
    <w:rsid w:val="00AE06DB"/>
    <w:rsid w:val="00AE0D4B"/>
    <w:rsid w:val="00AE0D7C"/>
    <w:rsid w:val="00AE11B7"/>
    <w:rsid w:val="00AE2171"/>
    <w:rsid w:val="00AF01ED"/>
    <w:rsid w:val="00AF070B"/>
    <w:rsid w:val="00AF13DA"/>
    <w:rsid w:val="00AF21C6"/>
    <w:rsid w:val="00AF4375"/>
    <w:rsid w:val="00AF4C65"/>
    <w:rsid w:val="00AF52F6"/>
    <w:rsid w:val="00AF7237"/>
    <w:rsid w:val="00AF78B4"/>
    <w:rsid w:val="00B0043A"/>
    <w:rsid w:val="00B00D75"/>
    <w:rsid w:val="00B0246C"/>
    <w:rsid w:val="00B02CC1"/>
    <w:rsid w:val="00B03C09"/>
    <w:rsid w:val="00B03CD6"/>
    <w:rsid w:val="00B05FCD"/>
    <w:rsid w:val="00B070CB"/>
    <w:rsid w:val="00B1021F"/>
    <w:rsid w:val="00B10357"/>
    <w:rsid w:val="00B12A1C"/>
    <w:rsid w:val="00B150B9"/>
    <w:rsid w:val="00B15704"/>
    <w:rsid w:val="00B167B6"/>
    <w:rsid w:val="00B22A1C"/>
    <w:rsid w:val="00B259C8"/>
    <w:rsid w:val="00B26CCF"/>
    <w:rsid w:val="00B27BE0"/>
    <w:rsid w:val="00B349FA"/>
    <w:rsid w:val="00B34C10"/>
    <w:rsid w:val="00B34E6B"/>
    <w:rsid w:val="00B361FB"/>
    <w:rsid w:val="00B41232"/>
    <w:rsid w:val="00B421C6"/>
    <w:rsid w:val="00B425F0"/>
    <w:rsid w:val="00B42DFA"/>
    <w:rsid w:val="00B44934"/>
    <w:rsid w:val="00B47084"/>
    <w:rsid w:val="00B5155D"/>
    <w:rsid w:val="00B531DD"/>
    <w:rsid w:val="00B55014"/>
    <w:rsid w:val="00B56D9C"/>
    <w:rsid w:val="00B61884"/>
    <w:rsid w:val="00B62232"/>
    <w:rsid w:val="00B637CB"/>
    <w:rsid w:val="00B6668E"/>
    <w:rsid w:val="00B7027D"/>
    <w:rsid w:val="00B71DC2"/>
    <w:rsid w:val="00B728EC"/>
    <w:rsid w:val="00B73863"/>
    <w:rsid w:val="00B73F11"/>
    <w:rsid w:val="00B76EF8"/>
    <w:rsid w:val="00B770BE"/>
    <w:rsid w:val="00B8065E"/>
    <w:rsid w:val="00B832B9"/>
    <w:rsid w:val="00B8702F"/>
    <w:rsid w:val="00B9343D"/>
    <w:rsid w:val="00B93893"/>
    <w:rsid w:val="00B94B72"/>
    <w:rsid w:val="00B95BDB"/>
    <w:rsid w:val="00B96A83"/>
    <w:rsid w:val="00BA224D"/>
    <w:rsid w:val="00BA5130"/>
    <w:rsid w:val="00BA5903"/>
    <w:rsid w:val="00BA7D98"/>
    <w:rsid w:val="00BC164E"/>
    <w:rsid w:val="00BC3B53"/>
    <w:rsid w:val="00BC3B96"/>
    <w:rsid w:val="00BC4AE3"/>
    <w:rsid w:val="00BD0A0D"/>
    <w:rsid w:val="00BD2201"/>
    <w:rsid w:val="00BD4231"/>
    <w:rsid w:val="00BD4E32"/>
    <w:rsid w:val="00BD5725"/>
    <w:rsid w:val="00BE3F88"/>
    <w:rsid w:val="00BE4756"/>
    <w:rsid w:val="00BE5ED9"/>
    <w:rsid w:val="00BE6064"/>
    <w:rsid w:val="00BE77D3"/>
    <w:rsid w:val="00BE7B41"/>
    <w:rsid w:val="00BF78C9"/>
    <w:rsid w:val="00C003D7"/>
    <w:rsid w:val="00C013D7"/>
    <w:rsid w:val="00C06B73"/>
    <w:rsid w:val="00C07AAE"/>
    <w:rsid w:val="00C1029E"/>
    <w:rsid w:val="00C1212C"/>
    <w:rsid w:val="00C206F1"/>
    <w:rsid w:val="00C20B57"/>
    <w:rsid w:val="00C217E1"/>
    <w:rsid w:val="00C350E3"/>
    <w:rsid w:val="00C40C60"/>
    <w:rsid w:val="00C449BD"/>
    <w:rsid w:val="00C44C15"/>
    <w:rsid w:val="00C47047"/>
    <w:rsid w:val="00C47C2F"/>
    <w:rsid w:val="00C50B53"/>
    <w:rsid w:val="00C5258E"/>
    <w:rsid w:val="00C52D00"/>
    <w:rsid w:val="00C55E3F"/>
    <w:rsid w:val="00C60224"/>
    <w:rsid w:val="00C61491"/>
    <w:rsid w:val="00C72038"/>
    <w:rsid w:val="00C74743"/>
    <w:rsid w:val="00C80EE8"/>
    <w:rsid w:val="00C86077"/>
    <w:rsid w:val="00C91C13"/>
    <w:rsid w:val="00C97C80"/>
    <w:rsid w:val="00CA47D3"/>
    <w:rsid w:val="00CA6A3F"/>
    <w:rsid w:val="00CA7770"/>
    <w:rsid w:val="00CA7C99"/>
    <w:rsid w:val="00CB0F08"/>
    <w:rsid w:val="00CB537E"/>
    <w:rsid w:val="00CB54A0"/>
    <w:rsid w:val="00CB7A08"/>
    <w:rsid w:val="00CB7ABA"/>
    <w:rsid w:val="00CC1200"/>
    <w:rsid w:val="00CC58B7"/>
    <w:rsid w:val="00CC5FA5"/>
    <w:rsid w:val="00CD362D"/>
    <w:rsid w:val="00CD6935"/>
    <w:rsid w:val="00CD7FAB"/>
    <w:rsid w:val="00CE108F"/>
    <w:rsid w:val="00CE1C84"/>
    <w:rsid w:val="00CE3AE4"/>
    <w:rsid w:val="00CE3FC4"/>
    <w:rsid w:val="00CE7B43"/>
    <w:rsid w:val="00CF053F"/>
    <w:rsid w:val="00CF2777"/>
    <w:rsid w:val="00D009BA"/>
    <w:rsid w:val="00D0609E"/>
    <w:rsid w:val="00D078E1"/>
    <w:rsid w:val="00D100E9"/>
    <w:rsid w:val="00D1194D"/>
    <w:rsid w:val="00D14228"/>
    <w:rsid w:val="00D21E4B"/>
    <w:rsid w:val="00D23522"/>
    <w:rsid w:val="00D264D6"/>
    <w:rsid w:val="00D2748B"/>
    <w:rsid w:val="00D27A8B"/>
    <w:rsid w:val="00D33752"/>
    <w:rsid w:val="00D33BF0"/>
    <w:rsid w:val="00D341E7"/>
    <w:rsid w:val="00D34A19"/>
    <w:rsid w:val="00D414D3"/>
    <w:rsid w:val="00D451D2"/>
    <w:rsid w:val="00D457FC"/>
    <w:rsid w:val="00D463A6"/>
    <w:rsid w:val="00D47228"/>
    <w:rsid w:val="00D5099F"/>
    <w:rsid w:val="00D516BE"/>
    <w:rsid w:val="00D5423B"/>
    <w:rsid w:val="00D54F4E"/>
    <w:rsid w:val="00D6041A"/>
    <w:rsid w:val="00D60600"/>
    <w:rsid w:val="00D60BA4"/>
    <w:rsid w:val="00D62419"/>
    <w:rsid w:val="00D65A80"/>
    <w:rsid w:val="00D65A9F"/>
    <w:rsid w:val="00D74355"/>
    <w:rsid w:val="00D743B1"/>
    <w:rsid w:val="00D75828"/>
    <w:rsid w:val="00D75CE9"/>
    <w:rsid w:val="00D763B8"/>
    <w:rsid w:val="00D76C64"/>
    <w:rsid w:val="00D77870"/>
    <w:rsid w:val="00D80CCE"/>
    <w:rsid w:val="00D82DE9"/>
    <w:rsid w:val="00D84FAA"/>
    <w:rsid w:val="00D87AC0"/>
    <w:rsid w:val="00D87D03"/>
    <w:rsid w:val="00D91864"/>
    <w:rsid w:val="00D95C88"/>
    <w:rsid w:val="00D96747"/>
    <w:rsid w:val="00D97B2E"/>
    <w:rsid w:val="00DB06C5"/>
    <w:rsid w:val="00DB1421"/>
    <w:rsid w:val="00DB36FE"/>
    <w:rsid w:val="00DB5138"/>
    <w:rsid w:val="00DB533A"/>
    <w:rsid w:val="00DB763D"/>
    <w:rsid w:val="00DB7775"/>
    <w:rsid w:val="00DC01E4"/>
    <w:rsid w:val="00DC078B"/>
    <w:rsid w:val="00DC2924"/>
    <w:rsid w:val="00DD66F2"/>
    <w:rsid w:val="00DE3FE0"/>
    <w:rsid w:val="00DE578A"/>
    <w:rsid w:val="00DE65F0"/>
    <w:rsid w:val="00DF2583"/>
    <w:rsid w:val="00DF33EA"/>
    <w:rsid w:val="00DF5380"/>
    <w:rsid w:val="00DF5450"/>
    <w:rsid w:val="00DF54D9"/>
    <w:rsid w:val="00E01A59"/>
    <w:rsid w:val="00E0640A"/>
    <w:rsid w:val="00E0774B"/>
    <w:rsid w:val="00E1039F"/>
    <w:rsid w:val="00E10DC6"/>
    <w:rsid w:val="00E11534"/>
    <w:rsid w:val="00E11F8E"/>
    <w:rsid w:val="00E20998"/>
    <w:rsid w:val="00E21161"/>
    <w:rsid w:val="00E21DE3"/>
    <w:rsid w:val="00E22F2D"/>
    <w:rsid w:val="00E26B44"/>
    <w:rsid w:val="00E27518"/>
    <w:rsid w:val="00E325F1"/>
    <w:rsid w:val="00E3731D"/>
    <w:rsid w:val="00E373FB"/>
    <w:rsid w:val="00E45EA9"/>
    <w:rsid w:val="00E50E7A"/>
    <w:rsid w:val="00E51469"/>
    <w:rsid w:val="00E5289B"/>
    <w:rsid w:val="00E55E11"/>
    <w:rsid w:val="00E60FC5"/>
    <w:rsid w:val="00E634E3"/>
    <w:rsid w:val="00E650EA"/>
    <w:rsid w:val="00E65E43"/>
    <w:rsid w:val="00E66B8A"/>
    <w:rsid w:val="00E67B5A"/>
    <w:rsid w:val="00E719B8"/>
    <w:rsid w:val="00E7650D"/>
    <w:rsid w:val="00E766FC"/>
    <w:rsid w:val="00E77F89"/>
    <w:rsid w:val="00E77FBA"/>
    <w:rsid w:val="00E80E71"/>
    <w:rsid w:val="00E84BA8"/>
    <w:rsid w:val="00E850D3"/>
    <w:rsid w:val="00E876B9"/>
    <w:rsid w:val="00E94A8E"/>
    <w:rsid w:val="00E976A5"/>
    <w:rsid w:val="00EA0717"/>
    <w:rsid w:val="00EA7CDB"/>
    <w:rsid w:val="00EB1225"/>
    <w:rsid w:val="00EB1D2D"/>
    <w:rsid w:val="00EB458F"/>
    <w:rsid w:val="00EC0DFF"/>
    <w:rsid w:val="00EC1CF3"/>
    <w:rsid w:val="00EC219F"/>
    <w:rsid w:val="00EC237D"/>
    <w:rsid w:val="00EC4AA5"/>
    <w:rsid w:val="00EC4D0E"/>
    <w:rsid w:val="00EC4DA0"/>
    <w:rsid w:val="00EC521B"/>
    <w:rsid w:val="00EC7879"/>
    <w:rsid w:val="00ED072A"/>
    <w:rsid w:val="00ED7BC9"/>
    <w:rsid w:val="00EE4A1F"/>
    <w:rsid w:val="00EE4C2D"/>
    <w:rsid w:val="00EF1B5A"/>
    <w:rsid w:val="00EF1EFD"/>
    <w:rsid w:val="00EF24FB"/>
    <w:rsid w:val="00EF2CCA"/>
    <w:rsid w:val="00EF66C1"/>
    <w:rsid w:val="00F00E8F"/>
    <w:rsid w:val="00F015A8"/>
    <w:rsid w:val="00F0379C"/>
    <w:rsid w:val="00F03963"/>
    <w:rsid w:val="00F0550E"/>
    <w:rsid w:val="00F11068"/>
    <w:rsid w:val="00F1256D"/>
    <w:rsid w:val="00F130F8"/>
    <w:rsid w:val="00F13A4E"/>
    <w:rsid w:val="00F144F8"/>
    <w:rsid w:val="00F15714"/>
    <w:rsid w:val="00F172BB"/>
    <w:rsid w:val="00F17B10"/>
    <w:rsid w:val="00F21BEF"/>
    <w:rsid w:val="00F33D1D"/>
    <w:rsid w:val="00F347A3"/>
    <w:rsid w:val="00F359BC"/>
    <w:rsid w:val="00F35E47"/>
    <w:rsid w:val="00F432DA"/>
    <w:rsid w:val="00F4370A"/>
    <w:rsid w:val="00F44D1B"/>
    <w:rsid w:val="00F45A25"/>
    <w:rsid w:val="00F50F86"/>
    <w:rsid w:val="00F52AB0"/>
    <w:rsid w:val="00F53F91"/>
    <w:rsid w:val="00F607E0"/>
    <w:rsid w:val="00F61610"/>
    <w:rsid w:val="00F61A72"/>
    <w:rsid w:val="00F62B67"/>
    <w:rsid w:val="00F6342E"/>
    <w:rsid w:val="00F63EBF"/>
    <w:rsid w:val="00F66F13"/>
    <w:rsid w:val="00F70188"/>
    <w:rsid w:val="00F74073"/>
    <w:rsid w:val="00F75603"/>
    <w:rsid w:val="00F77C1D"/>
    <w:rsid w:val="00F805C2"/>
    <w:rsid w:val="00F8224D"/>
    <w:rsid w:val="00F82D45"/>
    <w:rsid w:val="00F845B4"/>
    <w:rsid w:val="00F86AA4"/>
    <w:rsid w:val="00F8713B"/>
    <w:rsid w:val="00F92E42"/>
    <w:rsid w:val="00F93639"/>
    <w:rsid w:val="00F93F9E"/>
    <w:rsid w:val="00F96A16"/>
    <w:rsid w:val="00F9751C"/>
    <w:rsid w:val="00F979AF"/>
    <w:rsid w:val="00F97FB1"/>
    <w:rsid w:val="00FA171C"/>
    <w:rsid w:val="00FA2CD7"/>
    <w:rsid w:val="00FB06ED"/>
    <w:rsid w:val="00FB28CB"/>
    <w:rsid w:val="00FB44E8"/>
    <w:rsid w:val="00FC3165"/>
    <w:rsid w:val="00FC36AB"/>
    <w:rsid w:val="00FC6505"/>
    <w:rsid w:val="00FC7913"/>
    <w:rsid w:val="00FC7F66"/>
    <w:rsid w:val="00FD19FF"/>
    <w:rsid w:val="00FD315B"/>
    <w:rsid w:val="00FD3E25"/>
    <w:rsid w:val="00FD48AF"/>
    <w:rsid w:val="00FD4B8E"/>
    <w:rsid w:val="00FE1CB6"/>
    <w:rsid w:val="00FE2B79"/>
    <w:rsid w:val="00FE486B"/>
    <w:rsid w:val="00FE4F08"/>
    <w:rsid w:val="00FF2ECD"/>
    <w:rsid w:val="00FF725D"/>
    <w:rsid w:val="00FF7770"/>
    <w:rsid w:val="010184BC"/>
    <w:rsid w:val="0298B043"/>
    <w:rsid w:val="02C2F1E9"/>
    <w:rsid w:val="02F99EF8"/>
    <w:rsid w:val="0350A46C"/>
    <w:rsid w:val="03EDD9AE"/>
    <w:rsid w:val="044CF4FE"/>
    <w:rsid w:val="046C67F5"/>
    <w:rsid w:val="05B1AEA4"/>
    <w:rsid w:val="05F9B55F"/>
    <w:rsid w:val="06A8FCDD"/>
    <w:rsid w:val="072A6F8D"/>
    <w:rsid w:val="07DD2E13"/>
    <w:rsid w:val="08B96661"/>
    <w:rsid w:val="09866F3A"/>
    <w:rsid w:val="0A19910A"/>
    <w:rsid w:val="0A297568"/>
    <w:rsid w:val="0B410813"/>
    <w:rsid w:val="0C25B1A7"/>
    <w:rsid w:val="0CB34065"/>
    <w:rsid w:val="0CC7611D"/>
    <w:rsid w:val="0DE17188"/>
    <w:rsid w:val="0E38F678"/>
    <w:rsid w:val="0E8F61FF"/>
    <w:rsid w:val="0EBC28AA"/>
    <w:rsid w:val="0EE6EF60"/>
    <w:rsid w:val="0F652725"/>
    <w:rsid w:val="0FB2DEA8"/>
    <w:rsid w:val="1080F396"/>
    <w:rsid w:val="117CA80F"/>
    <w:rsid w:val="11806D0F"/>
    <w:rsid w:val="11D5C422"/>
    <w:rsid w:val="11F7F6D9"/>
    <w:rsid w:val="140E5594"/>
    <w:rsid w:val="14740EEB"/>
    <w:rsid w:val="14F7CC50"/>
    <w:rsid w:val="15CBDDD7"/>
    <w:rsid w:val="169D91FD"/>
    <w:rsid w:val="191FF94E"/>
    <w:rsid w:val="19BD13F5"/>
    <w:rsid w:val="1B3B1132"/>
    <w:rsid w:val="1BB500CF"/>
    <w:rsid w:val="1BC74627"/>
    <w:rsid w:val="1BDBA86C"/>
    <w:rsid w:val="1C06C46B"/>
    <w:rsid w:val="1C4C5CAC"/>
    <w:rsid w:val="1C762B55"/>
    <w:rsid w:val="1CECFB41"/>
    <w:rsid w:val="1DD7350D"/>
    <w:rsid w:val="1DDD9933"/>
    <w:rsid w:val="1E3BBFBD"/>
    <w:rsid w:val="1E5CC963"/>
    <w:rsid w:val="1FB06F71"/>
    <w:rsid w:val="1FE5C3AE"/>
    <w:rsid w:val="20395769"/>
    <w:rsid w:val="20887631"/>
    <w:rsid w:val="2115360A"/>
    <w:rsid w:val="219DDCEC"/>
    <w:rsid w:val="22A8EEC7"/>
    <w:rsid w:val="235AC39C"/>
    <w:rsid w:val="2361BAF8"/>
    <w:rsid w:val="23718ECC"/>
    <w:rsid w:val="23E0BCBA"/>
    <w:rsid w:val="23F8AA0C"/>
    <w:rsid w:val="25160956"/>
    <w:rsid w:val="263902BB"/>
    <w:rsid w:val="27364787"/>
    <w:rsid w:val="2811CA69"/>
    <w:rsid w:val="28C36165"/>
    <w:rsid w:val="29378B1F"/>
    <w:rsid w:val="295F42C3"/>
    <w:rsid w:val="29E1AA52"/>
    <w:rsid w:val="29EAE2D7"/>
    <w:rsid w:val="2A376925"/>
    <w:rsid w:val="2A4FF3F5"/>
    <w:rsid w:val="2A65AA73"/>
    <w:rsid w:val="2AA3694E"/>
    <w:rsid w:val="2AB77163"/>
    <w:rsid w:val="2B360EE4"/>
    <w:rsid w:val="2BAC8C27"/>
    <w:rsid w:val="2BC7E18B"/>
    <w:rsid w:val="2BE41AA9"/>
    <w:rsid w:val="2C66D120"/>
    <w:rsid w:val="2D943BF1"/>
    <w:rsid w:val="2E0AF987"/>
    <w:rsid w:val="2F8DEEAB"/>
    <w:rsid w:val="3053CF03"/>
    <w:rsid w:val="30BDB060"/>
    <w:rsid w:val="3157A720"/>
    <w:rsid w:val="31A20CD3"/>
    <w:rsid w:val="31B634C0"/>
    <w:rsid w:val="31BFAA05"/>
    <w:rsid w:val="320B404F"/>
    <w:rsid w:val="323EA832"/>
    <w:rsid w:val="3297F0B7"/>
    <w:rsid w:val="3314863D"/>
    <w:rsid w:val="334FFB40"/>
    <w:rsid w:val="336A5573"/>
    <w:rsid w:val="34087A2F"/>
    <w:rsid w:val="34116042"/>
    <w:rsid w:val="3709D22B"/>
    <w:rsid w:val="37582185"/>
    <w:rsid w:val="37C6B28A"/>
    <w:rsid w:val="37DA57FF"/>
    <w:rsid w:val="386ECA29"/>
    <w:rsid w:val="39046910"/>
    <w:rsid w:val="3AE0F41C"/>
    <w:rsid w:val="3B34B784"/>
    <w:rsid w:val="3B654B7C"/>
    <w:rsid w:val="3B9A3289"/>
    <w:rsid w:val="3CBB86A3"/>
    <w:rsid w:val="3D4797DA"/>
    <w:rsid w:val="3DCF5C4E"/>
    <w:rsid w:val="40414048"/>
    <w:rsid w:val="41B9245C"/>
    <w:rsid w:val="42974C98"/>
    <w:rsid w:val="43D61D7B"/>
    <w:rsid w:val="450BD99C"/>
    <w:rsid w:val="4661D81A"/>
    <w:rsid w:val="468AD0FF"/>
    <w:rsid w:val="46D815D6"/>
    <w:rsid w:val="47242E39"/>
    <w:rsid w:val="4771AB61"/>
    <w:rsid w:val="478EB89C"/>
    <w:rsid w:val="479DD293"/>
    <w:rsid w:val="48DF1C30"/>
    <w:rsid w:val="490EA9E2"/>
    <w:rsid w:val="49B4170F"/>
    <w:rsid w:val="4A36BB02"/>
    <w:rsid w:val="4A7921D1"/>
    <w:rsid w:val="4AE31014"/>
    <w:rsid w:val="4B718D1C"/>
    <w:rsid w:val="4BC41AF2"/>
    <w:rsid w:val="4C44F1D8"/>
    <w:rsid w:val="4C55734D"/>
    <w:rsid w:val="4D423DE8"/>
    <w:rsid w:val="4DEDB11E"/>
    <w:rsid w:val="4E5C1835"/>
    <w:rsid w:val="4F8472E0"/>
    <w:rsid w:val="4F993113"/>
    <w:rsid w:val="5037D9C4"/>
    <w:rsid w:val="51A6EC1A"/>
    <w:rsid w:val="51D98AF4"/>
    <w:rsid w:val="52135636"/>
    <w:rsid w:val="526C1A69"/>
    <w:rsid w:val="528FCDA4"/>
    <w:rsid w:val="53A9E30A"/>
    <w:rsid w:val="5403B65B"/>
    <w:rsid w:val="569A73C3"/>
    <w:rsid w:val="573D8A15"/>
    <w:rsid w:val="57692803"/>
    <w:rsid w:val="57DBF0F5"/>
    <w:rsid w:val="58300AAF"/>
    <w:rsid w:val="58A196E8"/>
    <w:rsid w:val="58BAAD08"/>
    <w:rsid w:val="5905D6CE"/>
    <w:rsid w:val="5A11F325"/>
    <w:rsid w:val="5A816997"/>
    <w:rsid w:val="5B2F912B"/>
    <w:rsid w:val="5E0AFF0D"/>
    <w:rsid w:val="5E45CA04"/>
    <w:rsid w:val="60690553"/>
    <w:rsid w:val="60B956BF"/>
    <w:rsid w:val="616DCEB7"/>
    <w:rsid w:val="626922F1"/>
    <w:rsid w:val="62BAF354"/>
    <w:rsid w:val="65149589"/>
    <w:rsid w:val="663D167B"/>
    <w:rsid w:val="67BD4CE2"/>
    <w:rsid w:val="69F742F1"/>
    <w:rsid w:val="6A2472E3"/>
    <w:rsid w:val="6A8B4240"/>
    <w:rsid w:val="6C7861B1"/>
    <w:rsid w:val="6D3148C7"/>
    <w:rsid w:val="6D61F1CF"/>
    <w:rsid w:val="6E716BE3"/>
    <w:rsid w:val="7001C328"/>
    <w:rsid w:val="7040BD6E"/>
    <w:rsid w:val="70510016"/>
    <w:rsid w:val="71481A1A"/>
    <w:rsid w:val="714ADC00"/>
    <w:rsid w:val="7181F955"/>
    <w:rsid w:val="730B1425"/>
    <w:rsid w:val="73437DD0"/>
    <w:rsid w:val="73664360"/>
    <w:rsid w:val="73CD12C0"/>
    <w:rsid w:val="7449370C"/>
    <w:rsid w:val="7491B003"/>
    <w:rsid w:val="75C6BDF0"/>
    <w:rsid w:val="76D90720"/>
    <w:rsid w:val="7811E4BA"/>
    <w:rsid w:val="781BCEA6"/>
    <w:rsid w:val="788F9A69"/>
    <w:rsid w:val="78D61D5F"/>
    <w:rsid w:val="792753D5"/>
    <w:rsid w:val="7CD60003"/>
    <w:rsid w:val="7D236959"/>
    <w:rsid w:val="7D357E81"/>
    <w:rsid w:val="7D814EA6"/>
    <w:rsid w:val="7DCA6FA8"/>
    <w:rsid w:val="7DF06EFE"/>
    <w:rsid w:val="7E32AE74"/>
    <w:rsid w:val="7E9EB7E8"/>
    <w:rsid w:val="7F37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F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numbering" w:customStyle="1" w:styleId="Nummeringagenda">
    <w:name w:val="Nummering agenda"/>
    <w:basedOn w:val="Geenlijst"/>
    <w:rsid w:val="008426EA"/>
    <w:pPr>
      <w:numPr>
        <w:numId w:val="3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7A7DA3"/>
    <w:rPr>
      <w:color w:val="808080"/>
    </w:rPr>
  </w:style>
  <w:style w:type="paragraph" w:styleId="Ballontekst">
    <w:name w:val="Balloon Text"/>
    <w:basedOn w:val="Standaard"/>
    <w:link w:val="BallontekstChar"/>
    <w:rsid w:val="007F7E1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7F7E17"/>
    <w:rPr>
      <w:rFonts w:ascii="Segoe UI" w:hAnsi="Segoe UI" w:cs="Segoe UI"/>
      <w:sz w:val="18"/>
      <w:szCs w:val="18"/>
      <w:lang w:val="nl-NL" w:eastAsia="nl-NL"/>
    </w:rPr>
  </w:style>
  <w:style w:type="character" w:customStyle="1" w:styleId="HeaderChar">
    <w:name w:val="Header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FooterChar">
    <w:name w:val="Footer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87147D"/>
    <w:pPr>
      <w:ind w:left="720"/>
      <w:contextualSpacing/>
    </w:pPr>
  </w:style>
  <w:style w:type="paragraph" w:customStyle="1" w:styleId="paragraph">
    <w:name w:val="paragraph"/>
    <w:basedOn w:val="Standaard"/>
    <w:rsid w:val="00DF538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DF5380"/>
  </w:style>
  <w:style w:type="character" w:customStyle="1" w:styleId="eop">
    <w:name w:val="eop"/>
    <w:basedOn w:val="Standaardalinea-lettertype"/>
    <w:rsid w:val="00DF5380"/>
  </w:style>
  <w:style w:type="character" w:styleId="Verwijzingopmerking">
    <w:name w:val="annotation reference"/>
    <w:basedOn w:val="Standaardalinea-lettertype"/>
    <w:semiHidden/>
    <w:unhideWhenUsed/>
    <w:rsid w:val="000D6C8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6C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D6C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6C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6C86"/>
    <w:rPr>
      <w:rFonts w:ascii="Verdana" w:hAnsi="Verdana"/>
      <w:b/>
      <w:bCs/>
      <w:lang w:val="nl-NL" w:eastAsia="nl-NL"/>
    </w:rPr>
  </w:style>
  <w:style w:type="character" w:customStyle="1" w:styleId="apple-converted-space">
    <w:name w:val="apple-converted-space"/>
    <w:basedOn w:val="Standaardalinea-lettertype"/>
    <w:rsid w:val="00FA171C"/>
  </w:style>
  <w:style w:type="character" w:styleId="Vermelding">
    <w:name w:val="Mention"/>
    <w:basedOn w:val="Standaardalinea-lettertype"/>
    <w:uiPriority w:val="99"/>
    <w:unhideWhenUsed/>
    <w:rsid w:val="00FD4B8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6B6FE5"/>
    <w:rPr>
      <w:rFonts w:ascii="Verdana" w:hAnsi="Verdana"/>
      <w:sz w:val="18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D7435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D74355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D7435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1724</ap:Words>
  <ap:Characters>9484</ap:Characters>
  <ap:DocSecurity>0</ap:DocSecurity>
  <ap:Lines>79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2025-06-02T14:36:00.0000000Z</dcterms:created>
  <dcterms:modified xsi:type="dcterms:W3CDTF">2025-06-02T14:37:00.0000000Z</dcterms:modified>
  <dc:description>------------------------</dc:description>
  <version/>
  <category/>
</coreProperties>
</file>