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C23D6" w:rsidP="007D249B" w:rsidRDefault="003C23D6" w14:paraId="682ED957" w14:textId="5A566F83">
      <w:pPr>
        <w:rPr>
          <w:b/>
          <w:bCs/>
        </w:rPr>
      </w:pPr>
      <w:r>
        <w:rPr>
          <w:b/>
          <w:bCs/>
        </w:rPr>
        <w:t>Stuk 26</w:t>
      </w:r>
    </w:p>
    <w:p w:rsidR="007D249B" w:rsidP="007D249B" w:rsidRDefault="007D249B" w14:paraId="4F039624" w14:textId="0BC6E43E">
      <w:pPr>
        <w:rPr>
          <w:b/>
          <w:bCs/>
        </w:rPr>
      </w:pPr>
      <w:r w:rsidRPr="24B8D49F">
        <w:rPr>
          <w:b/>
          <w:bCs/>
        </w:rPr>
        <w:t>Opening</w:t>
      </w:r>
    </w:p>
    <w:p w:rsidR="007D249B" w:rsidP="007D249B" w:rsidRDefault="007D249B" w14:paraId="57A3D079" w14:textId="0A8BD4E6">
      <w:pPr>
        <w:spacing w:after="160" w:line="259" w:lineRule="auto"/>
      </w:pPr>
      <w:r>
        <w:t xml:space="preserve">De sector mobiliteit ligt nog niet op koers voor realisatie van het indicatieve </w:t>
      </w:r>
      <w:r w:rsidR="00402144">
        <w:t>restemissie</w:t>
      </w:r>
      <w:r>
        <w:t xml:space="preserve"> van 21,0 </w:t>
      </w:r>
      <w:proofErr w:type="spellStart"/>
      <w:r>
        <w:t>Mton</w:t>
      </w:r>
      <w:proofErr w:type="spellEnd"/>
      <w:r>
        <w:t xml:space="preserve"> in 2030. </w:t>
      </w:r>
      <w:r w:rsidR="004E101E">
        <w:t xml:space="preserve">Ook liggen we nationaal niet op koers voor de energiebesparingsdoelstelling. </w:t>
      </w:r>
      <w:r>
        <w:t>In deze sector zijn verschillende maatregelen in beeld die</w:t>
      </w:r>
      <w:r w:rsidR="008F5662">
        <w:t xml:space="preserve"> de</w:t>
      </w:r>
      <w:r>
        <w:t xml:space="preserve"> komende jaren kunnen bijdragen aan verduurzaming</w:t>
      </w:r>
      <w:r w:rsidR="007B64A9">
        <w:t xml:space="preserve"> en </w:t>
      </w:r>
      <w:r w:rsidR="000F7A8F">
        <w:t>energiebesparing</w:t>
      </w:r>
      <w:r>
        <w:t xml:space="preserve">. Daarom ligt het accent van dit BWO op </w:t>
      </w:r>
      <w:r w:rsidR="007B64A9">
        <w:t>de</w:t>
      </w:r>
      <w:r w:rsidR="00865E42">
        <w:t xml:space="preserve"> </w:t>
      </w:r>
      <w:r>
        <w:t xml:space="preserve">binnenlandse mobiliteit. </w:t>
      </w:r>
    </w:p>
    <w:p w:rsidR="007D249B" w:rsidP="007D249B" w:rsidRDefault="007D249B" w14:paraId="7FFC55D8" w14:textId="34308EB6">
      <w:r>
        <w:t xml:space="preserve">De uitkomsten van dit gesprek zullen landen in de verdere afstemming met het kabinet via de RFL (1 april) en MR (voorlopig 11 april). </w:t>
      </w:r>
    </w:p>
    <w:p w:rsidR="007D249B" w:rsidP="007D249B" w:rsidRDefault="007D249B" w14:paraId="0E76491E" w14:textId="77777777"/>
    <w:p w:rsidRPr="007C20BA" w:rsidR="007D249B" w:rsidP="007D249B" w:rsidRDefault="007D249B" w14:paraId="6ADFAAEF" w14:textId="77777777">
      <w:pPr>
        <w:pStyle w:val="Lijstalinea"/>
        <w:numPr>
          <w:ilvl w:val="0"/>
          <w:numId w:val="16"/>
        </w:numPr>
        <w:spacing w:after="160" w:line="259" w:lineRule="auto"/>
      </w:pPr>
      <w:r>
        <w:rPr>
          <w:b/>
          <w:bCs/>
        </w:rPr>
        <w:t>Elektrificatie wegvervoer</w:t>
      </w:r>
    </w:p>
    <w:p w:rsidRPr="007C20BA" w:rsidR="007D249B" w:rsidP="007D249B" w:rsidRDefault="007D249B" w14:paraId="21AD8504" w14:textId="77777777">
      <w:pPr>
        <w:pStyle w:val="Lijstalinea"/>
        <w:numPr>
          <w:ilvl w:val="0"/>
          <w:numId w:val="6"/>
        </w:numPr>
        <w:spacing w:after="160" w:line="259" w:lineRule="auto"/>
        <w:rPr>
          <w:i/>
          <w:iCs/>
        </w:rPr>
      </w:pPr>
      <w:r w:rsidRPr="007C20BA">
        <w:rPr>
          <w:i/>
          <w:iCs/>
        </w:rPr>
        <w:t>Traject hervorming autobelastingen</w:t>
      </w:r>
    </w:p>
    <w:p w:rsidR="00731689" w:rsidP="0003304B" w:rsidRDefault="00857B7C" w14:paraId="27665EE5" w14:textId="3A6D1BFF">
      <w:pPr>
        <w:pStyle w:val="Lijstalinea"/>
        <w:numPr>
          <w:ilvl w:val="0"/>
          <w:numId w:val="4"/>
        </w:numPr>
        <w:spacing w:after="160" w:line="259" w:lineRule="auto"/>
      </w:pPr>
      <w:r>
        <w:t xml:space="preserve">Er is </w:t>
      </w:r>
      <w:r w:rsidR="00582DF2">
        <w:t xml:space="preserve">door FIN en KGG </w:t>
      </w:r>
      <w:r w:rsidR="00402144">
        <w:t xml:space="preserve">een </w:t>
      </w:r>
      <w:r>
        <w:t>pakket uitgewerkt gericht op elektrificatie personenvervoer</w:t>
      </w:r>
      <w:r w:rsidR="00D16218">
        <w:t xml:space="preserve"> met</w:t>
      </w:r>
      <w:r>
        <w:t xml:space="preserve"> </w:t>
      </w:r>
      <w:r w:rsidRPr="004C6633" w:rsidR="007D249B">
        <w:t xml:space="preserve">een additionele CO2-reductie van 0,5 </w:t>
      </w:r>
      <w:proofErr w:type="spellStart"/>
      <w:r w:rsidRPr="004C6633" w:rsidR="007D249B">
        <w:t>Mton</w:t>
      </w:r>
      <w:proofErr w:type="spellEnd"/>
      <w:r w:rsidRPr="004C6633" w:rsidR="007D249B">
        <w:t xml:space="preserve"> </w:t>
      </w:r>
      <w:r w:rsidR="00F52603">
        <w:t xml:space="preserve">en </w:t>
      </w:r>
      <w:r w:rsidR="00994494">
        <w:t>energiebesparing van ~</w:t>
      </w:r>
      <w:r w:rsidR="00F52603">
        <w:t xml:space="preserve">5,2 PJ </w:t>
      </w:r>
      <w:r w:rsidRPr="004C6633" w:rsidR="007D249B">
        <w:t>in 2030</w:t>
      </w:r>
      <w:r w:rsidR="00A2333E">
        <w:t>. Dit pakket biedt invulling aan de afspraak om te komen tot een hervorming van de autobelastingen, met aandacht voor de klimaatdoelen en het op orde brengen van de overheidsfinanciën (zie ook bijlage)</w:t>
      </w:r>
      <w:r w:rsidR="0003304B">
        <w:t>:</w:t>
      </w:r>
    </w:p>
    <w:p w:rsidRPr="00E5008B" w:rsidR="007D249B" w:rsidP="00E5008B" w:rsidRDefault="007D249B" w14:paraId="3374FCD2" w14:textId="4B16236C">
      <w:pPr>
        <w:pStyle w:val="Lijstalinea"/>
        <w:numPr>
          <w:ilvl w:val="1"/>
          <w:numId w:val="4"/>
        </w:numPr>
        <w:spacing w:after="160" w:line="259" w:lineRule="auto"/>
      </w:pPr>
      <w:r w:rsidRPr="004C6633">
        <w:t>Normering leasemarkt via loonbelasting</w:t>
      </w:r>
      <w:r w:rsidR="00731689">
        <w:t xml:space="preserve">; dit is een effectieve maatregel om in de zakelijke markt </w:t>
      </w:r>
      <w:r w:rsidR="00BA4B3D">
        <w:t xml:space="preserve">gericht </w:t>
      </w:r>
      <w:r w:rsidR="00731689">
        <w:t xml:space="preserve">de ingroei van elektrische auto’s te versnellen, maar leidt ook tot versnelling grondslagerosie. Dit wordt gedekt via verhoging van de vaste voet in </w:t>
      </w:r>
      <w:r w:rsidR="00D16218">
        <w:t xml:space="preserve">de </w:t>
      </w:r>
      <w:r w:rsidR="00731689">
        <w:t>bpm met 220 euro, een aanpassing van de belasting op leidingwater</w:t>
      </w:r>
      <w:r w:rsidRPr="001B3CA7" w:rsidR="001B3CA7">
        <w:rPr>
          <w:vertAlign w:val="superscript"/>
        </w:rPr>
        <w:footnoteReference w:id="2"/>
      </w:r>
      <w:r w:rsidRPr="001B3CA7" w:rsidR="001B3CA7">
        <w:t xml:space="preserve"> </w:t>
      </w:r>
      <w:r w:rsidRPr="00E5008B" w:rsidR="00731689">
        <w:t xml:space="preserve">en het progressiever maken van de motorrijtuigenbelasting (zie </w:t>
      </w:r>
      <w:r w:rsidRPr="00E5008B" w:rsidR="0003304B">
        <w:t>3</w:t>
      </w:r>
      <w:r w:rsidRPr="00E5008B" w:rsidR="00731689">
        <w:t>).</w:t>
      </w:r>
    </w:p>
    <w:p w:rsidRPr="004C6633" w:rsidR="007D249B" w:rsidP="007D249B" w:rsidRDefault="007D249B" w14:paraId="2A13D66A" w14:textId="6E2FFCA9">
      <w:pPr>
        <w:pStyle w:val="Lijstalinea"/>
        <w:numPr>
          <w:ilvl w:val="1"/>
          <w:numId w:val="4"/>
        </w:numPr>
        <w:spacing w:after="160" w:line="259" w:lineRule="auto"/>
      </w:pPr>
      <w:r w:rsidRPr="004C6633">
        <w:lastRenderedPageBreak/>
        <w:t>Tariefkorting van 30% (i.p.v. 25%) voor elektrische personenauto’s in de motorrijtuigenbelasting tot 2028. Gedekt door dieseltoeslag</w:t>
      </w:r>
      <w:r w:rsidR="00156F6F">
        <w:t xml:space="preserve"> voor personenauto’s en bestelauto’s particulieren</w:t>
      </w:r>
      <w:r w:rsidRPr="004C6633">
        <w:t xml:space="preserve"> met 20% te verhogen. </w:t>
      </w:r>
    </w:p>
    <w:p w:rsidRPr="004C6633" w:rsidR="007D249B" w:rsidP="007D249B" w:rsidRDefault="007D249B" w14:paraId="561556FB" w14:textId="3BEF2D9E">
      <w:pPr>
        <w:pStyle w:val="Lijstalinea"/>
        <w:numPr>
          <w:ilvl w:val="1"/>
          <w:numId w:val="4"/>
        </w:numPr>
        <w:spacing w:after="160" w:line="259" w:lineRule="auto"/>
      </w:pPr>
      <w:r w:rsidRPr="004C6633">
        <w:t xml:space="preserve">Vanaf 2028: grondslag motorrijtuigenbelasting </w:t>
      </w:r>
      <w:r w:rsidR="0003304B">
        <w:t xml:space="preserve">omzetten van gewicht naar </w:t>
      </w:r>
      <w:r w:rsidRPr="004C6633">
        <w:t>voertuigoppervlakte</w:t>
      </w:r>
      <w:r w:rsidR="0003304B">
        <w:t xml:space="preserve">. Daarnaast </w:t>
      </w:r>
      <w:r w:rsidRPr="004C6633">
        <w:t>tarieven progressiever</w:t>
      </w:r>
      <w:r w:rsidR="0003304B">
        <w:t xml:space="preserve"> maken om 1 te dekken (</w:t>
      </w:r>
      <w:r w:rsidR="00731689">
        <w:t xml:space="preserve">A-segment auto’s </w:t>
      </w:r>
      <w:r w:rsidR="0003304B">
        <w:t>betalen</w:t>
      </w:r>
      <w:r w:rsidR="00731689">
        <w:t xml:space="preserve"> 20% minder, E-segment auto’s 45% meer</w:t>
      </w:r>
      <w:r w:rsidR="0003304B">
        <w:t xml:space="preserve">). </w:t>
      </w:r>
      <w:r w:rsidRPr="0075450D" w:rsidR="0075450D">
        <w:t xml:space="preserve">Uitvoering hiervan per 2028 is nog onzeker en is afhankelijk van de mogelijkheid tot </w:t>
      </w:r>
      <w:proofErr w:type="spellStart"/>
      <w:r w:rsidRPr="0075450D" w:rsidR="0075450D">
        <w:t>herprioritering</w:t>
      </w:r>
      <w:proofErr w:type="spellEnd"/>
      <w:r w:rsidRPr="0075450D" w:rsidR="0075450D">
        <w:t xml:space="preserve"> binnen het IV-portfolio van de belastingdienst en de beschikbaarheid van authentieke voertuiggegevens door de RDW.</w:t>
      </w:r>
    </w:p>
    <w:p w:rsidR="00C32A2A" w:rsidP="00C32A2A" w:rsidRDefault="007D249B" w14:paraId="4023AF1C" w14:textId="238D9FA3">
      <w:pPr>
        <w:pStyle w:val="Lijstalinea"/>
        <w:numPr>
          <w:ilvl w:val="1"/>
          <w:numId w:val="4"/>
        </w:numPr>
        <w:spacing w:after="160" w:line="259" w:lineRule="auto"/>
      </w:pPr>
      <w:r w:rsidRPr="004C6633">
        <w:t>Vanaf 202</w:t>
      </w:r>
      <w:r w:rsidR="00156F6F">
        <w:t>9</w:t>
      </w:r>
      <w:r w:rsidRPr="004C6633">
        <w:t xml:space="preserve">: aanschaf elektrische auto’s </w:t>
      </w:r>
      <w:r w:rsidR="00156F6F">
        <w:t>stapsgewijs belasten via tenaamstellingsbelasting of als terugvaloptie via een aparte tabel in de bpm.</w:t>
      </w:r>
      <w:r w:rsidRPr="0075450D" w:rsidR="0075450D">
        <w:t xml:space="preserve"> Voor de invoering van een tenaamstellingsbelasting dient een uitvoerder aangewezen te worden, zoals de RDW of Belastingdienst. Indien door de Belastingdienst uitgevoerd, is uitvoering hiervan per 2029 mede afhankelijk van de mogelijkheid tot </w:t>
      </w:r>
      <w:proofErr w:type="spellStart"/>
      <w:r w:rsidRPr="0075450D" w:rsidR="0075450D">
        <w:t>herprioritering</w:t>
      </w:r>
      <w:proofErr w:type="spellEnd"/>
      <w:r w:rsidRPr="0075450D" w:rsidR="0075450D">
        <w:t xml:space="preserve"> binnen het IV-portfolio van de belastingdienst</w:t>
      </w:r>
      <w:r w:rsidR="0075450D">
        <w:t>.</w:t>
      </w:r>
    </w:p>
    <w:p w:rsidR="00154DE3" w:rsidP="00154DE3" w:rsidRDefault="00C32A2A" w14:paraId="4E956713" w14:textId="77777777">
      <w:pPr>
        <w:pStyle w:val="Lijstalinea"/>
        <w:numPr>
          <w:ilvl w:val="0"/>
          <w:numId w:val="4"/>
        </w:numPr>
        <w:spacing w:after="160" w:line="259" w:lineRule="auto"/>
      </w:pPr>
      <w:r>
        <w:t xml:space="preserve">Verder is </w:t>
      </w:r>
      <w:r w:rsidR="007C2029">
        <w:t xml:space="preserve">om </w:t>
      </w:r>
      <w:r>
        <w:t xml:space="preserve">het pakket additioneel te maken op de bestaande maatregelen een ophoging van de jaarverplichting van 0,5 </w:t>
      </w:r>
      <w:proofErr w:type="spellStart"/>
      <w:r>
        <w:t>Mton</w:t>
      </w:r>
      <w:proofErr w:type="spellEnd"/>
      <w:r>
        <w:t xml:space="preserve"> nodig.</w:t>
      </w:r>
    </w:p>
    <w:p w:rsidRPr="00154DE3" w:rsidR="00154DE3" w:rsidP="00154DE3" w:rsidRDefault="00154DE3" w14:paraId="14E2AE97" w14:textId="2B9AC282">
      <w:pPr>
        <w:pStyle w:val="Lijstalinea"/>
        <w:numPr>
          <w:ilvl w:val="0"/>
          <w:numId w:val="4"/>
        </w:numPr>
        <w:spacing w:after="160" w:line="259" w:lineRule="auto"/>
      </w:pPr>
      <w:r w:rsidRPr="00154DE3">
        <w:t>Voorgesteld wordt dat het kabinet in een contourennota verschillende oplossingsrichtingen schetst voor fase 2 van de hervorming van de autobelastingen waarin de overheidsfinanciën, CO2-reductie, betaalbaarheid en bereikbaarheid binnen de automobiliteit verder in balans worden gebracht. Onder andere mogelijke oplossingen van grondslagerosie bij de accijnzen wordt hierin beschreven, waarbij de keuze aan de TK wordt gelaten.</w:t>
      </w:r>
    </w:p>
    <w:p w:rsidRPr="00154DE3" w:rsidR="00154DE3" w:rsidP="00154DE3" w:rsidRDefault="00154DE3" w14:paraId="5750A5E7" w14:textId="77777777">
      <w:pPr>
        <w:pStyle w:val="Lijstalinea"/>
        <w:numPr>
          <w:ilvl w:val="0"/>
          <w:numId w:val="4"/>
        </w:numPr>
        <w:spacing w:line="259" w:lineRule="auto"/>
      </w:pPr>
      <w:r w:rsidRPr="00154DE3">
        <w:t xml:space="preserve">Het maatregelenpakket leidt in de jaren na 2030 tot een budgettaire meeropbrengst. Er wordt voorgesteld deze meeropbrengst te reserveren voor het autodomein, ten behoeve de tweede fase van de hervorming autobelastingen, gericht op het vinden van een oplossing voor het wegvallen van de accijnsopbrengsten ten gevolge van de ingroei van EV. </w:t>
      </w:r>
    </w:p>
    <w:p w:rsidR="00B146CA" w:rsidP="00154DE3" w:rsidRDefault="00B146CA" w14:paraId="2429AD9A" w14:textId="4BF980F5">
      <w:pPr>
        <w:pStyle w:val="Lijstalinea"/>
        <w:numPr>
          <w:ilvl w:val="0"/>
          <w:numId w:val="4"/>
        </w:numPr>
        <w:spacing w:after="160" w:line="259" w:lineRule="auto"/>
      </w:pPr>
      <w:r>
        <w:t xml:space="preserve">In een eerder BWO werd geopperd dat er mogelijk potentieel voor CO2 reductie zit bij bestelbussen en vrachtwagens. Dit punt is ambtelijk door </w:t>
      </w:r>
      <w:proofErr w:type="spellStart"/>
      <w:r>
        <w:t>IenW</w:t>
      </w:r>
      <w:proofErr w:type="spellEnd"/>
      <w:r>
        <w:t xml:space="preserve"> uitgezocht en het blijkt dat dit potentieel niet aanwezig is omdat de beleidsinzet in het </w:t>
      </w:r>
      <w:proofErr w:type="spellStart"/>
      <w:r>
        <w:t>basispad</w:t>
      </w:r>
      <w:proofErr w:type="spellEnd"/>
      <w:r>
        <w:t xml:space="preserve"> al erg fors is en het niet de verwachting is dat het mogelijk is met 2030 als horizon nog extra effect te sorteren.</w:t>
      </w:r>
    </w:p>
    <w:tbl>
      <w:tblPr>
        <w:tblStyle w:val="Tabelraster"/>
        <w:tblW w:w="0" w:type="auto"/>
        <w:tblLook w:val="04A0" w:firstRow="1" w:lastRow="0" w:firstColumn="1" w:lastColumn="0" w:noHBand="0" w:noVBand="1"/>
      </w:tblPr>
      <w:tblGrid>
        <w:gridCol w:w="7519"/>
      </w:tblGrid>
      <w:tr w:rsidR="00857B7C" w:rsidTr="00857B7C" w14:paraId="68870029" w14:textId="77777777">
        <w:tc>
          <w:tcPr>
            <w:tcW w:w="7519" w:type="dxa"/>
          </w:tcPr>
          <w:p w:rsidRPr="00644D9E" w:rsidR="00857B7C" w:rsidP="00857B7C" w:rsidRDefault="00857B7C" w14:paraId="58595BC3" w14:textId="77777777">
            <w:pPr>
              <w:spacing w:after="160" w:line="259" w:lineRule="auto"/>
              <w:rPr>
                <w:b/>
                <w:bCs/>
              </w:rPr>
            </w:pPr>
            <w:r w:rsidRPr="00644D9E">
              <w:rPr>
                <w:b/>
                <w:bCs/>
              </w:rPr>
              <w:t>Beslispunt:</w:t>
            </w:r>
          </w:p>
          <w:p w:rsidR="008D77CF" w:rsidP="00644D9E" w:rsidRDefault="00857B7C" w14:paraId="29CAEA30" w14:textId="54AC1E69">
            <w:pPr>
              <w:pStyle w:val="Lijstalinea"/>
              <w:numPr>
                <w:ilvl w:val="0"/>
                <w:numId w:val="4"/>
              </w:numPr>
              <w:spacing w:after="160" w:line="259" w:lineRule="auto"/>
            </w:pPr>
            <w:r w:rsidRPr="004C6633">
              <w:t>Kunt u</w:t>
            </w:r>
            <w:r w:rsidR="0075450D">
              <w:t xml:space="preserve"> – onder voorbehoud van definitieve check op uitvoerbaarheid -</w:t>
            </w:r>
            <w:r w:rsidRPr="004C6633">
              <w:t xml:space="preserve"> instemmen met bijgevoegd pakket voor hervorming van de autobelastingen en versnelling van de ingroei van elektrische auto</w:t>
            </w:r>
            <w:r w:rsidR="002A6AE7">
              <w:t>’</w:t>
            </w:r>
            <w:r w:rsidRPr="004C6633">
              <w:t>s</w:t>
            </w:r>
            <w:r w:rsidR="002A6AE7">
              <w:t xml:space="preserve"> en het procesvoorstel voor het oplossen van de grondslagerosie</w:t>
            </w:r>
            <w:r w:rsidRPr="004C6633">
              <w:t>?</w:t>
            </w:r>
          </w:p>
        </w:tc>
      </w:tr>
    </w:tbl>
    <w:p w:rsidR="00857B7C" w:rsidP="00857B7C" w:rsidRDefault="00857B7C" w14:paraId="36C5C41E" w14:textId="77777777">
      <w:pPr>
        <w:spacing w:after="160" w:line="259" w:lineRule="auto"/>
      </w:pPr>
    </w:p>
    <w:p w:rsidRPr="00EE2631" w:rsidR="007D249B" w:rsidP="007D249B" w:rsidRDefault="007D249B" w14:paraId="154F0209" w14:textId="7C33B946">
      <w:pPr>
        <w:pStyle w:val="Lijstalinea"/>
        <w:numPr>
          <w:ilvl w:val="0"/>
          <w:numId w:val="6"/>
        </w:numPr>
        <w:spacing w:after="160" w:line="259" w:lineRule="auto"/>
        <w:rPr>
          <w:i/>
          <w:iCs/>
        </w:rPr>
      </w:pPr>
      <w:r w:rsidRPr="00EE2631">
        <w:rPr>
          <w:i/>
          <w:iCs/>
        </w:rPr>
        <w:t>Overige aanpassingen autobelastingen</w:t>
      </w:r>
    </w:p>
    <w:tbl>
      <w:tblPr>
        <w:tblStyle w:val="Tabelraster"/>
        <w:tblW w:w="0" w:type="auto"/>
        <w:tblLook w:val="04A0" w:firstRow="1" w:lastRow="0" w:firstColumn="1" w:lastColumn="0" w:noHBand="0" w:noVBand="1"/>
      </w:tblPr>
      <w:tblGrid>
        <w:gridCol w:w="7519"/>
      </w:tblGrid>
      <w:tr w:rsidR="00857B7C" w:rsidTr="00857B7C" w14:paraId="3CCD78D8" w14:textId="77777777">
        <w:tc>
          <w:tcPr>
            <w:tcW w:w="7519" w:type="dxa"/>
          </w:tcPr>
          <w:p w:rsidR="00857B7C" w:rsidP="00857B7C" w:rsidRDefault="00857B7C" w14:paraId="47482EA3" w14:textId="77777777">
            <w:pPr>
              <w:spacing w:line="259" w:lineRule="auto"/>
            </w:pPr>
            <w:r>
              <w:t>Beslispunt:</w:t>
            </w:r>
          </w:p>
          <w:p w:rsidRPr="00622E76" w:rsidR="00EF5B18" w:rsidP="00EF5B18" w:rsidRDefault="00EF5B18" w14:paraId="59B85F6C" w14:textId="77777777">
            <w:pPr>
              <w:pStyle w:val="Lijstalinea"/>
              <w:numPr>
                <w:ilvl w:val="0"/>
                <w:numId w:val="4"/>
              </w:numPr>
              <w:spacing w:line="259" w:lineRule="auto"/>
              <w:ind w:left="720"/>
            </w:pPr>
            <w:r w:rsidRPr="00622E76">
              <w:lastRenderedPageBreak/>
              <w:t>Kunt u instemmen met deze wijzigingen voor een consistente, uniforme en uitlegbare fiscale behandeling van emissievrije voertuigen:</w:t>
            </w:r>
          </w:p>
          <w:p w:rsidRPr="00622E76" w:rsidR="00EF5B18" w:rsidP="00EF5B18" w:rsidRDefault="00EF5B18" w14:paraId="1131A0AF" w14:textId="77777777">
            <w:pPr>
              <w:numPr>
                <w:ilvl w:val="0"/>
                <w:numId w:val="21"/>
              </w:numPr>
              <w:tabs>
                <w:tab w:val="num" w:pos="720"/>
              </w:tabs>
              <w:spacing w:line="259" w:lineRule="auto"/>
            </w:pPr>
            <w:bookmarkStart w:name="_Hlk192598517" w:id="0"/>
            <w:r w:rsidRPr="00622E76">
              <w:rPr>
                <w:b/>
                <w:bCs/>
              </w:rPr>
              <w:t>Emissievrije bestelauto’s</w:t>
            </w:r>
            <w:r w:rsidRPr="00622E76">
              <w:t xml:space="preserve"> in 2026-2027 dezelfde tariefkorting in de </w:t>
            </w:r>
            <w:proofErr w:type="spellStart"/>
            <w:r w:rsidRPr="00622E76">
              <w:t>mrb</w:t>
            </w:r>
            <w:proofErr w:type="spellEnd"/>
            <w:r w:rsidRPr="00622E76">
              <w:t xml:space="preserve"> als emissievrije personenauto’s, gedekt door een verhoging van het lage ondernemerstarief voor bestelauto’s.</w:t>
            </w:r>
            <w:r w:rsidRPr="00B07A88">
              <w:rPr>
                <w:rStyle w:val="Voetnootmarkering"/>
                <w:rFonts w:ascii="Calibri" w:hAnsi="Calibri" w:cs="Calibri"/>
                <w:b/>
                <w:bCs/>
                <w:color w:val="000000"/>
                <w:sz w:val="22"/>
                <w:szCs w:val="22"/>
              </w:rPr>
              <w:footnoteReference w:id="3"/>
            </w:r>
          </w:p>
          <w:p w:rsidRPr="00622E76" w:rsidR="00EF5B18" w:rsidP="00EF5B18" w:rsidRDefault="00EF5B18" w14:paraId="37EE1A03" w14:textId="77777777">
            <w:pPr>
              <w:numPr>
                <w:ilvl w:val="0"/>
                <w:numId w:val="21"/>
              </w:numPr>
              <w:tabs>
                <w:tab w:val="num" w:pos="720"/>
              </w:tabs>
              <w:spacing w:line="259" w:lineRule="auto"/>
            </w:pPr>
            <w:r w:rsidRPr="00622E76">
              <w:rPr>
                <w:b/>
                <w:bCs/>
              </w:rPr>
              <w:t>Emissievrije bijzondere personenauto’s</w:t>
            </w:r>
            <w:r w:rsidRPr="00622E76">
              <w:rPr>
                <w:rStyle w:val="Voetnootmarkering"/>
                <w:b/>
                <w:bCs/>
              </w:rPr>
              <w:footnoteReference w:id="4"/>
            </w:r>
            <w:r w:rsidRPr="00622E76">
              <w:t xml:space="preserve"> dezelfde vaste voet in de bpm als elektrische personenauto’s, dus € 667 (derving: € 1 mln</w:t>
            </w:r>
            <w:r>
              <w:t>.</w:t>
            </w:r>
            <w:r w:rsidRPr="00622E76">
              <w:t>).</w:t>
            </w:r>
          </w:p>
          <w:p w:rsidRPr="00622E76" w:rsidR="00EF5B18" w:rsidP="00EF5B18" w:rsidRDefault="00EF5B18" w14:paraId="4468C705" w14:textId="33D7ABA6">
            <w:pPr>
              <w:numPr>
                <w:ilvl w:val="0"/>
                <w:numId w:val="21"/>
              </w:numPr>
              <w:tabs>
                <w:tab w:val="num" w:pos="720"/>
              </w:tabs>
              <w:spacing w:line="259" w:lineRule="auto"/>
            </w:pPr>
            <w:r w:rsidRPr="00622E76">
              <w:rPr>
                <w:b/>
                <w:bCs/>
              </w:rPr>
              <w:t>Emissievrije motorfietsen</w:t>
            </w:r>
            <w:r w:rsidRPr="00622E76">
              <w:t xml:space="preserve"> net als elektrische personenauto’s een vaste voet in de bpm, en wel € 200 (derving: € 1 mln</w:t>
            </w:r>
            <w:r>
              <w:t>.</w:t>
            </w:r>
            <w:r w:rsidR="001B3CA7">
              <w:t>)</w:t>
            </w:r>
          </w:p>
          <w:bookmarkEnd w:id="0"/>
          <w:p w:rsidR="00857B7C" w:rsidP="00857B7C" w:rsidRDefault="00857B7C" w14:paraId="6E75EB36" w14:textId="6E8238D6">
            <w:pPr>
              <w:spacing w:line="259" w:lineRule="auto"/>
            </w:pPr>
          </w:p>
        </w:tc>
      </w:tr>
    </w:tbl>
    <w:p w:rsidR="00857B7C" w:rsidP="00644D9E" w:rsidRDefault="00857B7C" w14:paraId="4409A4BF" w14:textId="77777777">
      <w:pPr>
        <w:spacing w:line="259" w:lineRule="auto"/>
      </w:pPr>
    </w:p>
    <w:p w:rsidRPr="00C36C54" w:rsidR="007D249B" w:rsidP="007D249B" w:rsidRDefault="00CA1736" w14:paraId="7BA313B2" w14:textId="259D91E6">
      <w:pPr>
        <w:pStyle w:val="Lijstalinea"/>
        <w:numPr>
          <w:ilvl w:val="0"/>
          <w:numId w:val="16"/>
        </w:numPr>
        <w:spacing w:after="160" w:line="259" w:lineRule="auto"/>
        <w:rPr>
          <w:b/>
          <w:bCs/>
        </w:rPr>
      </w:pPr>
      <w:r>
        <w:rPr>
          <w:b/>
          <w:bCs/>
        </w:rPr>
        <w:t>Extra inzet biobrandstoffen in binnenlandse mobiliteit</w:t>
      </w:r>
    </w:p>
    <w:p w:rsidR="00CA1736" w:rsidP="007D249B" w:rsidRDefault="008D77CF" w14:paraId="647C8522" w14:textId="77777777">
      <w:pPr>
        <w:pStyle w:val="Lijstalinea"/>
        <w:numPr>
          <w:ilvl w:val="0"/>
          <w:numId w:val="17"/>
        </w:numPr>
        <w:spacing w:after="160" w:line="259" w:lineRule="auto"/>
      </w:pPr>
      <w:r>
        <w:t xml:space="preserve">De </w:t>
      </w:r>
      <w:r w:rsidR="00CA1736">
        <w:t>brandstofsector heeft eerder aangegeven dat extra inzet van circa 30 PJ biobrandstoffen technisch haalbaar is.</w:t>
      </w:r>
    </w:p>
    <w:p w:rsidR="00CA1736" w:rsidP="007D249B" w:rsidRDefault="00CA1736" w14:paraId="473D30E5" w14:textId="77777777">
      <w:pPr>
        <w:pStyle w:val="Lijstalinea"/>
        <w:numPr>
          <w:ilvl w:val="0"/>
          <w:numId w:val="17"/>
        </w:numPr>
        <w:spacing w:after="160" w:line="259" w:lineRule="auto"/>
      </w:pPr>
      <w:r>
        <w:t>Er zijn drie opties uitgewerkt:</w:t>
      </w:r>
    </w:p>
    <w:p w:rsidR="00CA1736" w:rsidP="00CA1736" w:rsidRDefault="00F75BAB" w14:paraId="4DB126D4" w14:textId="0A1D2976">
      <w:pPr>
        <w:pStyle w:val="Lijstalinea"/>
        <w:numPr>
          <w:ilvl w:val="0"/>
          <w:numId w:val="20"/>
        </w:numPr>
        <w:spacing w:after="160" w:line="259" w:lineRule="auto"/>
      </w:pPr>
      <w:r>
        <w:t>Inzet biobrandstoffen voor schepen ‘wind op zee’;</w:t>
      </w:r>
    </w:p>
    <w:p w:rsidR="00F75BAB" w:rsidP="00CA1736" w:rsidRDefault="00F75BAB" w14:paraId="308E96A1" w14:textId="1E633207">
      <w:pPr>
        <w:pStyle w:val="Lijstalinea"/>
        <w:numPr>
          <w:ilvl w:val="0"/>
          <w:numId w:val="20"/>
        </w:numPr>
        <w:spacing w:after="160" w:line="259" w:lineRule="auto"/>
      </w:pPr>
      <w:r>
        <w:t>Rode diesel landbouwvoertuigen invullen met biobrandstoffen;</w:t>
      </w:r>
    </w:p>
    <w:p w:rsidR="00167528" w:rsidP="00CA1736" w:rsidRDefault="00167528" w14:paraId="7BD7F5AF" w14:textId="26F8B07D">
      <w:pPr>
        <w:pStyle w:val="Lijstalinea"/>
        <w:numPr>
          <w:ilvl w:val="0"/>
          <w:numId w:val="20"/>
        </w:numPr>
        <w:spacing w:after="160" w:line="259" w:lineRule="auto"/>
      </w:pPr>
      <w:r>
        <w:t>Verhoging jaarverplichting wegverkeer in Besluit energie vervoer.</w:t>
      </w:r>
    </w:p>
    <w:p w:rsidR="00F75BAB" w:rsidP="00D16218" w:rsidRDefault="00F75BAB" w14:paraId="7D182F8B" w14:textId="23FFACAB">
      <w:pPr>
        <w:pStyle w:val="Lijstalinea"/>
        <w:spacing w:after="160" w:line="259" w:lineRule="auto"/>
        <w:ind w:left="360"/>
      </w:pPr>
    </w:p>
    <w:p w:rsidR="00C9474D" w:rsidP="00D16218" w:rsidRDefault="00C9474D" w14:paraId="21653518" w14:textId="2BDDF92C">
      <w:pPr>
        <w:pStyle w:val="Lijstalinea"/>
        <w:numPr>
          <w:ilvl w:val="0"/>
          <w:numId w:val="17"/>
        </w:numPr>
        <w:spacing w:after="160" w:line="259" w:lineRule="auto"/>
      </w:pPr>
      <w:r>
        <w:t xml:space="preserve">Ad a: </w:t>
      </w:r>
      <w:r w:rsidR="00781134">
        <w:t>Door eisen op te nemen over CO2-emissies bij bouw- en o</w:t>
      </w:r>
      <w:r w:rsidR="00F42C2F">
        <w:t>n</w:t>
      </w:r>
      <w:r w:rsidR="00781134">
        <w:t>derhoudsschepen voor wind op zee, wordt</w:t>
      </w:r>
      <w:r w:rsidRPr="00D16218">
        <w:t xml:space="preserve"> het voor bedrijven aantrekkelijk om te varen op duurzame biobrandstoffen of om zero-emissieschepen in te zetten. </w:t>
      </w:r>
      <w:r w:rsidR="00D86527">
        <w:t>Door afspraken die met buurlanden zijn gemaakt is het niet mogelijk om de jaarverplichting hierop aan te passen, waardoor er geen extra CO2-reductie kan plaatsvinden</w:t>
      </w:r>
      <w:r>
        <w:t>.</w:t>
      </w:r>
      <w:r w:rsidRPr="00D16218" w:rsidR="00D16218">
        <w:t xml:space="preserve"> </w:t>
      </w:r>
      <w:r w:rsidR="00D86527">
        <w:t>Wel</w:t>
      </w:r>
      <w:r w:rsidR="00D16218">
        <w:t xml:space="preserve"> kan in de</w:t>
      </w:r>
      <w:r w:rsidRPr="002419EC" w:rsidR="00D16218">
        <w:t xml:space="preserve"> komende periode word</w:t>
      </w:r>
      <w:r w:rsidR="00D16218">
        <w:t>en</w:t>
      </w:r>
      <w:r w:rsidRPr="002419EC" w:rsidR="00D16218">
        <w:t xml:space="preserve"> onderzocht in hoeverre biobrandstoffen bij aanleg en onderhoud van windparken op zee kunnen worden ingezet </w:t>
      </w:r>
      <w:r w:rsidR="00D16218">
        <w:t xml:space="preserve">in de periode na </w:t>
      </w:r>
      <w:r w:rsidRPr="002419EC" w:rsidR="00D16218">
        <w:t xml:space="preserve">2030. Daarbij </w:t>
      </w:r>
      <w:r w:rsidR="00D16218">
        <w:t>kan worden</w:t>
      </w:r>
      <w:r w:rsidRPr="002419EC" w:rsidR="00D16218">
        <w:t xml:space="preserve"> gekeken naar de mogelijkheden om biobrandstoffen onderdeel te maken van toekomstige wind op zee vergunningsregelingen</w:t>
      </w:r>
      <w:r w:rsidR="00D16218">
        <w:t>.</w:t>
      </w:r>
    </w:p>
    <w:p w:rsidRPr="00C9474D" w:rsidR="008D77CF" w:rsidP="007D249B" w:rsidRDefault="00C9474D" w14:paraId="5DFD19BD" w14:textId="7F42D314">
      <w:pPr>
        <w:pStyle w:val="Lijstalinea"/>
        <w:numPr>
          <w:ilvl w:val="0"/>
          <w:numId w:val="17"/>
        </w:numPr>
        <w:spacing w:after="160" w:line="259" w:lineRule="auto"/>
      </w:pPr>
      <w:r>
        <w:t>Ad b:</w:t>
      </w:r>
      <w:r w:rsidRPr="00C9474D" w:rsidR="008D77CF">
        <w:t xml:space="preserve"> </w:t>
      </w:r>
      <w:r>
        <w:t xml:space="preserve">Met dit voorstel wordt gekozen </w:t>
      </w:r>
      <w:r w:rsidRPr="00D16218">
        <w:t>voor</w:t>
      </w:r>
      <w:r>
        <w:t xml:space="preserve"> de inzet van</w:t>
      </w:r>
      <w:r w:rsidRPr="00D16218">
        <w:t xml:space="preserve"> hernieuwbare diesel (HVO100: 100% </w:t>
      </w:r>
      <w:proofErr w:type="spellStart"/>
      <w:r w:rsidRPr="00D16218">
        <w:t>Hydrotreated</w:t>
      </w:r>
      <w:proofErr w:type="spellEnd"/>
      <w:r w:rsidRPr="00D16218">
        <w:t xml:space="preserve"> </w:t>
      </w:r>
      <w:proofErr w:type="spellStart"/>
      <w:r w:rsidRPr="00D16218">
        <w:t>Vegetable</w:t>
      </w:r>
      <w:proofErr w:type="spellEnd"/>
      <w:r w:rsidRPr="00D16218">
        <w:t xml:space="preserve"> Oil) en niet voor fossiele diesel. </w:t>
      </w:r>
      <w:r w:rsidR="00D86527">
        <w:t xml:space="preserve">Hier spelen echter grote knelpunten in de uitvoerbaarheid. </w:t>
      </w:r>
      <w:r w:rsidRPr="00D16218">
        <w:rPr>
          <w:b/>
          <w:bCs/>
          <w:i/>
          <w:iCs/>
        </w:rPr>
        <w:t>(OPM: op 14 maart is hierover een apart BWO)</w:t>
      </w:r>
      <w:r>
        <w:t xml:space="preserve">  </w:t>
      </w:r>
    </w:p>
    <w:p w:rsidRPr="00066564" w:rsidR="007D249B" w:rsidP="007D249B" w:rsidRDefault="00C9474D" w14:paraId="65E6181F" w14:textId="1E99BB8B">
      <w:pPr>
        <w:pStyle w:val="Lijstalinea"/>
        <w:numPr>
          <w:ilvl w:val="0"/>
          <w:numId w:val="17"/>
        </w:numPr>
        <w:spacing w:after="160" w:line="259" w:lineRule="auto"/>
      </w:pPr>
      <w:r>
        <w:t xml:space="preserve">Ad c: </w:t>
      </w:r>
      <w:r w:rsidR="00D86527">
        <w:t xml:space="preserve">Een aparte </w:t>
      </w:r>
      <w:r w:rsidRPr="0049442C" w:rsidR="007D249B">
        <w:t>verhoging van de jaarverplichting zal leiden tot een lichte verhoging van de prijs van benzine en diesel. Dit is afhankelijk met de mate waarin de jaarverplichting wordt verhoogd en bedraagt</w:t>
      </w:r>
      <w:r w:rsidR="00D36075">
        <w:t xml:space="preserve"> per 0,1 </w:t>
      </w:r>
      <w:proofErr w:type="spellStart"/>
      <w:r w:rsidR="00D36075">
        <w:t>Mton</w:t>
      </w:r>
      <w:proofErr w:type="spellEnd"/>
      <w:r w:rsidR="00D36075">
        <w:t xml:space="preserve"> ophoging </w:t>
      </w:r>
      <w:r w:rsidRPr="0049442C" w:rsidR="007D249B">
        <w:t xml:space="preserve">ongeveer </w:t>
      </w:r>
      <w:r w:rsidR="00D36075">
        <w:t xml:space="preserve">0,075 </w:t>
      </w:r>
      <w:r w:rsidRPr="0049442C" w:rsidR="007D249B">
        <w:t>liter. Deze kan desgewenst worden gecompenseerd door een accijnskorting</w:t>
      </w:r>
      <w:r w:rsidR="007D249B">
        <w:t xml:space="preserve">, maar hiervoor zijn geen middelen gereserveerd. </w:t>
      </w:r>
      <w:r w:rsidR="00D36075">
        <w:t>Per tiende cent compensatie kost een accijnsverlaging ongeveer 10 miljoen per jaar.</w:t>
      </w:r>
    </w:p>
    <w:tbl>
      <w:tblPr>
        <w:tblStyle w:val="Tabelraster"/>
        <w:tblW w:w="0" w:type="auto"/>
        <w:tblInd w:w="-113" w:type="dxa"/>
        <w:tblLook w:val="04A0" w:firstRow="1" w:lastRow="0" w:firstColumn="1" w:lastColumn="0" w:noHBand="0" w:noVBand="1"/>
      </w:tblPr>
      <w:tblGrid>
        <w:gridCol w:w="7519"/>
      </w:tblGrid>
      <w:tr w:rsidR="007D249B" w:rsidTr="006A5C10" w14:paraId="7FDB7BD7" w14:textId="77777777">
        <w:tc>
          <w:tcPr>
            <w:tcW w:w="7519" w:type="dxa"/>
            <w:vAlign w:val="center"/>
          </w:tcPr>
          <w:p w:rsidR="007D249B" w:rsidP="006A5C10" w:rsidRDefault="007D249B" w14:paraId="473844E3" w14:textId="77777777">
            <w:pPr>
              <w:spacing w:after="160" w:line="259" w:lineRule="auto"/>
              <w:rPr>
                <w:u w:val="single"/>
              </w:rPr>
            </w:pPr>
            <w:r>
              <w:rPr>
                <w:u w:val="single"/>
              </w:rPr>
              <w:lastRenderedPageBreak/>
              <w:t>Bespreekpunten:</w:t>
            </w:r>
          </w:p>
          <w:p w:rsidR="00535A9E" w:rsidP="00535A9E" w:rsidRDefault="00535A9E" w14:paraId="21E09D82" w14:textId="77777777">
            <w:pPr>
              <w:pStyle w:val="Lijstalinea"/>
              <w:numPr>
                <w:ilvl w:val="0"/>
                <w:numId w:val="11"/>
              </w:numPr>
              <w:rPr>
                <w:i/>
                <w:iCs/>
              </w:rPr>
            </w:pPr>
            <w:r>
              <w:rPr>
                <w:i/>
                <w:iCs/>
              </w:rPr>
              <w:t xml:space="preserve">Kunt u instemmen met het voorstel van KGG om het sectordoel met een additionele 1,7 </w:t>
            </w:r>
            <w:proofErr w:type="spellStart"/>
            <w:r>
              <w:rPr>
                <w:i/>
                <w:iCs/>
              </w:rPr>
              <w:t>Mton</w:t>
            </w:r>
            <w:proofErr w:type="spellEnd"/>
            <w:r>
              <w:rPr>
                <w:i/>
                <w:iCs/>
              </w:rPr>
              <w:t xml:space="preserve"> aan biobrandstoffen in de binnenlandse mobiliteit in te vullen, via een separate ophoging van de jaarverplichting (optie c)?</w:t>
            </w:r>
          </w:p>
          <w:p w:rsidRPr="002F590E" w:rsidR="007D249B" w:rsidP="00D16218" w:rsidRDefault="00D86527" w14:paraId="0EAF8DB1" w14:textId="73C6CB5B">
            <w:pPr>
              <w:pStyle w:val="Lijstalinea"/>
              <w:numPr>
                <w:ilvl w:val="0"/>
                <w:numId w:val="11"/>
              </w:numPr>
              <w:rPr>
                <w:i/>
                <w:iCs/>
              </w:rPr>
            </w:pPr>
            <w:r>
              <w:rPr>
                <w:i/>
                <w:iCs/>
              </w:rPr>
              <w:t>Hoe kijkt u aan tegen de resulterende lastenstijging?</w:t>
            </w:r>
          </w:p>
        </w:tc>
      </w:tr>
    </w:tbl>
    <w:p w:rsidRPr="004C6633" w:rsidR="007D249B" w:rsidP="0097598D" w:rsidRDefault="007D249B" w14:paraId="619FA2F7" w14:textId="77777777">
      <w:pPr>
        <w:spacing w:line="259" w:lineRule="auto"/>
      </w:pPr>
    </w:p>
    <w:p w:rsidR="007D249B" w:rsidP="007D249B" w:rsidRDefault="007D249B" w14:paraId="443BB9E4" w14:textId="77777777">
      <w:pPr>
        <w:pStyle w:val="Lijstalinea"/>
        <w:numPr>
          <w:ilvl w:val="0"/>
          <w:numId w:val="16"/>
        </w:numPr>
        <w:spacing w:after="160" w:line="259" w:lineRule="auto"/>
        <w:rPr>
          <w:b/>
          <w:bCs/>
        </w:rPr>
      </w:pPr>
      <w:r w:rsidRPr="001877F6">
        <w:rPr>
          <w:b/>
          <w:bCs/>
        </w:rPr>
        <w:t>Ontwerp-MJP2026 Klimaatfonds</w:t>
      </w:r>
    </w:p>
    <w:p w:rsidRPr="00797F60" w:rsidR="007D249B" w:rsidP="007D249B" w:rsidRDefault="007D249B" w14:paraId="425749B4" w14:textId="7BF7D0DC">
      <w:pPr>
        <w:pStyle w:val="Lijstalinea"/>
        <w:numPr>
          <w:ilvl w:val="0"/>
          <w:numId w:val="9"/>
        </w:numPr>
        <w:rPr>
          <w:i/>
          <w:iCs/>
        </w:rPr>
      </w:pPr>
      <w:r>
        <w:rPr>
          <w:szCs w:val="18"/>
        </w:rPr>
        <w:t xml:space="preserve">In de bijlage is een overzicht opgenomen van de beoordeling van het Klimaatfonds </w:t>
      </w:r>
      <w:r w:rsidR="00C9474D">
        <w:rPr>
          <w:szCs w:val="18"/>
        </w:rPr>
        <w:t xml:space="preserve">die </w:t>
      </w:r>
      <w:r>
        <w:rPr>
          <w:szCs w:val="18"/>
        </w:rPr>
        <w:t>n.a.v. de reflectie van het PBL en TNO</w:t>
      </w:r>
      <w:r w:rsidR="00C9474D">
        <w:rPr>
          <w:szCs w:val="18"/>
        </w:rPr>
        <w:t xml:space="preserve"> op onderdelen is gewijzigd</w:t>
      </w:r>
      <w:r>
        <w:rPr>
          <w:szCs w:val="18"/>
        </w:rPr>
        <w:t xml:space="preserve">. </w:t>
      </w:r>
    </w:p>
    <w:p w:rsidRPr="00797F60" w:rsidR="007D249B" w:rsidP="007D249B" w:rsidRDefault="007D249B" w14:paraId="29B34B1E" w14:textId="77777777">
      <w:pPr>
        <w:rPr>
          <w:i/>
          <w:iCs/>
        </w:rPr>
      </w:pPr>
      <w:r w:rsidRPr="00797F60">
        <w:rPr>
          <w:szCs w:val="18"/>
        </w:rPr>
        <w:t xml:space="preserve"> </w:t>
      </w:r>
    </w:p>
    <w:tbl>
      <w:tblPr>
        <w:tblStyle w:val="Tabelraster"/>
        <w:tblW w:w="0" w:type="auto"/>
        <w:tblLook w:val="04A0" w:firstRow="1" w:lastRow="0" w:firstColumn="1" w:lastColumn="0" w:noHBand="0" w:noVBand="1"/>
      </w:tblPr>
      <w:tblGrid>
        <w:gridCol w:w="7519"/>
      </w:tblGrid>
      <w:tr w:rsidRPr="00BA4B3D" w:rsidR="007D249B" w:rsidTr="004B0DCB" w14:paraId="7F123944" w14:textId="77777777">
        <w:tc>
          <w:tcPr>
            <w:tcW w:w="7519" w:type="dxa"/>
          </w:tcPr>
          <w:p w:rsidRPr="00BA4B3D" w:rsidR="007D249B" w:rsidP="004B0DCB" w:rsidRDefault="007D249B" w14:paraId="5E5597BC" w14:textId="77777777">
            <w:pPr>
              <w:spacing w:after="160" w:line="259" w:lineRule="auto"/>
              <w:rPr>
                <w:u w:val="single"/>
              </w:rPr>
            </w:pPr>
            <w:r w:rsidRPr="00BA4B3D">
              <w:rPr>
                <w:u w:val="single"/>
              </w:rPr>
              <w:t>Bespreekpunten:</w:t>
            </w:r>
          </w:p>
          <w:p w:rsidRPr="00BA4B3D" w:rsidR="007D249B" w:rsidP="004B0DCB" w:rsidRDefault="007D249B" w14:paraId="14AAFF56" w14:textId="6D147145">
            <w:pPr>
              <w:pStyle w:val="Lijstalinea"/>
              <w:numPr>
                <w:ilvl w:val="0"/>
                <w:numId w:val="11"/>
              </w:numPr>
              <w:rPr>
                <w:i/>
                <w:iCs/>
              </w:rPr>
            </w:pPr>
            <w:r w:rsidRPr="00BA4B3D">
              <w:rPr>
                <w:i/>
                <w:iCs/>
              </w:rPr>
              <w:t>Heeft u aandachtspunten t.a.v. de</w:t>
            </w:r>
            <w:r w:rsidRPr="00BA4B3D" w:rsidR="00C9474D">
              <w:rPr>
                <w:i/>
                <w:iCs/>
              </w:rPr>
              <w:t xml:space="preserve"> beoordeling over de toekenning van</w:t>
            </w:r>
            <w:r w:rsidRPr="00BA4B3D">
              <w:rPr>
                <w:i/>
                <w:iCs/>
              </w:rPr>
              <w:t xml:space="preserve"> middelen </w:t>
            </w:r>
            <w:r w:rsidRPr="00BA4B3D" w:rsidR="00C9474D">
              <w:rPr>
                <w:i/>
                <w:iCs/>
              </w:rPr>
              <w:t>uit</w:t>
            </w:r>
            <w:r w:rsidRPr="00BA4B3D">
              <w:rPr>
                <w:i/>
                <w:iCs/>
              </w:rPr>
              <w:t xml:space="preserve"> het Klimaatfonds.</w:t>
            </w:r>
          </w:p>
        </w:tc>
      </w:tr>
    </w:tbl>
    <w:p w:rsidR="007D249B" w:rsidP="007D249B" w:rsidRDefault="007D249B" w14:paraId="792BDA4A" w14:textId="77777777">
      <w:pPr>
        <w:pStyle w:val="Lijstalinea"/>
      </w:pPr>
    </w:p>
    <w:p w:rsidRPr="00D03088" w:rsidR="007D249B" w:rsidP="007D249B" w:rsidRDefault="00FE5DB0" w14:paraId="22623B00" w14:textId="4A49CE06">
      <w:pPr>
        <w:pStyle w:val="Lijstalinea"/>
        <w:numPr>
          <w:ilvl w:val="0"/>
          <w:numId w:val="16"/>
        </w:numPr>
        <w:spacing w:after="160" w:line="259" w:lineRule="auto"/>
        <w:rPr>
          <w:b/>
          <w:bCs/>
        </w:rPr>
      </w:pPr>
      <w:r>
        <w:rPr>
          <w:b/>
          <w:bCs/>
        </w:rPr>
        <w:t>Differentiatie naar afstand van het tarief van de</w:t>
      </w:r>
      <w:r w:rsidR="000D0DA1">
        <w:rPr>
          <w:b/>
          <w:bCs/>
        </w:rPr>
        <w:t xml:space="preserve"> v</w:t>
      </w:r>
      <w:r w:rsidRPr="00D03088" w:rsidR="007D249B">
        <w:rPr>
          <w:b/>
          <w:bCs/>
        </w:rPr>
        <w:t>liegbelasting</w:t>
      </w:r>
    </w:p>
    <w:p w:rsidR="00EC3908" w:rsidP="00EC3908" w:rsidRDefault="00FC4137" w14:paraId="7668BE46" w14:textId="77777777">
      <w:pPr>
        <w:pStyle w:val="Lijstalinea"/>
        <w:numPr>
          <w:ilvl w:val="0"/>
          <w:numId w:val="11"/>
        </w:numPr>
      </w:pPr>
      <w:r w:rsidRPr="00FC4137">
        <w:t>In het Hoofdlijnenakkoord is afgesproken om de vliegbelasting te verhogen en het tarief te differentiëren naar afstand.</w:t>
      </w:r>
      <w:r w:rsidR="00FE5DB0">
        <w:t xml:space="preserve"> </w:t>
      </w:r>
    </w:p>
    <w:p w:rsidR="00EC3908" w:rsidP="00EC3908" w:rsidRDefault="00FE5DB0" w14:paraId="346E6E4B" w14:textId="77777777">
      <w:pPr>
        <w:pStyle w:val="Lijstalinea"/>
        <w:numPr>
          <w:ilvl w:val="0"/>
          <w:numId w:val="11"/>
        </w:numPr>
      </w:pPr>
      <w:r>
        <w:t>De afgelopen maanden is ambtelijk gekeken naar de vormgeving en maatvoering van de maatregel</w:t>
      </w:r>
      <w:r w:rsidR="001E65C9">
        <w:t xml:space="preserve">. </w:t>
      </w:r>
    </w:p>
    <w:p w:rsidR="00FC4137" w:rsidP="00EC3908" w:rsidRDefault="001E65C9" w14:paraId="4814D3ED" w14:textId="0C719C3E">
      <w:pPr>
        <w:pStyle w:val="Lijstalinea"/>
        <w:numPr>
          <w:ilvl w:val="0"/>
          <w:numId w:val="11"/>
        </w:numPr>
      </w:pPr>
      <w:r>
        <w:t xml:space="preserve">Om de </w:t>
      </w:r>
      <w:r w:rsidR="00EC3908">
        <w:t>beleidseffecten van verschillende varianten in kaart te brengen is onderzoek uitgevoerd door CE Delft.</w:t>
      </w:r>
    </w:p>
    <w:p w:rsidR="00EC3908" w:rsidP="00EC3908" w:rsidRDefault="00EC3908" w14:paraId="045ECBBF" w14:textId="79CCF391">
      <w:pPr>
        <w:pStyle w:val="Lijstalinea"/>
        <w:numPr>
          <w:ilvl w:val="0"/>
          <w:numId w:val="11"/>
        </w:numPr>
      </w:pPr>
      <w:r>
        <w:t>Verder is intensief gesproken met stakeholders om hun zienswijzen op te halen. Enerzijds via een-op-een gesprekken met primaire stakeholders, anderzijds in breder verband via een Internetconsultatie (8326 reacties).</w:t>
      </w:r>
    </w:p>
    <w:p w:rsidRPr="00FC4137" w:rsidR="00FC4137" w:rsidP="00FC4137" w:rsidRDefault="00FC4137" w14:paraId="6212FCEB" w14:textId="77777777"/>
    <w:tbl>
      <w:tblPr>
        <w:tblStyle w:val="Tabelraster"/>
        <w:tblW w:w="0" w:type="auto"/>
        <w:tblLook w:val="04A0" w:firstRow="1" w:lastRow="0" w:firstColumn="1" w:lastColumn="0" w:noHBand="0" w:noVBand="1"/>
      </w:tblPr>
      <w:tblGrid>
        <w:gridCol w:w="7519"/>
      </w:tblGrid>
      <w:tr w:rsidRPr="00FC4137" w:rsidR="00FC4137" w:rsidTr="00FC4137" w14:paraId="40C752FF" w14:textId="77777777">
        <w:tc>
          <w:tcPr>
            <w:tcW w:w="7519" w:type="dxa"/>
            <w:tcBorders>
              <w:top w:val="single" w:color="auto" w:sz="4" w:space="0"/>
              <w:left w:val="single" w:color="auto" w:sz="4" w:space="0"/>
              <w:bottom w:val="single" w:color="auto" w:sz="4" w:space="0"/>
              <w:right w:val="single" w:color="auto" w:sz="4" w:space="0"/>
            </w:tcBorders>
          </w:tcPr>
          <w:p w:rsidRPr="00650EF6" w:rsidR="00FC4137" w:rsidP="00FC4137" w:rsidRDefault="00FC4137" w14:paraId="0D7DAAB3" w14:textId="77777777">
            <w:pPr>
              <w:rPr>
                <w:u w:val="single"/>
              </w:rPr>
            </w:pPr>
            <w:r w:rsidRPr="00650EF6">
              <w:rPr>
                <w:u w:val="single"/>
              </w:rPr>
              <w:t>Beslispunt</w:t>
            </w:r>
          </w:p>
          <w:p w:rsidR="00FE5DB0" w:rsidP="00FE5DB0" w:rsidRDefault="00FE5DB0" w14:paraId="1C6C68B9" w14:textId="77777777">
            <w:r w:rsidRPr="00127345">
              <w:t>Gaat u akkoord met de volgende uitwerking van de vliegbelasting voor het Belastingplan 2026:</w:t>
            </w:r>
          </w:p>
          <w:p w:rsidR="00FE5DB0" w:rsidP="00FE5DB0" w:rsidRDefault="00FE5DB0" w14:paraId="05FA3091" w14:textId="1491F05A">
            <w:pPr>
              <w:pStyle w:val="Lijstalinea"/>
              <w:numPr>
                <w:ilvl w:val="0"/>
                <w:numId w:val="27"/>
              </w:numPr>
              <w:autoSpaceDN w:val="0"/>
              <w:spacing w:line="240" w:lineRule="exact"/>
              <w:textAlignment w:val="baseline"/>
            </w:pPr>
            <w:r>
              <w:t xml:space="preserve">Het tarief wordt gebaseerd op de afstand tot de </w:t>
            </w:r>
            <w:r w:rsidRPr="00127345">
              <w:rPr>
                <w:b/>
                <w:bCs/>
              </w:rPr>
              <w:t xml:space="preserve">eindbestemming </w:t>
            </w:r>
            <w:r>
              <w:t>van de passagier (en niet de eerstvolgende bestemming)</w:t>
            </w:r>
            <w:r w:rsidR="00CF4534">
              <w:t>, waarbij de luchthavenexploitanten belastingplichtig blijven</w:t>
            </w:r>
            <w:r>
              <w:t>;</w:t>
            </w:r>
          </w:p>
          <w:p w:rsidR="001E65C9" w:rsidP="001E65C9" w:rsidRDefault="001E65C9" w14:paraId="5073AAFB" w14:textId="3E346342">
            <w:pPr>
              <w:pStyle w:val="Lijstalinea"/>
              <w:numPr>
                <w:ilvl w:val="0"/>
                <w:numId w:val="27"/>
              </w:numPr>
              <w:autoSpaceDN w:val="0"/>
              <w:spacing w:line="240" w:lineRule="exact"/>
              <w:textAlignment w:val="baseline"/>
            </w:pPr>
            <w:r>
              <w:t xml:space="preserve">Het tarief wordt </w:t>
            </w:r>
            <w:r w:rsidRPr="00B1337D">
              <w:rPr>
                <w:b/>
                <w:bCs/>
              </w:rPr>
              <w:t>trapsgewijs, progressief</w:t>
            </w:r>
            <w:r>
              <w:t xml:space="preserve"> gedifferentieerd naar afstand. Hierbij geldt dat verre vluchten hoger belast worden.</w:t>
            </w:r>
          </w:p>
          <w:p w:rsidR="00FE5DB0" w:rsidP="00FE5DB0" w:rsidRDefault="00FE5DB0" w14:paraId="6A25D65B" w14:textId="77777777">
            <w:pPr>
              <w:pStyle w:val="Lijstalinea"/>
              <w:numPr>
                <w:ilvl w:val="0"/>
                <w:numId w:val="27"/>
              </w:numPr>
              <w:autoSpaceDN w:val="0"/>
              <w:spacing w:line="240" w:lineRule="exact"/>
              <w:textAlignment w:val="baseline"/>
            </w:pPr>
            <w:r>
              <w:t xml:space="preserve">De grondslag van de vliegbelasting wordt </w:t>
            </w:r>
            <w:r w:rsidRPr="00127345">
              <w:rPr>
                <w:b/>
                <w:bCs/>
              </w:rPr>
              <w:t>niet verbreed naar transferpassagiers</w:t>
            </w:r>
            <w:r>
              <w:t>. Transferpassagiers blijven dus uitgezonderd;</w:t>
            </w:r>
          </w:p>
          <w:p w:rsidR="00FE5DB0" w:rsidP="00FE5DB0" w:rsidRDefault="00FE5DB0" w14:paraId="489D5D4A" w14:textId="1CE4C546">
            <w:pPr>
              <w:pStyle w:val="Lijstalinea"/>
              <w:numPr>
                <w:ilvl w:val="0"/>
                <w:numId w:val="27"/>
              </w:numPr>
              <w:autoSpaceDN w:val="0"/>
              <w:spacing w:line="240" w:lineRule="exact"/>
              <w:textAlignment w:val="baseline"/>
            </w:pPr>
            <w:r>
              <w:t xml:space="preserve">De </w:t>
            </w:r>
            <w:r w:rsidRPr="00127345">
              <w:rPr>
                <w:b/>
                <w:bCs/>
              </w:rPr>
              <w:t>Caribische delen van het Koninkrijk</w:t>
            </w:r>
            <w:r>
              <w:t xml:space="preserve"> worden belast tegen </w:t>
            </w:r>
            <w:r w:rsidRPr="00127345">
              <w:rPr>
                <w:b/>
                <w:bCs/>
              </w:rPr>
              <w:t xml:space="preserve">het laagste tarief </w:t>
            </w:r>
            <w:r>
              <w:t>(gelijk aan het huidige vlaktarief</w:t>
            </w:r>
            <w:r w:rsidR="001E65C9">
              <w:t xml:space="preserve"> incl. inflatiecorrectie</w:t>
            </w:r>
            <w:r>
              <w:t>);</w:t>
            </w:r>
          </w:p>
          <w:p w:rsidR="00FE5DB0" w:rsidP="00FE5DB0" w:rsidRDefault="00FE5DB0" w14:paraId="5810BFDD" w14:textId="77777777">
            <w:pPr>
              <w:pStyle w:val="Lijstalinea"/>
              <w:numPr>
                <w:ilvl w:val="0"/>
                <w:numId w:val="27"/>
              </w:numPr>
              <w:autoSpaceDN w:val="0"/>
              <w:spacing w:line="240" w:lineRule="exact"/>
              <w:textAlignment w:val="baseline"/>
            </w:pPr>
            <w:r>
              <w:t>De exacte tarieven en afstandsindeling worden nog nader uitgewerkt, waarna definitieve besluitvorming kan plaatsvinden.</w:t>
            </w:r>
          </w:p>
          <w:p w:rsidRPr="00FC4137" w:rsidR="00FC4137" w:rsidP="00650EF6" w:rsidRDefault="00FC4137" w14:paraId="4C785E52" w14:textId="77777777"/>
        </w:tc>
      </w:tr>
    </w:tbl>
    <w:p w:rsidRPr="000502E9" w:rsidR="007D249B" w:rsidP="007D249B" w:rsidRDefault="007D249B" w14:paraId="4227F667" w14:textId="77777777"/>
    <w:p w:rsidR="007D249B" w:rsidP="00644D9E" w:rsidRDefault="007D249B" w14:paraId="31C741DD" w14:textId="77777777"/>
    <w:p w:rsidRPr="00DA65D0" w:rsidR="00DA65D0" w:rsidP="00DA65D0" w:rsidRDefault="007D249B" w14:paraId="230003CD" w14:textId="02442FBF">
      <w:pPr>
        <w:pStyle w:val="Lijstalinea"/>
        <w:numPr>
          <w:ilvl w:val="0"/>
          <w:numId w:val="16"/>
        </w:numPr>
        <w:spacing w:after="160" w:line="259" w:lineRule="auto"/>
        <w:rPr>
          <w:b/>
          <w:bCs/>
        </w:rPr>
      </w:pPr>
      <w:r w:rsidRPr="001877F6">
        <w:rPr>
          <w:b/>
          <w:bCs/>
        </w:rPr>
        <w:t>Raffinageroute</w:t>
      </w:r>
    </w:p>
    <w:p w:rsidRPr="00E474D9" w:rsidR="00E474D9" w:rsidP="00E474D9" w:rsidRDefault="00E474D9" w14:paraId="78E4E3C9" w14:textId="5573276A">
      <w:pPr>
        <w:pStyle w:val="Lijstalinea"/>
        <w:numPr>
          <w:ilvl w:val="0"/>
          <w:numId w:val="19"/>
        </w:numPr>
        <w:spacing w:line="240" w:lineRule="auto"/>
        <w:rPr>
          <w:szCs w:val="18"/>
        </w:rPr>
      </w:pPr>
      <w:r w:rsidRPr="00E474D9">
        <w:rPr>
          <w:szCs w:val="18"/>
        </w:rPr>
        <w:t>De Europese RED-III verordening verplicht brandstofleveranciers om een toenemend aandeel aan hernieuwbare energiedragers te leveren. Ook voor waterstof in mobiliteit (</w:t>
      </w:r>
      <w:proofErr w:type="spellStart"/>
      <w:r w:rsidRPr="00E474D9">
        <w:rPr>
          <w:szCs w:val="18"/>
        </w:rPr>
        <w:t>RFNBO's</w:t>
      </w:r>
      <w:proofErr w:type="spellEnd"/>
      <w:r w:rsidRPr="00E474D9">
        <w:rPr>
          <w:szCs w:val="18"/>
        </w:rPr>
        <w:t>) is er een verplichting.</w:t>
      </w:r>
      <w:r w:rsidR="005E5A78">
        <w:rPr>
          <w:szCs w:val="18"/>
        </w:rPr>
        <w:t xml:space="preserve"> </w:t>
      </w:r>
    </w:p>
    <w:p w:rsidRPr="00E474D9" w:rsidR="00E474D9" w:rsidP="00E474D9" w:rsidRDefault="00E474D9" w14:paraId="00039D7E" w14:textId="6A39B774">
      <w:pPr>
        <w:pStyle w:val="Lijstalinea"/>
        <w:numPr>
          <w:ilvl w:val="0"/>
          <w:numId w:val="19"/>
        </w:numPr>
        <w:spacing w:line="240" w:lineRule="auto"/>
        <w:rPr>
          <w:szCs w:val="18"/>
        </w:rPr>
      </w:pPr>
      <w:r w:rsidRPr="00E474D9">
        <w:rPr>
          <w:szCs w:val="18"/>
        </w:rPr>
        <w:t xml:space="preserve">De raffinageroute is een alternatieve manier om de RFNBO-verplichting in te vullen. Deze behelst inzet van groene waterstof in de raffinage van (fossiele) brandstoffen. De raffinageroute telt wel als invulling van de Europese </w:t>
      </w:r>
      <w:r w:rsidRPr="00E474D9">
        <w:rPr>
          <w:szCs w:val="18"/>
        </w:rPr>
        <w:lastRenderedPageBreak/>
        <w:t>verplichting,</w:t>
      </w:r>
      <w:r w:rsidR="005E5A78">
        <w:rPr>
          <w:szCs w:val="18"/>
        </w:rPr>
        <w:t xml:space="preserve"> omdat raffinaderijen in de RED-systematiek onderdeel zijn van de transportsector (voor het brandstoffendeel).</w:t>
      </w:r>
      <w:r w:rsidRPr="00E474D9">
        <w:rPr>
          <w:szCs w:val="18"/>
        </w:rPr>
        <w:t xml:space="preserve"> </w:t>
      </w:r>
      <w:r w:rsidR="005E5A78">
        <w:rPr>
          <w:szCs w:val="18"/>
        </w:rPr>
        <w:t>N</w:t>
      </w:r>
      <w:r w:rsidRPr="00E474D9">
        <w:rPr>
          <w:szCs w:val="18"/>
        </w:rPr>
        <w:t xml:space="preserve">ationaal </w:t>
      </w:r>
      <w:r w:rsidR="005E5A78">
        <w:rPr>
          <w:szCs w:val="18"/>
        </w:rPr>
        <w:t>wordt</w:t>
      </w:r>
      <w:r w:rsidRPr="00E474D9">
        <w:rPr>
          <w:szCs w:val="18"/>
        </w:rPr>
        <w:t xml:space="preserve"> CO2-reductie toegerekend aan de sector industrie, niet aan de sector mobiliteit.</w:t>
      </w:r>
      <w:r w:rsidR="005E5A78">
        <w:rPr>
          <w:szCs w:val="18"/>
        </w:rPr>
        <w:t xml:space="preserve"> </w:t>
      </w:r>
    </w:p>
    <w:p w:rsidRPr="00E474D9" w:rsidR="00E474D9" w:rsidP="00E474D9" w:rsidRDefault="00E474D9" w14:paraId="25BDADD6" w14:textId="3A49FF53">
      <w:pPr>
        <w:pStyle w:val="Lijstalinea"/>
        <w:numPr>
          <w:ilvl w:val="0"/>
          <w:numId w:val="19"/>
        </w:numPr>
        <w:spacing w:line="240" w:lineRule="auto"/>
        <w:rPr>
          <w:szCs w:val="18"/>
        </w:rPr>
      </w:pPr>
      <w:r w:rsidRPr="00E474D9">
        <w:rPr>
          <w:szCs w:val="18"/>
        </w:rPr>
        <w:t xml:space="preserve">Vorig jaar april heeft </w:t>
      </w:r>
      <w:r>
        <w:rPr>
          <w:szCs w:val="18"/>
        </w:rPr>
        <w:t>de</w:t>
      </w:r>
      <w:r w:rsidRPr="00E474D9">
        <w:rPr>
          <w:szCs w:val="18"/>
        </w:rPr>
        <w:t xml:space="preserve"> toenmalige staatssecretaris van </w:t>
      </w:r>
      <w:proofErr w:type="spellStart"/>
      <w:r w:rsidRPr="00E474D9">
        <w:rPr>
          <w:szCs w:val="18"/>
        </w:rPr>
        <w:t>IenW</w:t>
      </w:r>
      <w:proofErr w:type="spellEnd"/>
      <w:r w:rsidRPr="00E474D9">
        <w:rPr>
          <w:szCs w:val="18"/>
        </w:rPr>
        <w:t xml:space="preserve"> aangekondigd dat er ruimte komt voor de raffinageroute, maar wel met een correctiefactor om een gelijk speelveld te creëren tussen directe inzet in mobiliteit en de raffinageroute. In oktober heeft de huidige staatssecretaris </w:t>
      </w:r>
      <w:r>
        <w:rPr>
          <w:szCs w:val="18"/>
        </w:rPr>
        <w:t xml:space="preserve">van </w:t>
      </w:r>
      <w:proofErr w:type="spellStart"/>
      <w:r>
        <w:rPr>
          <w:szCs w:val="18"/>
        </w:rPr>
        <w:t>IenW</w:t>
      </w:r>
      <w:proofErr w:type="spellEnd"/>
      <w:r>
        <w:rPr>
          <w:szCs w:val="18"/>
        </w:rPr>
        <w:t xml:space="preserve"> </w:t>
      </w:r>
      <w:r w:rsidRPr="00E474D9">
        <w:rPr>
          <w:szCs w:val="18"/>
        </w:rPr>
        <w:t>op basis van onderzoek door TNO een correctiefactor van 0,4 voorgesteld.</w:t>
      </w:r>
      <w:r w:rsidR="005E5A78">
        <w:rPr>
          <w:szCs w:val="18"/>
        </w:rPr>
        <w:t xml:space="preserve"> De correctiefactor compenseert daarmee voor de hogere kosten van directe inzet </w:t>
      </w:r>
      <w:r w:rsidRPr="00E474D9">
        <w:rPr>
          <w:szCs w:val="18"/>
        </w:rPr>
        <w:t xml:space="preserve"> </w:t>
      </w:r>
      <w:r w:rsidR="005E5A78">
        <w:rPr>
          <w:szCs w:val="18"/>
        </w:rPr>
        <w:t>ten opzichte van de raffinageroute.</w:t>
      </w:r>
    </w:p>
    <w:p w:rsidRPr="00E474D9" w:rsidR="00E474D9" w:rsidP="00E474D9" w:rsidRDefault="00E474D9" w14:paraId="78C2B405" w14:textId="77777777">
      <w:pPr>
        <w:pStyle w:val="Lijstalinea"/>
        <w:numPr>
          <w:ilvl w:val="0"/>
          <w:numId w:val="19"/>
        </w:numPr>
        <w:spacing w:line="240" w:lineRule="auto"/>
        <w:rPr>
          <w:szCs w:val="18"/>
        </w:rPr>
      </w:pPr>
      <w:r w:rsidRPr="00E474D9">
        <w:rPr>
          <w:szCs w:val="18"/>
        </w:rPr>
        <w:t xml:space="preserve">De Tweede Kamer (motie Bontenbal/Vermeer) heeft de regering in november verzocht "met spoed te onderzoeken hoe de raffinageroute (inclusief de correctiefactor) eruit moet zien om maximaal bij te dragen aan de verduurzamingsdoelstellingen van de industrie en het stimuleren van investeringen in </w:t>
      </w:r>
      <w:proofErr w:type="spellStart"/>
      <w:r w:rsidRPr="00E474D9">
        <w:rPr>
          <w:szCs w:val="18"/>
        </w:rPr>
        <w:t>elektrolysers</w:t>
      </w:r>
      <w:proofErr w:type="spellEnd"/>
      <w:r w:rsidRPr="00E474D9">
        <w:rPr>
          <w:szCs w:val="18"/>
        </w:rPr>
        <w:t xml:space="preserve"> en op basis van de resultaten van dit onderzoek de Regeling energie vervoer aan te passen". </w:t>
      </w:r>
    </w:p>
    <w:p w:rsidRPr="00F8076D" w:rsidR="00DA65D0" w:rsidP="00DA65D0" w:rsidRDefault="00DA65D0" w14:paraId="1BC1B29F" w14:textId="66FD7333">
      <w:pPr>
        <w:pStyle w:val="Lijstalinea"/>
        <w:numPr>
          <w:ilvl w:val="0"/>
          <w:numId w:val="19"/>
        </w:numPr>
        <w:spacing w:line="240" w:lineRule="auto"/>
        <w:rPr>
          <w:szCs w:val="18"/>
        </w:rPr>
      </w:pPr>
      <w:r>
        <w:rPr>
          <w:szCs w:val="18"/>
        </w:rPr>
        <w:t xml:space="preserve">Naar aanleiding van de motie is er aanvullend onderzoek uitgevoerd. </w:t>
      </w:r>
      <w:r w:rsidR="00E474D9">
        <w:rPr>
          <w:szCs w:val="18"/>
        </w:rPr>
        <w:t xml:space="preserve">De eerste resultaten van TNO zijn beschikbaar. </w:t>
      </w:r>
      <w:r w:rsidRPr="00F8076D">
        <w:rPr>
          <w:szCs w:val="18"/>
        </w:rPr>
        <w:t xml:space="preserve">MKGG heeft toegezegd de Kamer in maart te informeren over de resultaten van het onderzoek – </w:t>
      </w:r>
      <w:r w:rsidR="00E474D9">
        <w:rPr>
          <w:szCs w:val="18"/>
        </w:rPr>
        <w:t xml:space="preserve">opnieuw </w:t>
      </w:r>
      <w:r w:rsidRPr="00F8076D">
        <w:rPr>
          <w:szCs w:val="18"/>
        </w:rPr>
        <w:t xml:space="preserve">uitgevoerd door TNO – en daaropvolgende besluitvorming. </w:t>
      </w:r>
    </w:p>
    <w:p w:rsidR="00DA65D0" w:rsidP="00DA65D0" w:rsidRDefault="00DA65D0" w14:paraId="70EE3CD9" w14:textId="24395B19">
      <w:pPr>
        <w:pStyle w:val="Lijstalinea"/>
        <w:numPr>
          <w:ilvl w:val="0"/>
          <w:numId w:val="19"/>
        </w:numPr>
        <w:spacing w:after="160" w:line="259" w:lineRule="auto"/>
      </w:pPr>
      <w:r>
        <w:t xml:space="preserve">In de bijlage is een beslistabel opgenomen </w:t>
      </w:r>
      <w:r w:rsidR="00E474D9">
        <w:t xml:space="preserve">met </w:t>
      </w:r>
      <w:r>
        <w:t>de verschillende opties voor de invulling van de raffinageroute met betrekking tot de hoogte van de correctiefactor en de hoogte van het RFNBO-subdoel.</w:t>
      </w:r>
    </w:p>
    <w:tbl>
      <w:tblPr>
        <w:tblStyle w:val="Tabelraster"/>
        <w:tblW w:w="0" w:type="auto"/>
        <w:tblLook w:val="04A0" w:firstRow="1" w:lastRow="0" w:firstColumn="1" w:lastColumn="0" w:noHBand="0" w:noVBand="1"/>
      </w:tblPr>
      <w:tblGrid>
        <w:gridCol w:w="7519"/>
      </w:tblGrid>
      <w:tr w:rsidR="00DA65D0" w:rsidTr="002222E1" w14:paraId="4EC45F09" w14:textId="77777777">
        <w:tc>
          <w:tcPr>
            <w:tcW w:w="7519" w:type="dxa"/>
          </w:tcPr>
          <w:p w:rsidRPr="000502E9" w:rsidR="00DA65D0" w:rsidP="002222E1" w:rsidRDefault="00DA65D0" w14:paraId="2E41B3E3" w14:textId="77777777">
            <w:pPr>
              <w:rPr>
                <w:u w:val="single"/>
              </w:rPr>
            </w:pPr>
            <w:r w:rsidRPr="000502E9">
              <w:rPr>
                <w:u w:val="single"/>
              </w:rPr>
              <w:t>Bespreekpunten:</w:t>
            </w:r>
          </w:p>
          <w:p w:rsidRPr="00D93BC2" w:rsidR="00DA65D0" w:rsidP="00DA65D0" w:rsidRDefault="00DA65D0" w14:paraId="299EDE56" w14:textId="222F180C">
            <w:pPr>
              <w:pStyle w:val="Lijstalinea"/>
              <w:numPr>
                <w:ilvl w:val="0"/>
                <w:numId w:val="19"/>
              </w:numPr>
              <w:spacing w:after="160" w:line="259" w:lineRule="auto"/>
            </w:pPr>
            <w:r w:rsidRPr="002222E1">
              <w:t xml:space="preserve">Wat wordt de </w:t>
            </w:r>
            <w:r>
              <w:t>invulling van de raffinageroute?</w:t>
            </w:r>
          </w:p>
        </w:tc>
      </w:tr>
    </w:tbl>
    <w:p w:rsidR="00C938DF" w:rsidP="007D249B" w:rsidRDefault="00C938DF" w14:paraId="28A1DE4C" w14:textId="77777777">
      <w:pPr>
        <w:spacing w:after="160" w:line="259" w:lineRule="auto"/>
        <w:rPr>
          <w:b/>
          <w:bCs/>
        </w:rPr>
      </w:pPr>
    </w:p>
    <w:p w:rsidR="00C938DF" w:rsidP="007D249B" w:rsidRDefault="00C938DF" w14:paraId="7CF13F37" w14:textId="77777777">
      <w:pPr>
        <w:spacing w:after="160" w:line="259" w:lineRule="auto"/>
        <w:rPr>
          <w:b/>
          <w:bCs/>
        </w:rPr>
      </w:pPr>
    </w:p>
    <w:p w:rsidR="00C938DF" w:rsidP="007D249B" w:rsidRDefault="00C938DF" w14:paraId="2A0D9043" w14:textId="77777777">
      <w:pPr>
        <w:spacing w:after="160" w:line="259" w:lineRule="auto"/>
        <w:rPr>
          <w:b/>
          <w:bCs/>
        </w:rPr>
      </w:pPr>
    </w:p>
    <w:p w:rsidR="00C938DF" w:rsidP="007D249B" w:rsidRDefault="00C938DF" w14:paraId="7AEC5BDC" w14:textId="77777777">
      <w:pPr>
        <w:spacing w:after="160" w:line="259" w:lineRule="auto"/>
        <w:rPr>
          <w:b/>
          <w:bCs/>
        </w:rPr>
      </w:pPr>
    </w:p>
    <w:p w:rsidR="003A6B66" w:rsidRDefault="003A6B66" w14:paraId="3771D17C" w14:textId="77777777">
      <w:pPr>
        <w:spacing w:line="240" w:lineRule="auto"/>
        <w:rPr>
          <w:b/>
          <w:bCs/>
        </w:rPr>
      </w:pPr>
      <w:r>
        <w:rPr>
          <w:b/>
          <w:bCs/>
        </w:rPr>
        <w:br w:type="page"/>
      </w:r>
    </w:p>
    <w:p w:rsidRPr="002848DF" w:rsidR="007D249B" w:rsidP="007D249B" w:rsidRDefault="007D249B" w14:paraId="3809EE26" w14:textId="220BBD81">
      <w:pPr>
        <w:spacing w:after="160" w:line="259" w:lineRule="auto"/>
        <w:rPr>
          <w:b/>
          <w:bCs/>
        </w:rPr>
      </w:pPr>
      <w:r w:rsidRPr="002848DF">
        <w:rPr>
          <w:b/>
          <w:bCs/>
        </w:rPr>
        <w:lastRenderedPageBreak/>
        <w:t>Bijlage – Overzicht maatregelen Klimaatfonds</w:t>
      </w:r>
    </w:p>
    <w:tbl>
      <w:tblPr>
        <w:tblW w:w="6230" w:type="pct"/>
        <w:tblInd w:w="-719" w:type="dxa"/>
        <w:tblCellMar>
          <w:left w:w="0" w:type="dxa"/>
          <w:right w:w="0" w:type="dxa"/>
        </w:tblCellMar>
        <w:tblLook w:val="0420" w:firstRow="1" w:lastRow="0" w:firstColumn="0" w:lastColumn="0" w:noHBand="0" w:noVBand="1"/>
      </w:tblPr>
      <w:tblGrid>
        <w:gridCol w:w="1285"/>
        <w:gridCol w:w="2826"/>
        <w:gridCol w:w="795"/>
        <w:gridCol w:w="1226"/>
        <w:gridCol w:w="1523"/>
        <w:gridCol w:w="1701"/>
      </w:tblGrid>
      <w:tr w:rsidRPr="001B30A8" w:rsidR="007D249B" w:rsidTr="004B0DCB" w14:paraId="3CB5C795" w14:textId="77777777">
        <w:trPr>
          <w:trHeight w:val="1179"/>
        </w:trPr>
        <w:tc>
          <w:tcPr>
            <w:tcW w:w="686" w:type="pct"/>
            <w:tcBorders>
              <w:top w:val="single" w:color="FFFFFF" w:sz="8" w:space="0"/>
              <w:left w:val="single" w:color="FFFFFF" w:sz="8" w:space="0"/>
              <w:bottom w:val="single" w:color="FFFFFF" w:sz="24" w:space="0"/>
              <w:right w:val="single" w:color="FFFFFF" w:sz="8" w:space="0"/>
            </w:tcBorders>
            <w:shd w:val="clear" w:color="auto" w:fill="017BC6"/>
            <w:tcMar>
              <w:top w:w="72" w:type="dxa"/>
              <w:left w:w="144" w:type="dxa"/>
              <w:bottom w:w="72" w:type="dxa"/>
              <w:right w:w="144" w:type="dxa"/>
            </w:tcMar>
            <w:hideMark/>
          </w:tcPr>
          <w:p w:rsidRPr="001B30A8" w:rsidR="007D249B" w:rsidP="004B0DCB" w:rsidRDefault="007D249B" w14:paraId="7001F953" w14:textId="77777777">
            <w:pPr>
              <w:spacing w:after="160" w:line="259" w:lineRule="auto"/>
              <w:jc w:val="center"/>
              <w:rPr>
                <w:sz w:val="14"/>
                <w:szCs w:val="20"/>
              </w:rPr>
            </w:pPr>
            <w:r>
              <w:rPr>
                <w:sz w:val="14"/>
                <w:szCs w:val="20"/>
              </w:rPr>
              <w:t>PM logisch ordenen</w:t>
            </w:r>
          </w:p>
        </w:tc>
        <w:tc>
          <w:tcPr>
            <w:tcW w:w="1510" w:type="pct"/>
            <w:tcBorders>
              <w:top w:val="single" w:color="FFFFFF" w:sz="8" w:space="0"/>
              <w:left w:val="single" w:color="FFFFFF" w:sz="8" w:space="0"/>
              <w:bottom w:val="single" w:color="FFFFFF" w:sz="24" w:space="0"/>
              <w:right w:val="single" w:color="FFFFFF" w:sz="8" w:space="0"/>
            </w:tcBorders>
            <w:shd w:val="clear" w:color="auto" w:fill="017BC6"/>
            <w:tcMar>
              <w:top w:w="72" w:type="dxa"/>
              <w:left w:w="144" w:type="dxa"/>
              <w:bottom w:w="72" w:type="dxa"/>
              <w:right w:w="144" w:type="dxa"/>
            </w:tcMar>
            <w:hideMark/>
          </w:tcPr>
          <w:p w:rsidRPr="001B30A8" w:rsidR="007D249B" w:rsidP="004B0DCB" w:rsidRDefault="007D249B" w14:paraId="16C6D6F9" w14:textId="77777777">
            <w:pPr>
              <w:spacing w:after="160" w:line="259" w:lineRule="auto"/>
              <w:jc w:val="center"/>
              <w:rPr>
                <w:sz w:val="14"/>
                <w:szCs w:val="20"/>
              </w:rPr>
            </w:pPr>
            <w:r w:rsidRPr="001B30A8">
              <w:rPr>
                <w:b/>
                <w:bCs/>
                <w:sz w:val="14"/>
                <w:szCs w:val="20"/>
              </w:rPr>
              <w:t>Beoordeling Klimaatfonds ingediende maatregelen mobiliteit</w:t>
            </w:r>
            <w:r w:rsidRPr="001B30A8">
              <w:rPr>
                <w:rFonts w:ascii="Arial" w:hAnsi="Arial" w:cs="Arial"/>
                <w:b/>
                <w:bCs/>
                <w:sz w:val="14"/>
                <w:szCs w:val="20"/>
              </w:rPr>
              <w:t>​</w:t>
            </w:r>
          </w:p>
        </w:tc>
        <w:tc>
          <w:tcPr>
            <w:tcW w:w="425" w:type="pct"/>
            <w:tcBorders>
              <w:top w:val="single" w:color="FFFFFF" w:sz="8" w:space="0"/>
              <w:left w:val="single" w:color="FFFFFF" w:sz="8" w:space="0"/>
              <w:bottom w:val="single" w:color="FFFFFF" w:sz="24" w:space="0"/>
              <w:right w:val="single" w:color="FFFFFF" w:sz="8" w:space="0"/>
            </w:tcBorders>
            <w:shd w:val="clear" w:color="auto" w:fill="017BC6"/>
            <w:tcMar>
              <w:top w:w="72" w:type="dxa"/>
              <w:left w:w="144" w:type="dxa"/>
              <w:bottom w:w="72" w:type="dxa"/>
              <w:right w:w="144" w:type="dxa"/>
            </w:tcMar>
            <w:hideMark/>
          </w:tcPr>
          <w:p w:rsidRPr="001B30A8" w:rsidR="007D249B" w:rsidP="004B0DCB" w:rsidRDefault="007D249B" w14:paraId="6531BEA2" w14:textId="77777777">
            <w:pPr>
              <w:spacing w:after="160" w:line="259" w:lineRule="auto"/>
              <w:jc w:val="center"/>
              <w:rPr>
                <w:sz w:val="14"/>
                <w:szCs w:val="20"/>
              </w:rPr>
            </w:pPr>
            <w:r w:rsidRPr="001B30A8">
              <w:rPr>
                <w:b/>
                <w:bCs/>
                <w:sz w:val="14"/>
                <w:szCs w:val="20"/>
              </w:rPr>
              <w:t>Claim (€ mln.)</w:t>
            </w:r>
            <w:r w:rsidRPr="001B30A8">
              <w:rPr>
                <w:rFonts w:ascii="Arial" w:hAnsi="Arial" w:cs="Arial"/>
                <w:b/>
                <w:bCs/>
                <w:sz w:val="14"/>
                <w:szCs w:val="20"/>
              </w:rPr>
              <w:t>​</w:t>
            </w:r>
          </w:p>
        </w:tc>
        <w:tc>
          <w:tcPr>
            <w:tcW w:w="655" w:type="pct"/>
            <w:tcBorders>
              <w:top w:val="single" w:color="FFFFFF" w:sz="8" w:space="0"/>
              <w:left w:val="single" w:color="FFFFFF" w:sz="8" w:space="0"/>
              <w:bottom w:val="single" w:color="FFFFFF" w:sz="24" w:space="0"/>
              <w:right w:val="single" w:color="FFFFFF" w:sz="8" w:space="0"/>
            </w:tcBorders>
            <w:shd w:val="clear" w:color="auto" w:fill="017BC6"/>
            <w:tcMar>
              <w:top w:w="72" w:type="dxa"/>
              <w:left w:w="144" w:type="dxa"/>
              <w:bottom w:w="72" w:type="dxa"/>
              <w:right w:w="144" w:type="dxa"/>
            </w:tcMar>
            <w:hideMark/>
          </w:tcPr>
          <w:p w:rsidRPr="001B30A8" w:rsidR="007D249B" w:rsidP="004B0DCB" w:rsidRDefault="007D249B" w14:paraId="406B4530" w14:textId="77777777">
            <w:pPr>
              <w:spacing w:after="160" w:line="259" w:lineRule="auto"/>
              <w:jc w:val="center"/>
              <w:rPr>
                <w:sz w:val="14"/>
                <w:szCs w:val="20"/>
              </w:rPr>
            </w:pPr>
            <w:r w:rsidRPr="001B30A8">
              <w:rPr>
                <w:b/>
                <w:bCs/>
                <w:sz w:val="14"/>
                <w:szCs w:val="20"/>
              </w:rPr>
              <w:t>Concept</w:t>
            </w:r>
            <w:r>
              <w:rPr>
                <w:b/>
                <w:bCs/>
                <w:sz w:val="14"/>
                <w:szCs w:val="20"/>
              </w:rPr>
              <w:br/>
            </w:r>
            <w:r w:rsidRPr="001B30A8">
              <w:rPr>
                <w:b/>
                <w:bCs/>
                <w:sz w:val="14"/>
                <w:szCs w:val="20"/>
              </w:rPr>
              <w:t xml:space="preserve">beoordeling december (€ mln.)  </w:t>
            </w:r>
            <w:r w:rsidRPr="001B30A8">
              <w:rPr>
                <w:rFonts w:ascii="Arial" w:hAnsi="Arial" w:cs="Arial"/>
                <w:b/>
                <w:bCs/>
                <w:sz w:val="14"/>
                <w:szCs w:val="20"/>
              </w:rPr>
              <w:t>​</w:t>
            </w:r>
          </w:p>
        </w:tc>
        <w:tc>
          <w:tcPr>
            <w:tcW w:w="814" w:type="pct"/>
            <w:tcBorders>
              <w:top w:val="single" w:color="FFFFFF" w:sz="8" w:space="0"/>
              <w:left w:val="single" w:color="FFFFFF" w:sz="8" w:space="0"/>
              <w:bottom w:val="single" w:color="FFFFFF" w:sz="24" w:space="0"/>
              <w:right w:val="single" w:color="FFFFFF" w:sz="8" w:space="0"/>
            </w:tcBorders>
            <w:shd w:val="clear" w:color="auto" w:fill="017BC6"/>
            <w:tcMar>
              <w:top w:w="72" w:type="dxa"/>
              <w:left w:w="144" w:type="dxa"/>
              <w:bottom w:w="72" w:type="dxa"/>
              <w:right w:w="144" w:type="dxa"/>
            </w:tcMar>
            <w:hideMark/>
          </w:tcPr>
          <w:p w:rsidRPr="001B30A8" w:rsidR="007D249B" w:rsidP="004B0DCB" w:rsidRDefault="007D249B" w14:paraId="6E4A1156" w14:textId="77777777">
            <w:pPr>
              <w:spacing w:after="160" w:line="259" w:lineRule="auto"/>
              <w:jc w:val="center"/>
              <w:rPr>
                <w:sz w:val="14"/>
                <w:szCs w:val="20"/>
              </w:rPr>
            </w:pPr>
            <w:r w:rsidRPr="001B30A8">
              <w:rPr>
                <w:b/>
                <w:bCs/>
                <w:sz w:val="14"/>
                <w:szCs w:val="20"/>
              </w:rPr>
              <w:t>Definitieve beoordeling na reflecties PBL en TNO (€ mln.)</w:t>
            </w:r>
            <w:r w:rsidRPr="001B30A8">
              <w:rPr>
                <w:rFonts w:ascii="Arial" w:hAnsi="Arial" w:cs="Arial"/>
                <w:b/>
                <w:bCs/>
                <w:sz w:val="14"/>
                <w:szCs w:val="20"/>
              </w:rPr>
              <w:t>​</w:t>
            </w:r>
          </w:p>
        </w:tc>
        <w:tc>
          <w:tcPr>
            <w:tcW w:w="909" w:type="pct"/>
            <w:tcBorders>
              <w:top w:val="single" w:color="FFFFFF" w:sz="8" w:space="0"/>
              <w:left w:val="single" w:color="FFFFFF" w:sz="8" w:space="0"/>
              <w:bottom w:val="single" w:color="FFFFFF" w:sz="24" w:space="0"/>
              <w:right w:val="single" w:color="FFFFFF" w:sz="8" w:space="0"/>
            </w:tcBorders>
            <w:shd w:val="clear" w:color="auto" w:fill="017BC6"/>
            <w:tcMar>
              <w:top w:w="72" w:type="dxa"/>
              <w:left w:w="144" w:type="dxa"/>
              <w:bottom w:w="72" w:type="dxa"/>
              <w:right w:w="144" w:type="dxa"/>
            </w:tcMar>
            <w:hideMark/>
          </w:tcPr>
          <w:p w:rsidRPr="001B30A8" w:rsidR="007D249B" w:rsidP="004B0DCB" w:rsidRDefault="007D249B" w14:paraId="2A87F459" w14:textId="77777777">
            <w:pPr>
              <w:spacing w:after="160" w:line="259" w:lineRule="auto"/>
              <w:jc w:val="center"/>
              <w:rPr>
                <w:sz w:val="14"/>
                <w:szCs w:val="20"/>
              </w:rPr>
            </w:pPr>
            <w:r w:rsidRPr="001B30A8">
              <w:rPr>
                <w:rFonts w:ascii="Arial" w:hAnsi="Arial" w:cs="Arial"/>
                <w:b/>
                <w:bCs/>
                <w:sz w:val="14"/>
                <w:szCs w:val="20"/>
              </w:rPr>
              <w:t>​</w:t>
            </w:r>
            <w:r w:rsidRPr="001B30A8">
              <w:rPr>
                <w:b/>
                <w:bCs/>
                <w:sz w:val="14"/>
                <w:szCs w:val="20"/>
              </w:rPr>
              <w:t>Koppeling met normering/</w:t>
            </w:r>
            <w:r>
              <w:rPr>
                <w:b/>
                <w:bCs/>
                <w:sz w:val="14"/>
                <w:szCs w:val="20"/>
              </w:rPr>
              <w:br/>
            </w:r>
            <w:proofErr w:type="spellStart"/>
            <w:r w:rsidRPr="001B30A8">
              <w:rPr>
                <w:b/>
                <w:bCs/>
                <w:sz w:val="14"/>
                <w:szCs w:val="20"/>
              </w:rPr>
              <w:t>beprijzing</w:t>
            </w:r>
            <w:proofErr w:type="spellEnd"/>
          </w:p>
        </w:tc>
      </w:tr>
      <w:tr w:rsidRPr="001B30A8" w:rsidR="007D249B" w:rsidTr="004B0DCB" w14:paraId="510AAE02" w14:textId="77777777">
        <w:trPr>
          <w:trHeight w:val="293"/>
        </w:trPr>
        <w:tc>
          <w:tcPr>
            <w:tcW w:w="686" w:type="pct"/>
            <w:tcBorders>
              <w:top w:val="single" w:color="FFFFFF" w:sz="24" w:space="0"/>
              <w:left w:val="single" w:color="FFFFFF" w:sz="8" w:space="0"/>
              <w:bottom w:val="single" w:color="FFFFFF" w:sz="8" w:space="0"/>
              <w:right w:val="single" w:color="FFFFFF" w:sz="8" w:space="0"/>
            </w:tcBorders>
            <w:shd w:val="clear" w:color="auto" w:fill="CBD7EA"/>
            <w:tcMar>
              <w:top w:w="10" w:type="dxa"/>
              <w:left w:w="10" w:type="dxa"/>
              <w:bottom w:w="0" w:type="dxa"/>
              <w:right w:w="10" w:type="dxa"/>
            </w:tcMar>
            <w:hideMark/>
          </w:tcPr>
          <w:p w:rsidRPr="001B30A8" w:rsidR="007D249B" w:rsidP="004B0DCB" w:rsidRDefault="007D249B" w14:paraId="24B68363" w14:textId="77777777">
            <w:pPr>
              <w:spacing w:after="160" w:line="259" w:lineRule="auto"/>
              <w:jc w:val="center"/>
              <w:rPr>
                <w:sz w:val="14"/>
                <w:szCs w:val="20"/>
              </w:rPr>
            </w:pPr>
            <w:r w:rsidRPr="001B30A8">
              <w:rPr>
                <w:b/>
                <w:bCs/>
                <w:sz w:val="14"/>
                <w:szCs w:val="20"/>
              </w:rPr>
              <w:t>Wegvervoer</w:t>
            </w:r>
          </w:p>
        </w:tc>
        <w:tc>
          <w:tcPr>
            <w:tcW w:w="1510" w:type="pct"/>
            <w:tcBorders>
              <w:top w:val="single" w:color="FFFFFF" w:sz="24" w:space="0"/>
              <w:left w:val="single" w:color="FFFFFF" w:sz="8" w:space="0"/>
              <w:bottom w:val="single" w:color="FFFFFF" w:sz="8" w:space="0"/>
              <w:right w:val="single" w:color="FFFFFF" w:sz="8" w:space="0"/>
            </w:tcBorders>
            <w:shd w:val="clear" w:color="auto" w:fill="CBD7EA"/>
            <w:tcMar>
              <w:top w:w="10" w:type="dxa"/>
              <w:left w:w="10" w:type="dxa"/>
              <w:bottom w:w="0" w:type="dxa"/>
              <w:right w:w="10" w:type="dxa"/>
            </w:tcMar>
            <w:hideMark/>
          </w:tcPr>
          <w:p w:rsidRPr="001B30A8" w:rsidR="007D249B" w:rsidP="004B0DCB" w:rsidRDefault="007D249B" w14:paraId="08DB21CB" w14:textId="77777777">
            <w:pPr>
              <w:spacing w:after="160" w:line="259" w:lineRule="auto"/>
              <w:jc w:val="center"/>
              <w:rPr>
                <w:sz w:val="14"/>
                <w:szCs w:val="20"/>
              </w:rPr>
            </w:pPr>
            <w:r w:rsidRPr="001B30A8">
              <w:rPr>
                <w:sz w:val="14"/>
                <w:szCs w:val="20"/>
              </w:rPr>
              <w:t>Toekenning onder voorwaarde: Aanleg Electric Road Systems</w:t>
            </w:r>
          </w:p>
        </w:tc>
        <w:tc>
          <w:tcPr>
            <w:tcW w:w="425" w:type="pct"/>
            <w:tcBorders>
              <w:top w:val="single" w:color="FFFFFF" w:sz="24" w:space="0"/>
              <w:left w:val="single" w:color="FFFFFF" w:sz="8" w:space="0"/>
              <w:bottom w:val="single" w:color="FFFFFF" w:sz="8" w:space="0"/>
              <w:right w:val="single" w:color="FFFFFF" w:sz="8" w:space="0"/>
            </w:tcBorders>
            <w:shd w:val="clear" w:color="auto" w:fill="CBD7EA"/>
            <w:tcMar>
              <w:top w:w="10" w:type="dxa"/>
              <w:left w:w="10" w:type="dxa"/>
              <w:bottom w:w="0" w:type="dxa"/>
              <w:right w:w="10" w:type="dxa"/>
            </w:tcMar>
            <w:hideMark/>
          </w:tcPr>
          <w:p w:rsidRPr="001B30A8" w:rsidR="007D249B" w:rsidP="004B0DCB" w:rsidRDefault="007D249B" w14:paraId="59AC1E65" w14:textId="77777777">
            <w:pPr>
              <w:spacing w:after="160" w:line="259" w:lineRule="auto"/>
              <w:jc w:val="center"/>
              <w:rPr>
                <w:sz w:val="14"/>
                <w:szCs w:val="20"/>
              </w:rPr>
            </w:pPr>
            <w:r w:rsidRPr="001B30A8">
              <w:rPr>
                <w:sz w:val="14"/>
                <w:szCs w:val="20"/>
              </w:rPr>
              <w:t>20</w:t>
            </w:r>
          </w:p>
        </w:tc>
        <w:tc>
          <w:tcPr>
            <w:tcW w:w="655" w:type="pct"/>
            <w:tcBorders>
              <w:top w:val="single" w:color="FFFFFF" w:sz="24" w:space="0"/>
              <w:left w:val="single" w:color="FFFFFF" w:sz="8" w:space="0"/>
              <w:bottom w:val="single" w:color="FFFFFF" w:sz="8" w:space="0"/>
              <w:right w:val="single" w:color="FFFFFF" w:sz="8" w:space="0"/>
            </w:tcBorders>
            <w:shd w:val="clear" w:color="auto" w:fill="00B050"/>
            <w:tcMar>
              <w:top w:w="10" w:type="dxa"/>
              <w:left w:w="10" w:type="dxa"/>
              <w:bottom w:w="0" w:type="dxa"/>
              <w:right w:w="10" w:type="dxa"/>
            </w:tcMar>
            <w:hideMark/>
          </w:tcPr>
          <w:p w:rsidRPr="001B30A8" w:rsidR="007D249B" w:rsidP="004B0DCB" w:rsidRDefault="007D249B" w14:paraId="3B16E4A1" w14:textId="77777777">
            <w:pPr>
              <w:spacing w:after="160" w:line="259" w:lineRule="auto"/>
              <w:jc w:val="center"/>
              <w:rPr>
                <w:sz w:val="14"/>
                <w:szCs w:val="20"/>
              </w:rPr>
            </w:pPr>
            <w:r w:rsidRPr="001B30A8">
              <w:rPr>
                <w:sz w:val="14"/>
                <w:szCs w:val="20"/>
              </w:rPr>
              <w:t>20    (</w:t>
            </w:r>
            <w:proofErr w:type="spellStart"/>
            <w:r w:rsidRPr="001B30A8">
              <w:rPr>
                <w:sz w:val="14"/>
                <w:szCs w:val="20"/>
              </w:rPr>
              <w:t>ToV</w:t>
            </w:r>
            <w:proofErr w:type="spellEnd"/>
            <w:r w:rsidRPr="001B30A8">
              <w:rPr>
                <w:sz w:val="14"/>
                <w:szCs w:val="20"/>
              </w:rPr>
              <w:t>)</w:t>
            </w:r>
          </w:p>
        </w:tc>
        <w:tc>
          <w:tcPr>
            <w:tcW w:w="814" w:type="pct"/>
            <w:tcBorders>
              <w:top w:val="single" w:color="FFFFFF" w:sz="24" w:space="0"/>
              <w:left w:val="single" w:color="FFFFFF" w:sz="8" w:space="0"/>
              <w:bottom w:val="single" w:color="FFFFFF" w:sz="8" w:space="0"/>
              <w:right w:val="single" w:color="FFFFFF" w:sz="8" w:space="0"/>
            </w:tcBorders>
            <w:shd w:val="clear" w:color="auto" w:fill="00B050"/>
            <w:tcMar>
              <w:top w:w="10" w:type="dxa"/>
              <w:left w:w="10" w:type="dxa"/>
              <w:bottom w:w="0" w:type="dxa"/>
              <w:right w:w="10" w:type="dxa"/>
            </w:tcMar>
            <w:hideMark/>
          </w:tcPr>
          <w:p w:rsidRPr="001B30A8" w:rsidR="007D249B" w:rsidP="004B0DCB" w:rsidRDefault="007D249B" w14:paraId="784DC974" w14:textId="77777777">
            <w:pPr>
              <w:spacing w:after="160" w:line="259" w:lineRule="auto"/>
              <w:jc w:val="center"/>
              <w:rPr>
                <w:sz w:val="14"/>
                <w:szCs w:val="20"/>
              </w:rPr>
            </w:pPr>
            <w:r w:rsidRPr="001B30A8">
              <w:rPr>
                <w:sz w:val="14"/>
                <w:szCs w:val="20"/>
              </w:rPr>
              <w:t>20    (</w:t>
            </w:r>
            <w:proofErr w:type="spellStart"/>
            <w:r w:rsidRPr="001B30A8">
              <w:rPr>
                <w:sz w:val="14"/>
                <w:szCs w:val="20"/>
              </w:rPr>
              <w:t>ToV</w:t>
            </w:r>
            <w:proofErr w:type="spellEnd"/>
            <w:r w:rsidRPr="001B30A8">
              <w:rPr>
                <w:sz w:val="14"/>
                <w:szCs w:val="20"/>
              </w:rPr>
              <w:t>)</w:t>
            </w:r>
          </w:p>
        </w:tc>
        <w:tc>
          <w:tcPr>
            <w:tcW w:w="909" w:type="pct"/>
            <w:tcBorders>
              <w:top w:val="single" w:color="FFFFFF" w:sz="24" w:space="0"/>
              <w:left w:val="single" w:color="FFFFFF" w:sz="8" w:space="0"/>
              <w:bottom w:val="single" w:color="FFFFFF" w:sz="8" w:space="0"/>
              <w:right w:val="single" w:color="FFFFFF" w:sz="8" w:space="0"/>
            </w:tcBorders>
            <w:shd w:val="clear" w:color="auto" w:fill="CBD7EA"/>
            <w:tcMar>
              <w:top w:w="10" w:type="dxa"/>
              <w:left w:w="10" w:type="dxa"/>
              <w:bottom w:w="0" w:type="dxa"/>
              <w:right w:w="10" w:type="dxa"/>
            </w:tcMar>
            <w:hideMark/>
          </w:tcPr>
          <w:p w:rsidRPr="001B30A8" w:rsidR="007D249B" w:rsidP="004B0DCB" w:rsidRDefault="007D249B" w14:paraId="5B366698" w14:textId="77777777">
            <w:pPr>
              <w:spacing w:after="160" w:line="259" w:lineRule="auto"/>
              <w:jc w:val="center"/>
              <w:rPr>
                <w:sz w:val="14"/>
                <w:szCs w:val="20"/>
              </w:rPr>
            </w:pPr>
          </w:p>
        </w:tc>
      </w:tr>
      <w:tr w:rsidRPr="001B30A8" w:rsidR="007D249B" w:rsidTr="004B0DCB" w14:paraId="1F7AB5B7" w14:textId="77777777">
        <w:trPr>
          <w:trHeight w:val="671"/>
        </w:trPr>
        <w:tc>
          <w:tcPr>
            <w:tcW w:w="686" w:type="pct"/>
            <w:tcBorders>
              <w:top w:val="single" w:color="FFFFFF" w:sz="8" w:space="0"/>
              <w:left w:val="single" w:color="FFFFFF" w:sz="8" w:space="0"/>
              <w:bottom w:val="single" w:color="FFFFFF" w:sz="8" w:space="0"/>
              <w:right w:val="single" w:color="FFFFFF" w:sz="8" w:space="0"/>
            </w:tcBorders>
            <w:shd w:val="clear" w:color="auto" w:fill="E7ECF5"/>
            <w:tcMar>
              <w:top w:w="10" w:type="dxa"/>
              <w:left w:w="10" w:type="dxa"/>
              <w:bottom w:w="0" w:type="dxa"/>
              <w:right w:w="10" w:type="dxa"/>
            </w:tcMar>
            <w:hideMark/>
          </w:tcPr>
          <w:p w:rsidRPr="001B30A8" w:rsidR="007D249B" w:rsidP="004B0DCB" w:rsidRDefault="007D249B" w14:paraId="21C265EF" w14:textId="77777777">
            <w:pPr>
              <w:spacing w:after="160" w:line="259" w:lineRule="auto"/>
              <w:jc w:val="center"/>
              <w:rPr>
                <w:sz w:val="14"/>
                <w:szCs w:val="20"/>
              </w:rPr>
            </w:pPr>
          </w:p>
        </w:tc>
        <w:tc>
          <w:tcPr>
            <w:tcW w:w="1510" w:type="pct"/>
            <w:tcBorders>
              <w:top w:val="single" w:color="FFFFFF" w:sz="8" w:space="0"/>
              <w:left w:val="single" w:color="FFFFFF" w:sz="8" w:space="0"/>
              <w:bottom w:val="single" w:color="FFFFFF" w:sz="8" w:space="0"/>
              <w:right w:val="single" w:color="FFFFFF" w:sz="8" w:space="0"/>
            </w:tcBorders>
            <w:shd w:val="clear" w:color="auto" w:fill="E7ECF5"/>
            <w:tcMar>
              <w:top w:w="10" w:type="dxa"/>
              <w:left w:w="10" w:type="dxa"/>
              <w:bottom w:w="0" w:type="dxa"/>
              <w:right w:w="10" w:type="dxa"/>
            </w:tcMar>
            <w:hideMark/>
          </w:tcPr>
          <w:p w:rsidRPr="001B30A8" w:rsidR="007D249B" w:rsidP="004B0DCB" w:rsidRDefault="007D249B" w14:paraId="39CD482F" w14:textId="77777777">
            <w:pPr>
              <w:spacing w:after="160" w:line="259" w:lineRule="auto"/>
              <w:jc w:val="center"/>
              <w:rPr>
                <w:sz w:val="14"/>
                <w:szCs w:val="20"/>
              </w:rPr>
            </w:pPr>
            <w:r w:rsidRPr="001B30A8">
              <w:rPr>
                <w:sz w:val="14"/>
                <w:szCs w:val="20"/>
              </w:rPr>
              <w:t>Toekenning onder voorwaarde: Aanscherpen normen duurzaam inkopen</w:t>
            </w:r>
          </w:p>
        </w:tc>
        <w:tc>
          <w:tcPr>
            <w:tcW w:w="425" w:type="pct"/>
            <w:tcBorders>
              <w:top w:val="single" w:color="FFFFFF" w:sz="8" w:space="0"/>
              <w:left w:val="single" w:color="FFFFFF" w:sz="8" w:space="0"/>
              <w:bottom w:val="single" w:color="FFFFFF" w:sz="8" w:space="0"/>
              <w:right w:val="single" w:color="FFFFFF" w:sz="8" w:space="0"/>
            </w:tcBorders>
            <w:shd w:val="clear" w:color="auto" w:fill="E7ECF5"/>
            <w:tcMar>
              <w:top w:w="10" w:type="dxa"/>
              <w:left w:w="10" w:type="dxa"/>
              <w:bottom w:w="0" w:type="dxa"/>
              <w:right w:w="10" w:type="dxa"/>
            </w:tcMar>
            <w:hideMark/>
          </w:tcPr>
          <w:p w:rsidRPr="001B30A8" w:rsidR="007D249B" w:rsidP="004B0DCB" w:rsidRDefault="007D249B" w14:paraId="1356FC0F" w14:textId="77777777">
            <w:pPr>
              <w:spacing w:after="160" w:line="259" w:lineRule="auto"/>
              <w:jc w:val="center"/>
              <w:rPr>
                <w:sz w:val="14"/>
                <w:szCs w:val="20"/>
              </w:rPr>
            </w:pPr>
            <w:r w:rsidRPr="001B30A8">
              <w:rPr>
                <w:sz w:val="14"/>
                <w:szCs w:val="20"/>
              </w:rPr>
              <w:t>30,2</w:t>
            </w:r>
          </w:p>
        </w:tc>
        <w:tc>
          <w:tcPr>
            <w:tcW w:w="655" w:type="pct"/>
            <w:tcBorders>
              <w:top w:val="single" w:color="FFFFFF" w:sz="8" w:space="0"/>
              <w:left w:val="single" w:color="FFFFFF" w:sz="8" w:space="0"/>
              <w:bottom w:val="single" w:color="FFFFFF" w:sz="8" w:space="0"/>
              <w:right w:val="single" w:color="FFFFFF" w:sz="8" w:space="0"/>
            </w:tcBorders>
            <w:shd w:val="clear" w:color="auto" w:fill="00B050"/>
            <w:tcMar>
              <w:top w:w="10" w:type="dxa"/>
              <w:left w:w="10" w:type="dxa"/>
              <w:bottom w:w="0" w:type="dxa"/>
              <w:right w:w="10" w:type="dxa"/>
            </w:tcMar>
            <w:hideMark/>
          </w:tcPr>
          <w:p w:rsidRPr="001B30A8" w:rsidR="007D249B" w:rsidP="004B0DCB" w:rsidRDefault="007D249B" w14:paraId="0B107BC8" w14:textId="77777777">
            <w:pPr>
              <w:spacing w:after="160" w:line="259" w:lineRule="auto"/>
              <w:jc w:val="center"/>
              <w:rPr>
                <w:sz w:val="14"/>
                <w:szCs w:val="20"/>
              </w:rPr>
            </w:pPr>
            <w:r w:rsidRPr="001B30A8">
              <w:rPr>
                <w:sz w:val="14"/>
                <w:szCs w:val="20"/>
              </w:rPr>
              <w:t>30,2   (</w:t>
            </w:r>
            <w:proofErr w:type="spellStart"/>
            <w:r w:rsidRPr="001B30A8">
              <w:rPr>
                <w:sz w:val="14"/>
                <w:szCs w:val="20"/>
              </w:rPr>
              <w:t>ToV</w:t>
            </w:r>
            <w:proofErr w:type="spellEnd"/>
            <w:r w:rsidRPr="001B30A8">
              <w:rPr>
                <w:sz w:val="14"/>
                <w:szCs w:val="20"/>
              </w:rPr>
              <w:t>)</w:t>
            </w:r>
          </w:p>
        </w:tc>
        <w:tc>
          <w:tcPr>
            <w:tcW w:w="814" w:type="pct"/>
            <w:tcBorders>
              <w:top w:val="single" w:color="FFFFFF" w:sz="8" w:space="0"/>
              <w:left w:val="single" w:color="FFFFFF" w:sz="8" w:space="0"/>
              <w:bottom w:val="single" w:color="FFFFFF" w:sz="8" w:space="0"/>
              <w:right w:val="single" w:color="FFFFFF" w:sz="8" w:space="0"/>
            </w:tcBorders>
            <w:shd w:val="clear" w:color="auto" w:fill="00B050"/>
            <w:tcMar>
              <w:top w:w="10" w:type="dxa"/>
              <w:left w:w="10" w:type="dxa"/>
              <w:bottom w:w="0" w:type="dxa"/>
              <w:right w:w="10" w:type="dxa"/>
            </w:tcMar>
            <w:hideMark/>
          </w:tcPr>
          <w:p w:rsidRPr="001B30A8" w:rsidR="007D249B" w:rsidP="004B0DCB" w:rsidRDefault="007D249B" w14:paraId="12696134" w14:textId="77777777">
            <w:pPr>
              <w:spacing w:after="160" w:line="259" w:lineRule="auto"/>
              <w:jc w:val="center"/>
              <w:rPr>
                <w:sz w:val="14"/>
                <w:szCs w:val="20"/>
              </w:rPr>
            </w:pPr>
            <w:r w:rsidRPr="001B30A8">
              <w:rPr>
                <w:sz w:val="14"/>
                <w:szCs w:val="20"/>
              </w:rPr>
              <w:t>30,2   (</w:t>
            </w:r>
            <w:proofErr w:type="spellStart"/>
            <w:r w:rsidRPr="001B30A8">
              <w:rPr>
                <w:sz w:val="14"/>
                <w:szCs w:val="20"/>
              </w:rPr>
              <w:t>ToV</w:t>
            </w:r>
            <w:proofErr w:type="spellEnd"/>
            <w:r w:rsidRPr="001B30A8">
              <w:rPr>
                <w:sz w:val="14"/>
                <w:szCs w:val="20"/>
              </w:rPr>
              <w:t>)</w:t>
            </w:r>
          </w:p>
        </w:tc>
        <w:tc>
          <w:tcPr>
            <w:tcW w:w="909" w:type="pct"/>
            <w:tcBorders>
              <w:top w:val="single" w:color="FFFFFF" w:sz="8" w:space="0"/>
              <w:left w:val="single" w:color="FFFFFF" w:sz="8" w:space="0"/>
              <w:bottom w:val="single" w:color="FFFFFF" w:sz="8" w:space="0"/>
              <w:right w:val="single" w:color="FFFFFF" w:sz="8" w:space="0"/>
            </w:tcBorders>
            <w:shd w:val="clear" w:color="auto" w:fill="E7ECF5"/>
            <w:tcMar>
              <w:top w:w="10" w:type="dxa"/>
              <w:left w:w="10" w:type="dxa"/>
              <w:bottom w:w="0" w:type="dxa"/>
              <w:right w:w="10" w:type="dxa"/>
            </w:tcMar>
            <w:hideMark/>
          </w:tcPr>
          <w:p w:rsidRPr="001B30A8" w:rsidR="007D249B" w:rsidP="004B0DCB" w:rsidRDefault="007D249B" w14:paraId="6FC2CE8C" w14:textId="77777777">
            <w:pPr>
              <w:spacing w:after="160" w:line="259" w:lineRule="auto"/>
              <w:jc w:val="center"/>
              <w:rPr>
                <w:sz w:val="14"/>
                <w:szCs w:val="20"/>
              </w:rPr>
            </w:pPr>
            <w:r w:rsidRPr="001B30A8">
              <w:rPr>
                <w:sz w:val="14"/>
                <w:szCs w:val="20"/>
              </w:rPr>
              <w:t>Gekoppeld aan: RBSW aanscherpen</w:t>
            </w:r>
          </w:p>
        </w:tc>
      </w:tr>
      <w:tr w:rsidRPr="001B30A8" w:rsidR="007D249B" w:rsidTr="004B0DCB" w14:paraId="5E5A16F7" w14:textId="77777777">
        <w:trPr>
          <w:trHeight w:val="293"/>
        </w:trPr>
        <w:tc>
          <w:tcPr>
            <w:tcW w:w="686" w:type="pct"/>
            <w:tcBorders>
              <w:top w:val="single" w:color="FFFFFF" w:sz="8" w:space="0"/>
              <w:left w:val="single" w:color="FFFFFF" w:sz="8" w:space="0"/>
              <w:bottom w:val="single" w:color="FFFFFF" w:sz="8" w:space="0"/>
              <w:right w:val="single" w:color="FFFFFF" w:sz="8" w:space="0"/>
            </w:tcBorders>
            <w:shd w:val="clear" w:color="auto" w:fill="CBD7EA"/>
            <w:tcMar>
              <w:top w:w="10" w:type="dxa"/>
              <w:left w:w="10" w:type="dxa"/>
              <w:bottom w:w="0" w:type="dxa"/>
              <w:right w:w="10" w:type="dxa"/>
            </w:tcMar>
            <w:hideMark/>
          </w:tcPr>
          <w:p w:rsidRPr="001B30A8" w:rsidR="007D249B" w:rsidP="004B0DCB" w:rsidRDefault="007D249B" w14:paraId="4199F3D7" w14:textId="77777777">
            <w:pPr>
              <w:spacing w:after="160" w:line="259" w:lineRule="auto"/>
              <w:jc w:val="center"/>
              <w:rPr>
                <w:sz w:val="14"/>
                <w:szCs w:val="20"/>
              </w:rPr>
            </w:pPr>
          </w:p>
        </w:tc>
        <w:tc>
          <w:tcPr>
            <w:tcW w:w="1510" w:type="pct"/>
            <w:tcBorders>
              <w:top w:val="single" w:color="FFFFFF" w:sz="8" w:space="0"/>
              <w:left w:val="single" w:color="FFFFFF" w:sz="8" w:space="0"/>
              <w:bottom w:val="single" w:color="FFFFFF" w:sz="8" w:space="0"/>
              <w:right w:val="single" w:color="FFFFFF" w:sz="8" w:space="0"/>
            </w:tcBorders>
            <w:shd w:val="clear" w:color="auto" w:fill="CBD7EA"/>
            <w:tcMar>
              <w:top w:w="10" w:type="dxa"/>
              <w:left w:w="10" w:type="dxa"/>
              <w:bottom w:w="0" w:type="dxa"/>
              <w:right w:w="10" w:type="dxa"/>
            </w:tcMar>
            <w:hideMark/>
          </w:tcPr>
          <w:p w:rsidRPr="001B30A8" w:rsidR="007D249B" w:rsidP="004B0DCB" w:rsidRDefault="007D249B" w14:paraId="4A2C4816" w14:textId="77777777">
            <w:pPr>
              <w:spacing w:after="160" w:line="259" w:lineRule="auto"/>
              <w:jc w:val="center"/>
              <w:rPr>
                <w:sz w:val="14"/>
                <w:szCs w:val="20"/>
              </w:rPr>
            </w:pPr>
            <w:r w:rsidRPr="001B30A8">
              <w:rPr>
                <w:sz w:val="14"/>
                <w:szCs w:val="20"/>
              </w:rPr>
              <w:t>Reservering: Duurzame luchtvaartbrandstoffen (E-</w:t>
            </w:r>
            <w:proofErr w:type="spellStart"/>
            <w:r w:rsidRPr="001B30A8">
              <w:rPr>
                <w:sz w:val="14"/>
                <w:szCs w:val="20"/>
              </w:rPr>
              <w:t>fuels</w:t>
            </w:r>
            <w:proofErr w:type="spellEnd"/>
            <w:r w:rsidRPr="001B30A8">
              <w:rPr>
                <w:sz w:val="14"/>
                <w:szCs w:val="20"/>
              </w:rPr>
              <w:t>)</w:t>
            </w:r>
          </w:p>
        </w:tc>
        <w:tc>
          <w:tcPr>
            <w:tcW w:w="425" w:type="pct"/>
            <w:tcBorders>
              <w:top w:val="single" w:color="FFFFFF" w:sz="8" w:space="0"/>
              <w:left w:val="single" w:color="FFFFFF" w:sz="8" w:space="0"/>
              <w:bottom w:val="single" w:color="FFFFFF" w:sz="8" w:space="0"/>
              <w:right w:val="single" w:color="FFFFFF" w:sz="8" w:space="0"/>
            </w:tcBorders>
            <w:shd w:val="clear" w:color="auto" w:fill="CBD7EA"/>
            <w:tcMar>
              <w:top w:w="10" w:type="dxa"/>
              <w:left w:w="10" w:type="dxa"/>
              <w:bottom w:w="0" w:type="dxa"/>
              <w:right w:w="10" w:type="dxa"/>
            </w:tcMar>
            <w:hideMark/>
          </w:tcPr>
          <w:p w:rsidRPr="001B30A8" w:rsidR="007D249B" w:rsidP="004B0DCB" w:rsidRDefault="007D249B" w14:paraId="1FD64AB0" w14:textId="77777777">
            <w:pPr>
              <w:spacing w:after="160" w:line="259" w:lineRule="auto"/>
              <w:jc w:val="center"/>
              <w:rPr>
                <w:sz w:val="14"/>
                <w:szCs w:val="20"/>
              </w:rPr>
            </w:pPr>
            <w:r w:rsidRPr="001B30A8">
              <w:rPr>
                <w:sz w:val="14"/>
                <w:szCs w:val="20"/>
              </w:rPr>
              <w:t>150</w:t>
            </w:r>
          </w:p>
        </w:tc>
        <w:tc>
          <w:tcPr>
            <w:tcW w:w="655" w:type="pct"/>
            <w:tcBorders>
              <w:top w:val="single" w:color="FFFFFF" w:sz="8" w:space="0"/>
              <w:left w:val="single" w:color="FFFFFF" w:sz="8" w:space="0"/>
              <w:bottom w:val="single" w:color="FFFFFF" w:sz="8" w:space="0"/>
              <w:right w:val="single" w:color="FFFFFF" w:sz="8" w:space="0"/>
            </w:tcBorders>
            <w:shd w:val="clear" w:color="auto" w:fill="00B050"/>
            <w:tcMar>
              <w:top w:w="10" w:type="dxa"/>
              <w:left w:w="10" w:type="dxa"/>
              <w:bottom w:w="0" w:type="dxa"/>
              <w:right w:w="10" w:type="dxa"/>
            </w:tcMar>
            <w:hideMark/>
          </w:tcPr>
          <w:p w:rsidRPr="001B30A8" w:rsidR="007D249B" w:rsidP="004B0DCB" w:rsidRDefault="007D249B" w14:paraId="7AFBFB7B" w14:textId="77777777">
            <w:pPr>
              <w:spacing w:after="160" w:line="259" w:lineRule="auto"/>
              <w:jc w:val="center"/>
              <w:rPr>
                <w:sz w:val="14"/>
                <w:szCs w:val="20"/>
              </w:rPr>
            </w:pPr>
            <w:r w:rsidRPr="001B30A8">
              <w:rPr>
                <w:sz w:val="14"/>
                <w:szCs w:val="20"/>
              </w:rPr>
              <w:t>150      (R)</w:t>
            </w:r>
          </w:p>
        </w:tc>
        <w:tc>
          <w:tcPr>
            <w:tcW w:w="814" w:type="pct"/>
            <w:tcBorders>
              <w:top w:val="single" w:color="FFFFFF" w:sz="8" w:space="0"/>
              <w:left w:val="single" w:color="FFFFFF" w:sz="8" w:space="0"/>
              <w:bottom w:val="single" w:color="FFFFFF" w:sz="8" w:space="0"/>
              <w:right w:val="single" w:color="FFFFFF" w:sz="8" w:space="0"/>
            </w:tcBorders>
            <w:shd w:val="clear" w:color="auto" w:fill="00B050"/>
            <w:tcMar>
              <w:top w:w="10" w:type="dxa"/>
              <w:left w:w="10" w:type="dxa"/>
              <w:bottom w:w="0" w:type="dxa"/>
              <w:right w:w="10" w:type="dxa"/>
            </w:tcMar>
            <w:hideMark/>
          </w:tcPr>
          <w:p w:rsidRPr="001B30A8" w:rsidR="007D249B" w:rsidP="004B0DCB" w:rsidRDefault="007D249B" w14:paraId="2FEB8AB5" w14:textId="77777777">
            <w:pPr>
              <w:spacing w:after="160" w:line="259" w:lineRule="auto"/>
              <w:jc w:val="center"/>
              <w:rPr>
                <w:sz w:val="14"/>
                <w:szCs w:val="20"/>
              </w:rPr>
            </w:pPr>
            <w:r w:rsidRPr="001B30A8">
              <w:rPr>
                <w:sz w:val="14"/>
                <w:szCs w:val="20"/>
              </w:rPr>
              <w:t>150      (R)</w:t>
            </w:r>
          </w:p>
        </w:tc>
        <w:tc>
          <w:tcPr>
            <w:tcW w:w="909" w:type="pct"/>
            <w:tcBorders>
              <w:top w:val="single" w:color="FFFFFF" w:sz="8" w:space="0"/>
              <w:left w:val="single" w:color="FFFFFF" w:sz="8" w:space="0"/>
              <w:bottom w:val="single" w:color="FFFFFF" w:sz="8" w:space="0"/>
              <w:right w:val="single" w:color="FFFFFF" w:sz="8" w:space="0"/>
            </w:tcBorders>
            <w:shd w:val="clear" w:color="auto" w:fill="CBD7EA"/>
            <w:tcMar>
              <w:top w:w="10" w:type="dxa"/>
              <w:left w:w="10" w:type="dxa"/>
              <w:bottom w:w="0" w:type="dxa"/>
              <w:right w:w="10" w:type="dxa"/>
            </w:tcMar>
            <w:hideMark/>
          </w:tcPr>
          <w:p w:rsidRPr="001B30A8" w:rsidR="007D249B" w:rsidP="004B0DCB" w:rsidRDefault="007D249B" w14:paraId="7A350051" w14:textId="77777777">
            <w:pPr>
              <w:spacing w:after="160" w:line="259" w:lineRule="auto"/>
              <w:jc w:val="center"/>
              <w:rPr>
                <w:sz w:val="14"/>
                <w:szCs w:val="20"/>
              </w:rPr>
            </w:pPr>
          </w:p>
        </w:tc>
      </w:tr>
      <w:tr w:rsidRPr="001B30A8" w:rsidR="007D249B" w:rsidTr="004B0DCB" w14:paraId="6AA700C9" w14:textId="77777777">
        <w:trPr>
          <w:trHeight w:val="293"/>
        </w:trPr>
        <w:tc>
          <w:tcPr>
            <w:tcW w:w="686" w:type="pct"/>
            <w:tcBorders>
              <w:top w:val="single" w:color="FFFFFF" w:sz="8" w:space="0"/>
              <w:left w:val="single" w:color="FFFFFF" w:sz="8" w:space="0"/>
              <w:bottom w:val="single" w:color="FFFFFF" w:sz="8" w:space="0"/>
              <w:right w:val="single" w:color="FFFFFF" w:sz="8" w:space="0"/>
            </w:tcBorders>
            <w:shd w:val="clear" w:color="auto" w:fill="E7ECF5"/>
            <w:tcMar>
              <w:top w:w="10" w:type="dxa"/>
              <w:left w:w="10" w:type="dxa"/>
              <w:bottom w:w="0" w:type="dxa"/>
              <w:right w:w="10" w:type="dxa"/>
            </w:tcMar>
            <w:hideMark/>
          </w:tcPr>
          <w:p w:rsidRPr="001B30A8" w:rsidR="007D249B" w:rsidP="004B0DCB" w:rsidRDefault="007D249B" w14:paraId="412FDF2B" w14:textId="77777777">
            <w:pPr>
              <w:spacing w:after="160" w:line="259" w:lineRule="auto"/>
              <w:jc w:val="center"/>
              <w:rPr>
                <w:sz w:val="14"/>
                <w:szCs w:val="20"/>
              </w:rPr>
            </w:pPr>
          </w:p>
        </w:tc>
        <w:tc>
          <w:tcPr>
            <w:tcW w:w="1510" w:type="pct"/>
            <w:tcBorders>
              <w:top w:val="single" w:color="FFFFFF" w:sz="8" w:space="0"/>
              <w:left w:val="single" w:color="FFFFFF" w:sz="8" w:space="0"/>
              <w:bottom w:val="single" w:color="FFFFFF" w:sz="8" w:space="0"/>
              <w:right w:val="single" w:color="FFFFFF" w:sz="8" w:space="0"/>
            </w:tcBorders>
            <w:shd w:val="clear" w:color="auto" w:fill="E7ECF5"/>
            <w:tcMar>
              <w:top w:w="10" w:type="dxa"/>
              <w:left w:w="10" w:type="dxa"/>
              <w:bottom w:w="0" w:type="dxa"/>
              <w:right w:w="10" w:type="dxa"/>
            </w:tcMar>
            <w:hideMark/>
          </w:tcPr>
          <w:p w:rsidRPr="001B30A8" w:rsidR="007D249B" w:rsidP="004B0DCB" w:rsidRDefault="007D249B" w14:paraId="64913B80" w14:textId="77777777">
            <w:pPr>
              <w:spacing w:after="160" w:line="259" w:lineRule="auto"/>
              <w:jc w:val="center"/>
              <w:rPr>
                <w:sz w:val="14"/>
                <w:szCs w:val="20"/>
              </w:rPr>
            </w:pPr>
            <w:r w:rsidRPr="001B30A8">
              <w:rPr>
                <w:sz w:val="14"/>
                <w:szCs w:val="20"/>
              </w:rPr>
              <w:t>Subsidie voor waterstof in wegvervoer en binnenvaart (binnenvaart reservering MJP 2026)</w:t>
            </w:r>
          </w:p>
        </w:tc>
        <w:tc>
          <w:tcPr>
            <w:tcW w:w="425" w:type="pct"/>
            <w:tcBorders>
              <w:top w:val="single" w:color="FFFFFF" w:sz="8" w:space="0"/>
              <w:left w:val="single" w:color="FFFFFF" w:sz="8" w:space="0"/>
              <w:bottom w:val="single" w:color="FFFFFF" w:sz="8" w:space="0"/>
              <w:right w:val="single" w:color="FFFFFF" w:sz="8" w:space="0"/>
            </w:tcBorders>
            <w:shd w:val="clear" w:color="auto" w:fill="E7ECF5"/>
            <w:tcMar>
              <w:top w:w="10" w:type="dxa"/>
              <w:left w:w="10" w:type="dxa"/>
              <w:bottom w:w="0" w:type="dxa"/>
              <w:right w:w="10" w:type="dxa"/>
            </w:tcMar>
            <w:hideMark/>
          </w:tcPr>
          <w:p w:rsidRPr="001B30A8" w:rsidR="007D249B" w:rsidP="004B0DCB" w:rsidRDefault="007D249B" w14:paraId="32A49742" w14:textId="77777777">
            <w:pPr>
              <w:spacing w:after="160" w:line="259" w:lineRule="auto"/>
              <w:jc w:val="center"/>
              <w:rPr>
                <w:sz w:val="14"/>
                <w:szCs w:val="20"/>
              </w:rPr>
            </w:pPr>
            <w:r w:rsidRPr="001B30A8">
              <w:rPr>
                <w:sz w:val="14"/>
                <w:szCs w:val="20"/>
              </w:rPr>
              <w:t>33,5</w:t>
            </w:r>
          </w:p>
        </w:tc>
        <w:tc>
          <w:tcPr>
            <w:tcW w:w="655" w:type="pct"/>
            <w:tcBorders>
              <w:top w:val="single" w:color="FFFFFF" w:sz="8" w:space="0"/>
              <w:left w:val="single" w:color="FFFFFF" w:sz="8" w:space="0"/>
              <w:bottom w:val="single" w:color="FFFFFF" w:sz="8" w:space="0"/>
              <w:right w:val="single" w:color="FFFFFF" w:sz="8" w:space="0"/>
            </w:tcBorders>
            <w:shd w:val="clear" w:color="auto" w:fill="00B050"/>
            <w:tcMar>
              <w:top w:w="10" w:type="dxa"/>
              <w:left w:w="10" w:type="dxa"/>
              <w:bottom w:w="0" w:type="dxa"/>
              <w:right w:w="10" w:type="dxa"/>
            </w:tcMar>
            <w:hideMark/>
          </w:tcPr>
          <w:p w:rsidRPr="001B30A8" w:rsidR="007D249B" w:rsidP="004B0DCB" w:rsidRDefault="007D249B" w14:paraId="6F4B9F2F" w14:textId="77777777">
            <w:pPr>
              <w:spacing w:after="160" w:line="259" w:lineRule="auto"/>
              <w:jc w:val="center"/>
              <w:rPr>
                <w:sz w:val="14"/>
                <w:szCs w:val="20"/>
              </w:rPr>
            </w:pPr>
            <w:r w:rsidRPr="001B30A8">
              <w:rPr>
                <w:sz w:val="14"/>
                <w:szCs w:val="20"/>
              </w:rPr>
              <w:t>33,5   (</w:t>
            </w:r>
            <w:proofErr w:type="spellStart"/>
            <w:r w:rsidRPr="001B30A8">
              <w:rPr>
                <w:sz w:val="14"/>
                <w:szCs w:val="20"/>
              </w:rPr>
              <w:t>ToV</w:t>
            </w:r>
            <w:proofErr w:type="spellEnd"/>
            <w:r w:rsidRPr="001B30A8">
              <w:rPr>
                <w:sz w:val="14"/>
                <w:szCs w:val="20"/>
              </w:rPr>
              <w:t>)</w:t>
            </w:r>
          </w:p>
        </w:tc>
        <w:tc>
          <w:tcPr>
            <w:tcW w:w="814" w:type="pct"/>
            <w:tcBorders>
              <w:top w:val="single" w:color="FFFFFF" w:sz="8" w:space="0"/>
              <w:left w:val="single" w:color="FFFFFF" w:sz="8" w:space="0"/>
              <w:bottom w:val="single" w:color="FFFFFF" w:sz="8" w:space="0"/>
              <w:right w:val="single" w:color="FFFFFF" w:sz="8" w:space="0"/>
            </w:tcBorders>
            <w:shd w:val="clear" w:color="auto" w:fill="00B050"/>
            <w:tcMar>
              <w:top w:w="10" w:type="dxa"/>
              <w:left w:w="10" w:type="dxa"/>
              <w:bottom w:w="0" w:type="dxa"/>
              <w:right w:w="10" w:type="dxa"/>
            </w:tcMar>
            <w:hideMark/>
          </w:tcPr>
          <w:p w:rsidRPr="001B30A8" w:rsidR="007D249B" w:rsidP="004B0DCB" w:rsidRDefault="007D249B" w14:paraId="4326B09B" w14:textId="77777777">
            <w:pPr>
              <w:spacing w:after="160" w:line="259" w:lineRule="auto"/>
              <w:jc w:val="center"/>
              <w:rPr>
                <w:sz w:val="14"/>
                <w:szCs w:val="20"/>
              </w:rPr>
            </w:pPr>
            <w:r w:rsidRPr="001B30A8">
              <w:rPr>
                <w:sz w:val="14"/>
                <w:szCs w:val="20"/>
              </w:rPr>
              <w:t>33,5   (</w:t>
            </w:r>
            <w:proofErr w:type="spellStart"/>
            <w:r w:rsidRPr="001B30A8">
              <w:rPr>
                <w:sz w:val="14"/>
                <w:szCs w:val="20"/>
              </w:rPr>
              <w:t>ToV</w:t>
            </w:r>
            <w:proofErr w:type="spellEnd"/>
            <w:r w:rsidRPr="001B30A8">
              <w:rPr>
                <w:sz w:val="14"/>
                <w:szCs w:val="20"/>
              </w:rPr>
              <w:t>)</w:t>
            </w:r>
          </w:p>
        </w:tc>
        <w:tc>
          <w:tcPr>
            <w:tcW w:w="909" w:type="pct"/>
            <w:tcBorders>
              <w:top w:val="single" w:color="FFFFFF" w:sz="8" w:space="0"/>
              <w:left w:val="single" w:color="FFFFFF" w:sz="8" w:space="0"/>
              <w:bottom w:val="single" w:color="FFFFFF" w:sz="8" w:space="0"/>
              <w:right w:val="single" w:color="FFFFFF" w:sz="8" w:space="0"/>
            </w:tcBorders>
            <w:shd w:val="clear" w:color="auto" w:fill="E7ECF5"/>
            <w:tcMar>
              <w:top w:w="10" w:type="dxa"/>
              <w:left w:w="10" w:type="dxa"/>
              <w:bottom w:w="0" w:type="dxa"/>
              <w:right w:w="10" w:type="dxa"/>
            </w:tcMar>
            <w:hideMark/>
          </w:tcPr>
          <w:p w:rsidRPr="001B30A8" w:rsidR="007D249B" w:rsidP="004B0DCB" w:rsidRDefault="007D249B" w14:paraId="3E51FEC1" w14:textId="77777777">
            <w:pPr>
              <w:spacing w:after="160" w:line="259" w:lineRule="auto"/>
              <w:jc w:val="center"/>
              <w:rPr>
                <w:sz w:val="14"/>
                <w:szCs w:val="20"/>
              </w:rPr>
            </w:pPr>
            <w:r w:rsidRPr="001B30A8">
              <w:rPr>
                <w:sz w:val="14"/>
                <w:szCs w:val="20"/>
              </w:rPr>
              <w:t>Gekoppeld aan: REDIII</w:t>
            </w:r>
          </w:p>
        </w:tc>
      </w:tr>
      <w:tr w:rsidRPr="001B30A8" w:rsidR="007D249B" w:rsidTr="004B0DCB" w14:paraId="0434CEE2" w14:textId="77777777">
        <w:trPr>
          <w:trHeight w:val="293"/>
        </w:trPr>
        <w:tc>
          <w:tcPr>
            <w:tcW w:w="686" w:type="pct"/>
            <w:tcBorders>
              <w:top w:val="single" w:color="FFFFFF" w:sz="8" w:space="0"/>
              <w:left w:val="single" w:color="FFFFFF" w:sz="8" w:space="0"/>
              <w:bottom w:val="single" w:color="FFFFFF" w:sz="8" w:space="0"/>
              <w:right w:val="single" w:color="FFFFFF" w:sz="8" w:space="0"/>
            </w:tcBorders>
            <w:shd w:val="clear" w:color="auto" w:fill="CBD7EA"/>
            <w:tcMar>
              <w:top w:w="10" w:type="dxa"/>
              <w:left w:w="10" w:type="dxa"/>
              <w:bottom w:w="0" w:type="dxa"/>
              <w:right w:w="10" w:type="dxa"/>
            </w:tcMar>
            <w:hideMark/>
          </w:tcPr>
          <w:p w:rsidRPr="001B30A8" w:rsidR="007D249B" w:rsidP="004B0DCB" w:rsidRDefault="007D249B" w14:paraId="23D61496" w14:textId="77777777">
            <w:pPr>
              <w:spacing w:after="160" w:line="259" w:lineRule="auto"/>
              <w:jc w:val="center"/>
              <w:rPr>
                <w:sz w:val="14"/>
                <w:szCs w:val="20"/>
              </w:rPr>
            </w:pPr>
          </w:p>
        </w:tc>
        <w:tc>
          <w:tcPr>
            <w:tcW w:w="1510" w:type="pct"/>
            <w:tcBorders>
              <w:top w:val="single" w:color="FFFFFF" w:sz="8" w:space="0"/>
              <w:left w:val="single" w:color="FFFFFF" w:sz="8" w:space="0"/>
              <w:bottom w:val="single" w:color="FFFFFF" w:sz="8" w:space="0"/>
              <w:right w:val="single" w:color="FFFFFF" w:sz="8" w:space="0"/>
            </w:tcBorders>
            <w:shd w:val="clear" w:color="auto" w:fill="CBD7EA"/>
            <w:tcMar>
              <w:top w:w="10" w:type="dxa"/>
              <w:left w:w="10" w:type="dxa"/>
              <w:bottom w:w="0" w:type="dxa"/>
              <w:right w:w="10" w:type="dxa"/>
            </w:tcMar>
            <w:hideMark/>
          </w:tcPr>
          <w:p w:rsidRPr="001B30A8" w:rsidR="007D249B" w:rsidP="004B0DCB" w:rsidRDefault="007D249B" w14:paraId="66E071BE" w14:textId="77777777">
            <w:pPr>
              <w:spacing w:after="160" w:line="259" w:lineRule="auto"/>
              <w:jc w:val="center"/>
              <w:rPr>
                <w:sz w:val="14"/>
                <w:szCs w:val="20"/>
              </w:rPr>
            </w:pPr>
            <w:r w:rsidRPr="001B30A8">
              <w:rPr>
                <w:sz w:val="14"/>
                <w:szCs w:val="20"/>
              </w:rPr>
              <w:t>Inkomensgerichte bijdrage voor vervanging van oude, fossiele brandstofauto</w:t>
            </w:r>
          </w:p>
        </w:tc>
        <w:tc>
          <w:tcPr>
            <w:tcW w:w="425" w:type="pct"/>
            <w:tcBorders>
              <w:top w:val="single" w:color="FFFFFF" w:sz="8" w:space="0"/>
              <w:left w:val="single" w:color="FFFFFF" w:sz="8" w:space="0"/>
              <w:bottom w:val="single" w:color="FFFFFF" w:sz="8" w:space="0"/>
              <w:right w:val="single" w:color="FFFFFF" w:sz="8" w:space="0"/>
            </w:tcBorders>
            <w:shd w:val="clear" w:color="auto" w:fill="CBD7EA"/>
            <w:tcMar>
              <w:top w:w="10" w:type="dxa"/>
              <w:left w:w="10" w:type="dxa"/>
              <w:bottom w:w="0" w:type="dxa"/>
              <w:right w:w="10" w:type="dxa"/>
            </w:tcMar>
            <w:hideMark/>
          </w:tcPr>
          <w:p w:rsidRPr="001B30A8" w:rsidR="007D249B" w:rsidP="004B0DCB" w:rsidRDefault="007D249B" w14:paraId="4B786927" w14:textId="77777777">
            <w:pPr>
              <w:spacing w:after="160" w:line="259" w:lineRule="auto"/>
              <w:jc w:val="center"/>
              <w:rPr>
                <w:sz w:val="14"/>
                <w:szCs w:val="20"/>
              </w:rPr>
            </w:pPr>
            <w:r w:rsidRPr="001B30A8">
              <w:rPr>
                <w:sz w:val="14"/>
                <w:szCs w:val="20"/>
              </w:rPr>
              <w:t>90</w:t>
            </w:r>
          </w:p>
        </w:tc>
        <w:tc>
          <w:tcPr>
            <w:tcW w:w="655" w:type="pct"/>
            <w:tcBorders>
              <w:top w:val="single" w:color="FFFFFF" w:sz="8" w:space="0"/>
              <w:left w:val="single" w:color="FFFFFF" w:sz="8" w:space="0"/>
              <w:bottom w:val="single" w:color="FFFFFF" w:sz="8" w:space="0"/>
              <w:right w:val="single" w:color="FFFFFF" w:sz="8" w:space="0"/>
            </w:tcBorders>
            <w:shd w:val="clear" w:color="auto" w:fill="00B050"/>
            <w:tcMar>
              <w:top w:w="10" w:type="dxa"/>
              <w:left w:w="10" w:type="dxa"/>
              <w:bottom w:w="0" w:type="dxa"/>
              <w:right w:w="10" w:type="dxa"/>
            </w:tcMar>
            <w:hideMark/>
          </w:tcPr>
          <w:p w:rsidRPr="001B30A8" w:rsidR="007D249B" w:rsidP="004B0DCB" w:rsidRDefault="007D249B" w14:paraId="6566E2EB" w14:textId="77777777">
            <w:pPr>
              <w:spacing w:after="160" w:line="259" w:lineRule="auto"/>
              <w:jc w:val="center"/>
              <w:rPr>
                <w:sz w:val="14"/>
                <w:szCs w:val="20"/>
              </w:rPr>
            </w:pPr>
            <w:r w:rsidRPr="001B30A8">
              <w:rPr>
                <w:sz w:val="14"/>
                <w:szCs w:val="20"/>
              </w:rPr>
              <w:t>90    (</w:t>
            </w:r>
            <w:proofErr w:type="spellStart"/>
            <w:r w:rsidRPr="001B30A8">
              <w:rPr>
                <w:sz w:val="14"/>
                <w:szCs w:val="20"/>
              </w:rPr>
              <w:t>ToV</w:t>
            </w:r>
            <w:proofErr w:type="spellEnd"/>
            <w:r w:rsidRPr="001B30A8">
              <w:rPr>
                <w:sz w:val="14"/>
                <w:szCs w:val="20"/>
              </w:rPr>
              <w:t>)</w:t>
            </w:r>
          </w:p>
        </w:tc>
        <w:tc>
          <w:tcPr>
            <w:tcW w:w="814" w:type="pct"/>
            <w:tcBorders>
              <w:top w:val="single" w:color="FFFFFF" w:sz="8" w:space="0"/>
              <w:left w:val="single" w:color="FFFFFF" w:sz="8" w:space="0"/>
              <w:bottom w:val="single" w:color="FFFFFF" w:sz="8" w:space="0"/>
              <w:right w:val="single" w:color="FFFFFF" w:sz="8" w:space="0"/>
            </w:tcBorders>
            <w:shd w:val="clear" w:color="auto" w:fill="00B050"/>
            <w:tcMar>
              <w:top w:w="10" w:type="dxa"/>
              <w:left w:w="10" w:type="dxa"/>
              <w:bottom w:w="0" w:type="dxa"/>
              <w:right w:w="10" w:type="dxa"/>
            </w:tcMar>
            <w:hideMark/>
          </w:tcPr>
          <w:p w:rsidRPr="001B30A8" w:rsidR="007D249B" w:rsidP="004B0DCB" w:rsidRDefault="007D249B" w14:paraId="371C44D6" w14:textId="77777777">
            <w:pPr>
              <w:spacing w:after="160" w:line="259" w:lineRule="auto"/>
              <w:jc w:val="center"/>
              <w:rPr>
                <w:sz w:val="14"/>
                <w:szCs w:val="20"/>
              </w:rPr>
            </w:pPr>
            <w:r w:rsidRPr="001B30A8">
              <w:rPr>
                <w:sz w:val="14"/>
                <w:szCs w:val="20"/>
              </w:rPr>
              <w:t>120    (</w:t>
            </w:r>
            <w:proofErr w:type="spellStart"/>
            <w:r w:rsidRPr="001B30A8">
              <w:rPr>
                <w:sz w:val="14"/>
                <w:szCs w:val="20"/>
              </w:rPr>
              <w:t>ToV</w:t>
            </w:r>
            <w:proofErr w:type="spellEnd"/>
            <w:r w:rsidRPr="001B30A8">
              <w:rPr>
                <w:sz w:val="14"/>
                <w:szCs w:val="20"/>
              </w:rPr>
              <w:t>)</w:t>
            </w:r>
          </w:p>
        </w:tc>
        <w:tc>
          <w:tcPr>
            <w:tcW w:w="909" w:type="pct"/>
            <w:tcBorders>
              <w:top w:val="single" w:color="FFFFFF" w:sz="8" w:space="0"/>
              <w:left w:val="single" w:color="FFFFFF" w:sz="8" w:space="0"/>
              <w:bottom w:val="single" w:color="FFFFFF" w:sz="8" w:space="0"/>
              <w:right w:val="single" w:color="FFFFFF" w:sz="8" w:space="0"/>
            </w:tcBorders>
            <w:shd w:val="clear" w:color="auto" w:fill="CBD7EA"/>
            <w:tcMar>
              <w:top w:w="10" w:type="dxa"/>
              <w:left w:w="10" w:type="dxa"/>
              <w:bottom w:w="0" w:type="dxa"/>
              <w:right w:w="10" w:type="dxa"/>
            </w:tcMar>
            <w:hideMark/>
          </w:tcPr>
          <w:p w:rsidRPr="001B30A8" w:rsidR="007D249B" w:rsidP="004B0DCB" w:rsidRDefault="007D249B" w14:paraId="52899C0F" w14:textId="77777777">
            <w:pPr>
              <w:spacing w:after="160" w:line="259" w:lineRule="auto"/>
              <w:jc w:val="center"/>
              <w:rPr>
                <w:sz w:val="14"/>
                <w:szCs w:val="20"/>
              </w:rPr>
            </w:pPr>
            <w:r w:rsidRPr="001B30A8">
              <w:rPr>
                <w:sz w:val="14"/>
                <w:szCs w:val="20"/>
              </w:rPr>
              <w:t xml:space="preserve">Gekoppeld aan </w:t>
            </w:r>
            <w:proofErr w:type="spellStart"/>
            <w:r w:rsidRPr="001B30A8">
              <w:rPr>
                <w:sz w:val="14"/>
                <w:szCs w:val="20"/>
              </w:rPr>
              <w:t>Social</w:t>
            </w:r>
            <w:proofErr w:type="spellEnd"/>
            <w:r w:rsidRPr="001B30A8">
              <w:rPr>
                <w:sz w:val="14"/>
                <w:szCs w:val="20"/>
              </w:rPr>
              <w:t xml:space="preserve"> </w:t>
            </w:r>
            <w:proofErr w:type="spellStart"/>
            <w:r w:rsidRPr="001B30A8">
              <w:rPr>
                <w:sz w:val="14"/>
                <w:szCs w:val="20"/>
              </w:rPr>
              <w:t>Climate</w:t>
            </w:r>
            <w:proofErr w:type="spellEnd"/>
            <w:r w:rsidRPr="001B30A8">
              <w:rPr>
                <w:sz w:val="14"/>
                <w:szCs w:val="20"/>
              </w:rPr>
              <w:t xml:space="preserve"> Fund</w:t>
            </w:r>
          </w:p>
        </w:tc>
      </w:tr>
      <w:tr w:rsidRPr="001B30A8" w:rsidR="007D249B" w:rsidTr="004B0DCB" w14:paraId="089D8002" w14:textId="77777777">
        <w:trPr>
          <w:trHeight w:val="485"/>
        </w:trPr>
        <w:tc>
          <w:tcPr>
            <w:tcW w:w="686" w:type="pct"/>
            <w:tcBorders>
              <w:top w:val="single" w:color="FFFFFF" w:sz="8" w:space="0"/>
              <w:left w:val="single" w:color="FFFFFF" w:sz="8" w:space="0"/>
              <w:bottom w:val="single" w:color="FFFFFF" w:sz="8" w:space="0"/>
              <w:right w:val="single" w:color="FFFFFF" w:sz="8" w:space="0"/>
            </w:tcBorders>
            <w:shd w:val="clear" w:color="auto" w:fill="E7ECF5"/>
            <w:tcMar>
              <w:top w:w="10" w:type="dxa"/>
              <w:left w:w="10" w:type="dxa"/>
              <w:bottom w:w="0" w:type="dxa"/>
              <w:right w:w="10" w:type="dxa"/>
            </w:tcMar>
            <w:hideMark/>
          </w:tcPr>
          <w:p w:rsidRPr="001B30A8" w:rsidR="007D249B" w:rsidP="004B0DCB" w:rsidRDefault="007D249B" w14:paraId="78F168FF" w14:textId="77777777">
            <w:pPr>
              <w:spacing w:after="160" w:line="259" w:lineRule="auto"/>
              <w:jc w:val="center"/>
              <w:rPr>
                <w:sz w:val="14"/>
                <w:szCs w:val="20"/>
              </w:rPr>
            </w:pPr>
          </w:p>
        </w:tc>
        <w:tc>
          <w:tcPr>
            <w:tcW w:w="1510" w:type="pct"/>
            <w:tcBorders>
              <w:top w:val="single" w:color="FFFFFF" w:sz="8" w:space="0"/>
              <w:left w:val="single" w:color="FFFFFF" w:sz="8" w:space="0"/>
              <w:bottom w:val="single" w:color="FFFFFF" w:sz="8" w:space="0"/>
              <w:right w:val="single" w:color="FFFFFF" w:sz="8" w:space="0"/>
            </w:tcBorders>
            <w:shd w:val="clear" w:color="auto" w:fill="E7ECF5"/>
            <w:tcMar>
              <w:top w:w="10" w:type="dxa"/>
              <w:left w:w="10" w:type="dxa"/>
              <w:bottom w:w="0" w:type="dxa"/>
              <w:right w:w="10" w:type="dxa"/>
            </w:tcMar>
            <w:hideMark/>
          </w:tcPr>
          <w:p w:rsidRPr="001B30A8" w:rsidR="007D249B" w:rsidP="004B0DCB" w:rsidRDefault="007D249B" w14:paraId="605607FB" w14:textId="77777777">
            <w:pPr>
              <w:spacing w:after="160" w:line="259" w:lineRule="auto"/>
              <w:jc w:val="center"/>
              <w:rPr>
                <w:sz w:val="14"/>
                <w:szCs w:val="20"/>
              </w:rPr>
            </w:pPr>
            <w:r w:rsidRPr="001B30A8">
              <w:rPr>
                <w:sz w:val="14"/>
                <w:szCs w:val="20"/>
              </w:rPr>
              <w:t>Rode diesel invullen met HVO</w:t>
            </w:r>
          </w:p>
        </w:tc>
        <w:tc>
          <w:tcPr>
            <w:tcW w:w="425" w:type="pct"/>
            <w:tcBorders>
              <w:top w:val="single" w:color="FFFFFF" w:sz="8" w:space="0"/>
              <w:left w:val="single" w:color="FFFFFF" w:sz="8" w:space="0"/>
              <w:bottom w:val="single" w:color="FFFFFF" w:sz="8" w:space="0"/>
              <w:right w:val="single" w:color="FFFFFF" w:sz="8" w:space="0"/>
            </w:tcBorders>
            <w:shd w:val="clear" w:color="auto" w:fill="E7ECF5"/>
            <w:tcMar>
              <w:top w:w="10" w:type="dxa"/>
              <w:left w:w="10" w:type="dxa"/>
              <w:bottom w:w="0" w:type="dxa"/>
              <w:right w:w="10" w:type="dxa"/>
            </w:tcMar>
            <w:hideMark/>
          </w:tcPr>
          <w:p w:rsidRPr="001B30A8" w:rsidR="007D249B" w:rsidP="004B0DCB" w:rsidRDefault="007D249B" w14:paraId="5F7D0013" w14:textId="77777777">
            <w:pPr>
              <w:spacing w:after="160" w:line="259" w:lineRule="auto"/>
              <w:jc w:val="center"/>
              <w:rPr>
                <w:sz w:val="14"/>
                <w:szCs w:val="20"/>
              </w:rPr>
            </w:pPr>
            <w:r w:rsidRPr="001B30A8">
              <w:rPr>
                <w:sz w:val="14"/>
                <w:szCs w:val="20"/>
              </w:rPr>
              <w:t>567</w:t>
            </w:r>
          </w:p>
        </w:tc>
        <w:tc>
          <w:tcPr>
            <w:tcW w:w="655" w:type="pct"/>
            <w:tcBorders>
              <w:top w:val="single" w:color="FFFFFF" w:sz="8" w:space="0"/>
              <w:left w:val="single" w:color="FFFFFF" w:sz="8" w:space="0"/>
              <w:bottom w:val="single" w:color="FFFFFF" w:sz="8" w:space="0"/>
              <w:right w:val="single" w:color="FFFFFF" w:sz="8" w:space="0"/>
            </w:tcBorders>
            <w:shd w:val="clear" w:color="auto" w:fill="00B050"/>
            <w:tcMar>
              <w:top w:w="10" w:type="dxa"/>
              <w:left w:w="10" w:type="dxa"/>
              <w:bottom w:w="0" w:type="dxa"/>
              <w:right w:w="10" w:type="dxa"/>
            </w:tcMar>
            <w:hideMark/>
          </w:tcPr>
          <w:p w:rsidRPr="001B30A8" w:rsidR="007D249B" w:rsidP="004B0DCB" w:rsidRDefault="007D249B" w14:paraId="5978B536" w14:textId="77777777">
            <w:pPr>
              <w:spacing w:after="160" w:line="259" w:lineRule="auto"/>
              <w:jc w:val="center"/>
              <w:rPr>
                <w:sz w:val="14"/>
                <w:szCs w:val="20"/>
              </w:rPr>
            </w:pPr>
            <w:r w:rsidRPr="001B30A8">
              <w:rPr>
                <w:sz w:val="14"/>
                <w:szCs w:val="20"/>
              </w:rPr>
              <w:t>567  (</w:t>
            </w:r>
            <w:proofErr w:type="spellStart"/>
            <w:r w:rsidRPr="001B30A8">
              <w:rPr>
                <w:sz w:val="14"/>
                <w:szCs w:val="20"/>
              </w:rPr>
              <w:t>ToV</w:t>
            </w:r>
            <w:proofErr w:type="spellEnd"/>
            <w:r w:rsidRPr="001B30A8">
              <w:rPr>
                <w:sz w:val="14"/>
                <w:szCs w:val="20"/>
              </w:rPr>
              <w:t>)</w:t>
            </w:r>
          </w:p>
        </w:tc>
        <w:tc>
          <w:tcPr>
            <w:tcW w:w="814" w:type="pct"/>
            <w:tcBorders>
              <w:top w:val="single" w:color="FFFFFF" w:sz="8" w:space="0"/>
              <w:left w:val="single" w:color="FFFFFF" w:sz="8" w:space="0"/>
              <w:bottom w:val="single" w:color="FFFFFF" w:sz="8" w:space="0"/>
              <w:right w:val="single" w:color="FFFFFF" w:sz="8" w:space="0"/>
            </w:tcBorders>
            <w:shd w:val="clear" w:color="auto" w:fill="00B050"/>
            <w:tcMar>
              <w:top w:w="10" w:type="dxa"/>
              <w:left w:w="10" w:type="dxa"/>
              <w:bottom w:w="0" w:type="dxa"/>
              <w:right w:w="10" w:type="dxa"/>
            </w:tcMar>
            <w:hideMark/>
          </w:tcPr>
          <w:p w:rsidRPr="001B30A8" w:rsidR="007D249B" w:rsidP="004B0DCB" w:rsidRDefault="007D249B" w14:paraId="06CCD06E" w14:textId="77777777">
            <w:pPr>
              <w:spacing w:after="160" w:line="259" w:lineRule="auto"/>
              <w:jc w:val="center"/>
              <w:rPr>
                <w:sz w:val="14"/>
                <w:szCs w:val="20"/>
              </w:rPr>
            </w:pPr>
            <w:r w:rsidRPr="001B30A8">
              <w:rPr>
                <w:b/>
                <w:bCs/>
                <w:sz w:val="14"/>
                <w:szCs w:val="20"/>
              </w:rPr>
              <w:t xml:space="preserve">243,78 </w:t>
            </w:r>
            <w:r w:rsidRPr="001B30A8">
              <w:rPr>
                <w:sz w:val="14"/>
                <w:szCs w:val="20"/>
              </w:rPr>
              <w:t xml:space="preserve"> (</w:t>
            </w:r>
            <w:proofErr w:type="spellStart"/>
            <w:r w:rsidRPr="001B30A8">
              <w:rPr>
                <w:sz w:val="14"/>
                <w:szCs w:val="20"/>
              </w:rPr>
              <w:t>ToV</w:t>
            </w:r>
            <w:proofErr w:type="spellEnd"/>
            <w:r w:rsidRPr="001B30A8">
              <w:rPr>
                <w:sz w:val="14"/>
                <w:szCs w:val="20"/>
              </w:rPr>
              <w:t>)</w:t>
            </w:r>
          </w:p>
        </w:tc>
        <w:tc>
          <w:tcPr>
            <w:tcW w:w="909" w:type="pct"/>
            <w:tcBorders>
              <w:top w:val="single" w:color="FFFFFF" w:sz="8" w:space="0"/>
              <w:left w:val="single" w:color="FFFFFF" w:sz="8" w:space="0"/>
              <w:bottom w:val="single" w:color="FFFFFF" w:sz="8" w:space="0"/>
              <w:right w:val="single" w:color="FFFFFF" w:sz="8" w:space="0"/>
            </w:tcBorders>
            <w:shd w:val="clear" w:color="auto" w:fill="E7ECF5"/>
            <w:tcMar>
              <w:top w:w="10" w:type="dxa"/>
              <w:left w:w="10" w:type="dxa"/>
              <w:bottom w:w="0" w:type="dxa"/>
              <w:right w:w="10" w:type="dxa"/>
            </w:tcMar>
            <w:hideMark/>
          </w:tcPr>
          <w:p w:rsidRPr="001B30A8" w:rsidR="007D249B" w:rsidP="004B0DCB" w:rsidRDefault="007D249B" w14:paraId="7A64D071" w14:textId="77777777">
            <w:pPr>
              <w:spacing w:after="160" w:line="259" w:lineRule="auto"/>
              <w:jc w:val="center"/>
              <w:rPr>
                <w:sz w:val="14"/>
                <w:szCs w:val="20"/>
              </w:rPr>
            </w:pPr>
            <w:r w:rsidRPr="001B30A8">
              <w:rPr>
                <w:sz w:val="14"/>
                <w:szCs w:val="20"/>
              </w:rPr>
              <w:t>Gekoppeld aan: aanscherping REDIII</w:t>
            </w:r>
          </w:p>
        </w:tc>
      </w:tr>
      <w:tr w:rsidRPr="001B30A8" w:rsidR="007D249B" w:rsidTr="004B0DCB" w14:paraId="1C550DFF" w14:textId="77777777">
        <w:trPr>
          <w:trHeight w:val="595"/>
        </w:trPr>
        <w:tc>
          <w:tcPr>
            <w:tcW w:w="686" w:type="pct"/>
            <w:tcBorders>
              <w:top w:val="single" w:color="FFFFFF" w:sz="8" w:space="0"/>
              <w:left w:val="single" w:color="FFFFFF" w:sz="8" w:space="0"/>
              <w:bottom w:val="single" w:color="FFFFFF" w:sz="8" w:space="0"/>
              <w:right w:val="single" w:color="FFFFFF" w:sz="8" w:space="0"/>
            </w:tcBorders>
            <w:shd w:val="clear" w:color="auto" w:fill="CBD7EA"/>
            <w:tcMar>
              <w:top w:w="10" w:type="dxa"/>
              <w:left w:w="10" w:type="dxa"/>
              <w:bottom w:w="0" w:type="dxa"/>
              <w:right w:w="10" w:type="dxa"/>
            </w:tcMar>
            <w:hideMark/>
          </w:tcPr>
          <w:p w:rsidRPr="001B30A8" w:rsidR="007D249B" w:rsidP="004B0DCB" w:rsidRDefault="007D249B" w14:paraId="1D447112" w14:textId="77777777">
            <w:pPr>
              <w:spacing w:after="160" w:line="259" w:lineRule="auto"/>
              <w:jc w:val="center"/>
              <w:rPr>
                <w:sz w:val="14"/>
                <w:szCs w:val="20"/>
              </w:rPr>
            </w:pPr>
            <w:r w:rsidRPr="001B30A8">
              <w:rPr>
                <w:b/>
                <w:bCs/>
                <w:sz w:val="14"/>
                <w:szCs w:val="20"/>
              </w:rPr>
              <w:t>Biobrandstoffen</w:t>
            </w:r>
          </w:p>
        </w:tc>
        <w:tc>
          <w:tcPr>
            <w:tcW w:w="1510" w:type="pct"/>
            <w:tcBorders>
              <w:top w:val="single" w:color="FFFFFF" w:sz="8" w:space="0"/>
              <w:left w:val="single" w:color="FFFFFF" w:sz="8" w:space="0"/>
              <w:bottom w:val="single" w:color="FFFFFF" w:sz="8" w:space="0"/>
              <w:right w:val="single" w:color="FFFFFF" w:sz="8" w:space="0"/>
            </w:tcBorders>
            <w:shd w:val="clear" w:color="auto" w:fill="CBD7EA"/>
            <w:tcMar>
              <w:top w:w="10" w:type="dxa"/>
              <w:left w:w="10" w:type="dxa"/>
              <w:bottom w:w="0" w:type="dxa"/>
              <w:right w:w="10" w:type="dxa"/>
            </w:tcMar>
            <w:hideMark/>
          </w:tcPr>
          <w:p w:rsidRPr="001B30A8" w:rsidR="007D249B" w:rsidP="004B0DCB" w:rsidRDefault="007D249B" w14:paraId="65B276AF" w14:textId="77777777">
            <w:pPr>
              <w:spacing w:after="160" w:line="259" w:lineRule="auto"/>
              <w:jc w:val="center"/>
              <w:rPr>
                <w:sz w:val="14"/>
                <w:szCs w:val="20"/>
              </w:rPr>
            </w:pPr>
            <w:r w:rsidRPr="001B30A8">
              <w:rPr>
                <w:sz w:val="14"/>
                <w:szCs w:val="20"/>
              </w:rPr>
              <w:t>Uitvoeringskosten aanvullende maatregelen verduurzaming binnenvaart ETS 2</w:t>
            </w:r>
          </w:p>
        </w:tc>
        <w:tc>
          <w:tcPr>
            <w:tcW w:w="425" w:type="pct"/>
            <w:tcBorders>
              <w:top w:val="single" w:color="FFFFFF" w:sz="8" w:space="0"/>
              <w:left w:val="single" w:color="FFFFFF" w:sz="8" w:space="0"/>
              <w:bottom w:val="single" w:color="FFFFFF" w:sz="8" w:space="0"/>
              <w:right w:val="single" w:color="FFFFFF" w:sz="8" w:space="0"/>
            </w:tcBorders>
            <w:shd w:val="clear" w:color="auto" w:fill="CBD7EA"/>
            <w:tcMar>
              <w:top w:w="10" w:type="dxa"/>
              <w:left w:w="10" w:type="dxa"/>
              <w:bottom w:w="0" w:type="dxa"/>
              <w:right w:w="10" w:type="dxa"/>
            </w:tcMar>
            <w:hideMark/>
          </w:tcPr>
          <w:p w:rsidRPr="001B30A8" w:rsidR="007D249B" w:rsidP="004B0DCB" w:rsidRDefault="007D249B" w14:paraId="0A800BCB" w14:textId="77777777">
            <w:pPr>
              <w:spacing w:after="160" w:line="259" w:lineRule="auto"/>
              <w:jc w:val="center"/>
              <w:rPr>
                <w:sz w:val="14"/>
                <w:szCs w:val="20"/>
              </w:rPr>
            </w:pPr>
            <w:r w:rsidRPr="001B30A8">
              <w:rPr>
                <w:sz w:val="14"/>
                <w:szCs w:val="20"/>
              </w:rPr>
              <w:t>0,75</w:t>
            </w:r>
          </w:p>
        </w:tc>
        <w:tc>
          <w:tcPr>
            <w:tcW w:w="655" w:type="pct"/>
            <w:tcBorders>
              <w:top w:val="single" w:color="FFFFFF" w:sz="8" w:space="0"/>
              <w:left w:val="single" w:color="FFFFFF" w:sz="8" w:space="0"/>
              <w:bottom w:val="single" w:color="FFFFFF" w:sz="8" w:space="0"/>
              <w:right w:val="single" w:color="FFFFFF" w:sz="8" w:space="0"/>
            </w:tcBorders>
            <w:shd w:val="clear" w:color="auto" w:fill="00B050"/>
            <w:tcMar>
              <w:top w:w="10" w:type="dxa"/>
              <w:left w:w="10" w:type="dxa"/>
              <w:bottom w:w="0" w:type="dxa"/>
              <w:right w:w="10" w:type="dxa"/>
            </w:tcMar>
            <w:hideMark/>
          </w:tcPr>
          <w:p w:rsidRPr="001B30A8" w:rsidR="007D249B" w:rsidP="004B0DCB" w:rsidRDefault="007D249B" w14:paraId="6D5113A8" w14:textId="77777777">
            <w:pPr>
              <w:spacing w:after="160" w:line="259" w:lineRule="auto"/>
              <w:jc w:val="center"/>
              <w:rPr>
                <w:sz w:val="14"/>
                <w:szCs w:val="20"/>
              </w:rPr>
            </w:pPr>
            <w:r w:rsidRPr="001B30A8">
              <w:rPr>
                <w:sz w:val="14"/>
                <w:szCs w:val="20"/>
              </w:rPr>
              <w:t>0      (T)</w:t>
            </w:r>
          </w:p>
        </w:tc>
        <w:tc>
          <w:tcPr>
            <w:tcW w:w="814" w:type="pct"/>
            <w:tcBorders>
              <w:top w:val="single" w:color="FFFFFF" w:sz="8" w:space="0"/>
              <w:left w:val="single" w:color="FFFFFF" w:sz="8" w:space="0"/>
              <w:bottom w:val="single" w:color="FFFFFF" w:sz="8" w:space="0"/>
              <w:right w:val="single" w:color="FFFFFF" w:sz="8" w:space="0"/>
            </w:tcBorders>
            <w:shd w:val="clear" w:color="auto" w:fill="00B050"/>
            <w:tcMar>
              <w:top w:w="10" w:type="dxa"/>
              <w:left w:w="10" w:type="dxa"/>
              <w:bottom w:w="0" w:type="dxa"/>
              <w:right w:w="10" w:type="dxa"/>
            </w:tcMar>
            <w:hideMark/>
          </w:tcPr>
          <w:p w:rsidRPr="001B30A8" w:rsidR="007D249B" w:rsidP="004B0DCB" w:rsidRDefault="007D249B" w14:paraId="5A6BF49D" w14:textId="77777777">
            <w:pPr>
              <w:spacing w:after="160" w:line="259" w:lineRule="auto"/>
              <w:jc w:val="center"/>
              <w:rPr>
                <w:sz w:val="14"/>
                <w:szCs w:val="20"/>
              </w:rPr>
            </w:pPr>
            <w:r w:rsidRPr="001B30A8">
              <w:rPr>
                <w:sz w:val="14"/>
                <w:szCs w:val="20"/>
              </w:rPr>
              <w:t>0      (T)</w:t>
            </w:r>
          </w:p>
        </w:tc>
        <w:tc>
          <w:tcPr>
            <w:tcW w:w="909" w:type="pct"/>
            <w:tcBorders>
              <w:top w:val="single" w:color="FFFFFF" w:sz="8" w:space="0"/>
              <w:left w:val="single" w:color="FFFFFF" w:sz="8" w:space="0"/>
              <w:bottom w:val="single" w:color="FFFFFF" w:sz="8" w:space="0"/>
              <w:right w:val="single" w:color="FFFFFF" w:sz="8" w:space="0"/>
            </w:tcBorders>
            <w:shd w:val="clear" w:color="auto" w:fill="CBD7EA"/>
            <w:tcMar>
              <w:top w:w="10" w:type="dxa"/>
              <w:left w:w="10" w:type="dxa"/>
              <w:bottom w:w="0" w:type="dxa"/>
              <w:right w:w="10" w:type="dxa"/>
            </w:tcMar>
            <w:hideMark/>
          </w:tcPr>
          <w:p w:rsidRPr="001B30A8" w:rsidR="007D249B" w:rsidP="004B0DCB" w:rsidRDefault="007D249B" w14:paraId="7A940A1E" w14:textId="77777777">
            <w:pPr>
              <w:spacing w:after="160" w:line="259" w:lineRule="auto"/>
              <w:jc w:val="center"/>
              <w:rPr>
                <w:sz w:val="14"/>
                <w:szCs w:val="20"/>
              </w:rPr>
            </w:pPr>
          </w:p>
        </w:tc>
      </w:tr>
      <w:tr w:rsidRPr="001B30A8" w:rsidR="007D249B" w:rsidTr="004B0DCB" w14:paraId="6485AB25" w14:textId="77777777">
        <w:trPr>
          <w:trHeight w:val="450"/>
        </w:trPr>
        <w:tc>
          <w:tcPr>
            <w:tcW w:w="686" w:type="pct"/>
            <w:tcBorders>
              <w:top w:val="single" w:color="FFFFFF" w:sz="8" w:space="0"/>
              <w:left w:val="single" w:color="FFFFFF" w:sz="8" w:space="0"/>
              <w:bottom w:val="single" w:color="FFFFFF" w:sz="8" w:space="0"/>
              <w:right w:val="single" w:color="FFFFFF" w:sz="8" w:space="0"/>
            </w:tcBorders>
            <w:shd w:val="clear" w:color="auto" w:fill="E7ECF5"/>
            <w:tcMar>
              <w:top w:w="10" w:type="dxa"/>
              <w:left w:w="10" w:type="dxa"/>
              <w:bottom w:w="0" w:type="dxa"/>
              <w:right w:w="10" w:type="dxa"/>
            </w:tcMar>
            <w:hideMark/>
          </w:tcPr>
          <w:p w:rsidRPr="001B30A8" w:rsidR="007D249B" w:rsidP="004B0DCB" w:rsidRDefault="007D249B" w14:paraId="0606B519" w14:textId="77777777">
            <w:pPr>
              <w:spacing w:after="160" w:line="259" w:lineRule="auto"/>
              <w:jc w:val="center"/>
              <w:rPr>
                <w:sz w:val="14"/>
                <w:szCs w:val="20"/>
              </w:rPr>
            </w:pPr>
          </w:p>
        </w:tc>
        <w:tc>
          <w:tcPr>
            <w:tcW w:w="1510" w:type="pct"/>
            <w:tcBorders>
              <w:top w:val="single" w:color="FFFFFF" w:sz="8" w:space="0"/>
              <w:left w:val="single" w:color="FFFFFF" w:sz="8" w:space="0"/>
              <w:bottom w:val="single" w:color="FFFFFF" w:sz="8" w:space="0"/>
              <w:right w:val="single" w:color="FFFFFF" w:sz="8" w:space="0"/>
            </w:tcBorders>
            <w:shd w:val="clear" w:color="auto" w:fill="E7ECF5"/>
            <w:tcMar>
              <w:top w:w="10" w:type="dxa"/>
              <w:left w:w="10" w:type="dxa"/>
              <w:bottom w:w="0" w:type="dxa"/>
              <w:right w:w="10" w:type="dxa"/>
            </w:tcMar>
            <w:hideMark/>
          </w:tcPr>
          <w:p w:rsidRPr="001B30A8" w:rsidR="007D249B" w:rsidP="004B0DCB" w:rsidRDefault="007D249B" w14:paraId="4A5E422B" w14:textId="77777777">
            <w:pPr>
              <w:spacing w:after="160" w:line="259" w:lineRule="auto"/>
              <w:jc w:val="center"/>
              <w:rPr>
                <w:sz w:val="14"/>
                <w:szCs w:val="20"/>
              </w:rPr>
            </w:pPr>
            <w:r w:rsidRPr="001B30A8">
              <w:rPr>
                <w:sz w:val="14"/>
                <w:szCs w:val="20"/>
              </w:rPr>
              <w:t>Verduurzaming spoorgoederenvervoer</w:t>
            </w:r>
          </w:p>
        </w:tc>
        <w:tc>
          <w:tcPr>
            <w:tcW w:w="425" w:type="pct"/>
            <w:tcBorders>
              <w:top w:val="single" w:color="FFFFFF" w:sz="8" w:space="0"/>
              <w:left w:val="single" w:color="FFFFFF" w:sz="8" w:space="0"/>
              <w:bottom w:val="single" w:color="FFFFFF" w:sz="8" w:space="0"/>
              <w:right w:val="single" w:color="FFFFFF" w:sz="8" w:space="0"/>
            </w:tcBorders>
            <w:shd w:val="clear" w:color="auto" w:fill="E7ECF5"/>
            <w:tcMar>
              <w:top w:w="10" w:type="dxa"/>
              <w:left w:w="10" w:type="dxa"/>
              <w:bottom w:w="0" w:type="dxa"/>
              <w:right w:w="10" w:type="dxa"/>
            </w:tcMar>
            <w:hideMark/>
          </w:tcPr>
          <w:p w:rsidRPr="001B30A8" w:rsidR="007D249B" w:rsidP="004B0DCB" w:rsidRDefault="007D249B" w14:paraId="1D1D4D68" w14:textId="77777777">
            <w:pPr>
              <w:spacing w:after="160" w:line="259" w:lineRule="auto"/>
              <w:jc w:val="center"/>
              <w:rPr>
                <w:sz w:val="14"/>
                <w:szCs w:val="20"/>
              </w:rPr>
            </w:pPr>
            <w:r w:rsidRPr="001B30A8">
              <w:rPr>
                <w:sz w:val="14"/>
                <w:szCs w:val="20"/>
              </w:rPr>
              <w:t>55,1</w:t>
            </w:r>
          </w:p>
        </w:tc>
        <w:tc>
          <w:tcPr>
            <w:tcW w:w="655" w:type="pct"/>
            <w:tcBorders>
              <w:top w:val="single" w:color="FFFFFF" w:sz="8" w:space="0"/>
              <w:left w:val="single" w:color="FFFFFF" w:sz="8" w:space="0"/>
              <w:bottom w:val="single" w:color="FFFFFF" w:sz="8" w:space="0"/>
              <w:right w:val="single" w:color="FFFFFF" w:sz="8" w:space="0"/>
            </w:tcBorders>
            <w:shd w:val="clear" w:color="auto" w:fill="FF0000"/>
            <w:tcMar>
              <w:top w:w="10" w:type="dxa"/>
              <w:left w:w="10" w:type="dxa"/>
              <w:bottom w:w="0" w:type="dxa"/>
              <w:right w:w="10" w:type="dxa"/>
            </w:tcMar>
            <w:hideMark/>
          </w:tcPr>
          <w:p w:rsidRPr="001B30A8" w:rsidR="007D249B" w:rsidP="004B0DCB" w:rsidRDefault="007D249B" w14:paraId="082F43D6" w14:textId="77777777">
            <w:pPr>
              <w:spacing w:after="160" w:line="259" w:lineRule="auto"/>
              <w:jc w:val="center"/>
              <w:rPr>
                <w:sz w:val="14"/>
                <w:szCs w:val="20"/>
              </w:rPr>
            </w:pPr>
            <w:r w:rsidRPr="001B30A8">
              <w:rPr>
                <w:sz w:val="14"/>
                <w:szCs w:val="20"/>
              </w:rPr>
              <w:t>0      (A)</w:t>
            </w:r>
          </w:p>
        </w:tc>
        <w:tc>
          <w:tcPr>
            <w:tcW w:w="814" w:type="pct"/>
            <w:tcBorders>
              <w:top w:val="single" w:color="FFFFFF" w:sz="8" w:space="0"/>
              <w:left w:val="single" w:color="FFFFFF" w:sz="8" w:space="0"/>
              <w:bottom w:val="single" w:color="FFFFFF" w:sz="8" w:space="0"/>
              <w:right w:val="single" w:color="FFFFFF" w:sz="8" w:space="0"/>
            </w:tcBorders>
            <w:shd w:val="clear" w:color="auto" w:fill="FF0000"/>
            <w:tcMar>
              <w:top w:w="10" w:type="dxa"/>
              <w:left w:w="10" w:type="dxa"/>
              <w:bottom w:w="0" w:type="dxa"/>
              <w:right w:w="10" w:type="dxa"/>
            </w:tcMar>
            <w:hideMark/>
          </w:tcPr>
          <w:p w:rsidRPr="001B30A8" w:rsidR="007D249B" w:rsidP="004B0DCB" w:rsidRDefault="007D249B" w14:paraId="184A0CEF" w14:textId="77777777">
            <w:pPr>
              <w:spacing w:after="160" w:line="259" w:lineRule="auto"/>
              <w:jc w:val="center"/>
              <w:rPr>
                <w:sz w:val="14"/>
                <w:szCs w:val="20"/>
              </w:rPr>
            </w:pPr>
            <w:r w:rsidRPr="001B30A8">
              <w:rPr>
                <w:sz w:val="14"/>
                <w:szCs w:val="20"/>
              </w:rPr>
              <w:t>0      (A)</w:t>
            </w:r>
          </w:p>
        </w:tc>
        <w:tc>
          <w:tcPr>
            <w:tcW w:w="909" w:type="pct"/>
            <w:tcBorders>
              <w:top w:val="single" w:color="FFFFFF" w:sz="8" w:space="0"/>
              <w:left w:val="single" w:color="FFFFFF" w:sz="8" w:space="0"/>
              <w:bottom w:val="single" w:color="FFFFFF" w:sz="8" w:space="0"/>
              <w:right w:val="single" w:color="FFFFFF" w:sz="8" w:space="0"/>
            </w:tcBorders>
            <w:shd w:val="clear" w:color="auto" w:fill="E7ECF5"/>
            <w:tcMar>
              <w:top w:w="10" w:type="dxa"/>
              <w:left w:w="10" w:type="dxa"/>
              <w:bottom w:w="0" w:type="dxa"/>
              <w:right w:w="10" w:type="dxa"/>
            </w:tcMar>
            <w:hideMark/>
          </w:tcPr>
          <w:p w:rsidRPr="001B30A8" w:rsidR="007D249B" w:rsidP="004B0DCB" w:rsidRDefault="007D249B" w14:paraId="6BDEFC65" w14:textId="77777777">
            <w:pPr>
              <w:spacing w:after="160" w:line="259" w:lineRule="auto"/>
              <w:jc w:val="center"/>
              <w:rPr>
                <w:sz w:val="14"/>
                <w:szCs w:val="20"/>
              </w:rPr>
            </w:pPr>
          </w:p>
        </w:tc>
      </w:tr>
      <w:tr w:rsidRPr="001B30A8" w:rsidR="007D249B" w:rsidTr="004B0DCB" w14:paraId="4B680B10" w14:textId="77777777">
        <w:trPr>
          <w:trHeight w:val="293"/>
        </w:trPr>
        <w:tc>
          <w:tcPr>
            <w:tcW w:w="686" w:type="pct"/>
            <w:tcBorders>
              <w:top w:val="single" w:color="FFFFFF" w:sz="8" w:space="0"/>
              <w:left w:val="single" w:color="FFFFFF" w:sz="8" w:space="0"/>
              <w:bottom w:val="single" w:color="FFFFFF" w:sz="8" w:space="0"/>
              <w:right w:val="single" w:color="FFFFFF" w:sz="8" w:space="0"/>
            </w:tcBorders>
            <w:shd w:val="clear" w:color="auto" w:fill="CBD7EA"/>
            <w:tcMar>
              <w:top w:w="10" w:type="dxa"/>
              <w:left w:w="10" w:type="dxa"/>
              <w:bottom w:w="0" w:type="dxa"/>
              <w:right w:w="10" w:type="dxa"/>
            </w:tcMar>
            <w:hideMark/>
          </w:tcPr>
          <w:p w:rsidRPr="001B30A8" w:rsidR="007D249B" w:rsidP="004B0DCB" w:rsidRDefault="007D249B" w14:paraId="77039F67" w14:textId="77777777">
            <w:pPr>
              <w:spacing w:after="160" w:line="259" w:lineRule="auto"/>
              <w:jc w:val="center"/>
              <w:rPr>
                <w:sz w:val="14"/>
                <w:szCs w:val="20"/>
              </w:rPr>
            </w:pPr>
          </w:p>
        </w:tc>
        <w:tc>
          <w:tcPr>
            <w:tcW w:w="1510" w:type="pct"/>
            <w:tcBorders>
              <w:top w:val="single" w:color="FFFFFF" w:sz="8" w:space="0"/>
              <w:left w:val="single" w:color="FFFFFF" w:sz="8" w:space="0"/>
              <w:bottom w:val="single" w:color="FFFFFF" w:sz="8" w:space="0"/>
              <w:right w:val="single" w:color="FFFFFF" w:sz="8" w:space="0"/>
            </w:tcBorders>
            <w:shd w:val="clear" w:color="auto" w:fill="CBD7EA"/>
            <w:tcMar>
              <w:top w:w="10" w:type="dxa"/>
              <w:left w:w="10" w:type="dxa"/>
              <w:bottom w:w="0" w:type="dxa"/>
              <w:right w:w="10" w:type="dxa"/>
            </w:tcMar>
            <w:hideMark/>
          </w:tcPr>
          <w:p w:rsidRPr="001B30A8" w:rsidR="007D249B" w:rsidP="004B0DCB" w:rsidRDefault="007D249B" w14:paraId="61072103" w14:textId="77777777">
            <w:pPr>
              <w:spacing w:after="160" w:line="259" w:lineRule="auto"/>
              <w:jc w:val="center"/>
              <w:rPr>
                <w:sz w:val="14"/>
                <w:szCs w:val="20"/>
              </w:rPr>
            </w:pPr>
            <w:r w:rsidRPr="001B30A8">
              <w:rPr>
                <w:sz w:val="14"/>
                <w:szCs w:val="20"/>
              </w:rPr>
              <w:t>Stopcontact op land</w:t>
            </w:r>
          </w:p>
        </w:tc>
        <w:tc>
          <w:tcPr>
            <w:tcW w:w="425" w:type="pct"/>
            <w:tcBorders>
              <w:top w:val="single" w:color="FFFFFF" w:sz="8" w:space="0"/>
              <w:left w:val="single" w:color="FFFFFF" w:sz="8" w:space="0"/>
              <w:bottom w:val="single" w:color="FFFFFF" w:sz="8" w:space="0"/>
              <w:right w:val="single" w:color="FFFFFF" w:sz="8" w:space="0"/>
            </w:tcBorders>
            <w:shd w:val="clear" w:color="auto" w:fill="CBD7EA"/>
            <w:tcMar>
              <w:top w:w="10" w:type="dxa"/>
              <w:left w:w="10" w:type="dxa"/>
              <w:bottom w:w="0" w:type="dxa"/>
              <w:right w:w="10" w:type="dxa"/>
            </w:tcMar>
            <w:hideMark/>
          </w:tcPr>
          <w:p w:rsidRPr="001B30A8" w:rsidR="007D249B" w:rsidP="004B0DCB" w:rsidRDefault="007D249B" w14:paraId="698A4DD3" w14:textId="77777777">
            <w:pPr>
              <w:spacing w:after="160" w:line="259" w:lineRule="auto"/>
              <w:jc w:val="center"/>
              <w:rPr>
                <w:sz w:val="14"/>
                <w:szCs w:val="20"/>
              </w:rPr>
            </w:pPr>
            <w:r w:rsidRPr="001B30A8">
              <w:rPr>
                <w:sz w:val="14"/>
                <w:szCs w:val="20"/>
              </w:rPr>
              <w:t>487</w:t>
            </w:r>
          </w:p>
        </w:tc>
        <w:tc>
          <w:tcPr>
            <w:tcW w:w="655" w:type="pct"/>
            <w:tcBorders>
              <w:top w:val="single" w:color="FFFFFF" w:sz="8" w:space="0"/>
              <w:left w:val="single" w:color="FFFFFF" w:sz="8" w:space="0"/>
              <w:bottom w:val="single" w:color="FFFFFF" w:sz="8" w:space="0"/>
              <w:right w:val="single" w:color="FFFFFF" w:sz="8" w:space="0"/>
            </w:tcBorders>
            <w:shd w:val="clear" w:color="auto" w:fill="FF0000"/>
            <w:tcMar>
              <w:top w:w="10" w:type="dxa"/>
              <w:left w:w="10" w:type="dxa"/>
              <w:bottom w:w="0" w:type="dxa"/>
              <w:right w:w="10" w:type="dxa"/>
            </w:tcMar>
            <w:hideMark/>
          </w:tcPr>
          <w:p w:rsidRPr="001B30A8" w:rsidR="007D249B" w:rsidP="004B0DCB" w:rsidRDefault="007D249B" w14:paraId="79D87A68" w14:textId="77777777">
            <w:pPr>
              <w:spacing w:after="160" w:line="259" w:lineRule="auto"/>
              <w:jc w:val="center"/>
              <w:rPr>
                <w:sz w:val="14"/>
                <w:szCs w:val="20"/>
              </w:rPr>
            </w:pPr>
            <w:r w:rsidRPr="001B30A8">
              <w:rPr>
                <w:sz w:val="14"/>
                <w:szCs w:val="20"/>
              </w:rPr>
              <w:t>0      (A)</w:t>
            </w:r>
          </w:p>
        </w:tc>
        <w:tc>
          <w:tcPr>
            <w:tcW w:w="814" w:type="pct"/>
            <w:tcBorders>
              <w:top w:val="single" w:color="FFFFFF" w:sz="8" w:space="0"/>
              <w:left w:val="single" w:color="FFFFFF" w:sz="8" w:space="0"/>
              <w:bottom w:val="single" w:color="FFFFFF" w:sz="8" w:space="0"/>
              <w:right w:val="single" w:color="FFFFFF" w:sz="8" w:space="0"/>
            </w:tcBorders>
            <w:shd w:val="clear" w:color="auto" w:fill="FF0000"/>
            <w:tcMar>
              <w:top w:w="10" w:type="dxa"/>
              <w:left w:w="10" w:type="dxa"/>
              <w:bottom w:w="0" w:type="dxa"/>
              <w:right w:w="10" w:type="dxa"/>
            </w:tcMar>
            <w:hideMark/>
          </w:tcPr>
          <w:p w:rsidRPr="001B30A8" w:rsidR="007D249B" w:rsidP="004B0DCB" w:rsidRDefault="007D249B" w14:paraId="00DCD10F" w14:textId="77777777">
            <w:pPr>
              <w:spacing w:after="160" w:line="259" w:lineRule="auto"/>
              <w:jc w:val="center"/>
              <w:rPr>
                <w:sz w:val="14"/>
                <w:szCs w:val="20"/>
              </w:rPr>
            </w:pPr>
            <w:r w:rsidRPr="001B30A8">
              <w:rPr>
                <w:sz w:val="14"/>
                <w:szCs w:val="20"/>
              </w:rPr>
              <w:t>0      (A)</w:t>
            </w:r>
          </w:p>
        </w:tc>
        <w:tc>
          <w:tcPr>
            <w:tcW w:w="909" w:type="pct"/>
            <w:tcBorders>
              <w:top w:val="single" w:color="FFFFFF" w:sz="8" w:space="0"/>
              <w:left w:val="single" w:color="FFFFFF" w:sz="8" w:space="0"/>
              <w:bottom w:val="single" w:color="FFFFFF" w:sz="8" w:space="0"/>
              <w:right w:val="single" w:color="FFFFFF" w:sz="8" w:space="0"/>
            </w:tcBorders>
            <w:shd w:val="clear" w:color="auto" w:fill="CBD7EA"/>
            <w:tcMar>
              <w:top w:w="10" w:type="dxa"/>
              <w:left w:w="10" w:type="dxa"/>
              <w:bottom w:w="0" w:type="dxa"/>
              <w:right w:w="10" w:type="dxa"/>
            </w:tcMar>
            <w:hideMark/>
          </w:tcPr>
          <w:p w:rsidRPr="001B30A8" w:rsidR="007D249B" w:rsidP="004B0DCB" w:rsidRDefault="007D249B" w14:paraId="324CE7DE" w14:textId="77777777">
            <w:pPr>
              <w:spacing w:after="160" w:line="259" w:lineRule="auto"/>
              <w:jc w:val="center"/>
              <w:rPr>
                <w:sz w:val="14"/>
                <w:szCs w:val="20"/>
              </w:rPr>
            </w:pPr>
          </w:p>
        </w:tc>
      </w:tr>
      <w:tr w:rsidRPr="001B30A8" w:rsidR="007D249B" w:rsidTr="004B0DCB" w14:paraId="11E20F27" w14:textId="77777777">
        <w:trPr>
          <w:trHeight w:val="293"/>
        </w:trPr>
        <w:tc>
          <w:tcPr>
            <w:tcW w:w="686" w:type="pct"/>
            <w:tcBorders>
              <w:top w:val="single" w:color="FFFFFF" w:sz="8" w:space="0"/>
              <w:left w:val="single" w:color="FFFFFF" w:sz="8" w:space="0"/>
              <w:bottom w:val="single" w:color="FFFFFF" w:sz="8" w:space="0"/>
              <w:right w:val="single" w:color="FFFFFF" w:sz="8" w:space="0"/>
            </w:tcBorders>
            <w:shd w:val="clear" w:color="auto" w:fill="E7ECF5"/>
            <w:tcMar>
              <w:top w:w="10" w:type="dxa"/>
              <w:left w:w="10" w:type="dxa"/>
              <w:bottom w:w="0" w:type="dxa"/>
              <w:right w:w="10" w:type="dxa"/>
            </w:tcMar>
            <w:hideMark/>
          </w:tcPr>
          <w:p w:rsidRPr="001B30A8" w:rsidR="007D249B" w:rsidP="004B0DCB" w:rsidRDefault="007D249B" w14:paraId="717D3ADD" w14:textId="77777777">
            <w:pPr>
              <w:spacing w:after="160" w:line="259" w:lineRule="auto"/>
              <w:jc w:val="center"/>
              <w:rPr>
                <w:sz w:val="14"/>
                <w:szCs w:val="20"/>
              </w:rPr>
            </w:pPr>
          </w:p>
        </w:tc>
        <w:tc>
          <w:tcPr>
            <w:tcW w:w="1510" w:type="pct"/>
            <w:tcBorders>
              <w:top w:val="single" w:color="FFFFFF" w:sz="8" w:space="0"/>
              <w:left w:val="single" w:color="FFFFFF" w:sz="8" w:space="0"/>
              <w:bottom w:val="single" w:color="FFFFFF" w:sz="8" w:space="0"/>
              <w:right w:val="single" w:color="FFFFFF" w:sz="8" w:space="0"/>
            </w:tcBorders>
            <w:shd w:val="clear" w:color="auto" w:fill="E7ECF5"/>
            <w:tcMar>
              <w:top w:w="10" w:type="dxa"/>
              <w:left w:w="10" w:type="dxa"/>
              <w:bottom w:w="0" w:type="dxa"/>
              <w:right w:w="10" w:type="dxa"/>
            </w:tcMar>
            <w:hideMark/>
          </w:tcPr>
          <w:p w:rsidRPr="001B30A8" w:rsidR="007D249B" w:rsidP="004B0DCB" w:rsidRDefault="007D249B" w14:paraId="6C4834E8" w14:textId="77777777">
            <w:pPr>
              <w:spacing w:after="160" w:line="259" w:lineRule="auto"/>
              <w:jc w:val="center"/>
              <w:rPr>
                <w:sz w:val="14"/>
                <w:szCs w:val="20"/>
              </w:rPr>
            </w:pPr>
            <w:r w:rsidRPr="001B30A8">
              <w:rPr>
                <w:sz w:val="14"/>
                <w:szCs w:val="20"/>
              </w:rPr>
              <w:t>Programma zero-emissie reizigerstreinen</w:t>
            </w:r>
          </w:p>
        </w:tc>
        <w:tc>
          <w:tcPr>
            <w:tcW w:w="425" w:type="pct"/>
            <w:tcBorders>
              <w:top w:val="single" w:color="FFFFFF" w:sz="8" w:space="0"/>
              <w:left w:val="single" w:color="FFFFFF" w:sz="8" w:space="0"/>
              <w:bottom w:val="single" w:color="FFFFFF" w:sz="8" w:space="0"/>
              <w:right w:val="single" w:color="FFFFFF" w:sz="8" w:space="0"/>
            </w:tcBorders>
            <w:shd w:val="clear" w:color="auto" w:fill="E7ECF5"/>
            <w:tcMar>
              <w:top w:w="10" w:type="dxa"/>
              <w:left w:w="10" w:type="dxa"/>
              <w:bottom w:w="0" w:type="dxa"/>
              <w:right w:w="10" w:type="dxa"/>
            </w:tcMar>
            <w:hideMark/>
          </w:tcPr>
          <w:p w:rsidRPr="001B30A8" w:rsidR="007D249B" w:rsidP="004B0DCB" w:rsidRDefault="007D249B" w14:paraId="2922959A" w14:textId="77777777">
            <w:pPr>
              <w:spacing w:after="160" w:line="259" w:lineRule="auto"/>
              <w:jc w:val="center"/>
              <w:rPr>
                <w:sz w:val="14"/>
                <w:szCs w:val="20"/>
              </w:rPr>
            </w:pPr>
            <w:r w:rsidRPr="001B30A8">
              <w:rPr>
                <w:sz w:val="14"/>
                <w:szCs w:val="20"/>
              </w:rPr>
              <w:t>1.042</w:t>
            </w:r>
          </w:p>
        </w:tc>
        <w:tc>
          <w:tcPr>
            <w:tcW w:w="655" w:type="pct"/>
            <w:tcBorders>
              <w:top w:val="single" w:color="FFFFFF" w:sz="8" w:space="0"/>
              <w:left w:val="single" w:color="FFFFFF" w:sz="8" w:space="0"/>
              <w:bottom w:val="single" w:color="FFFFFF" w:sz="8" w:space="0"/>
              <w:right w:val="single" w:color="FFFFFF" w:sz="8" w:space="0"/>
            </w:tcBorders>
            <w:shd w:val="clear" w:color="auto" w:fill="FF0000"/>
            <w:tcMar>
              <w:top w:w="10" w:type="dxa"/>
              <w:left w:w="10" w:type="dxa"/>
              <w:bottom w:w="0" w:type="dxa"/>
              <w:right w:w="10" w:type="dxa"/>
            </w:tcMar>
            <w:hideMark/>
          </w:tcPr>
          <w:p w:rsidRPr="001B30A8" w:rsidR="007D249B" w:rsidP="004B0DCB" w:rsidRDefault="007D249B" w14:paraId="2ED20F63" w14:textId="77777777">
            <w:pPr>
              <w:spacing w:after="160" w:line="259" w:lineRule="auto"/>
              <w:jc w:val="center"/>
              <w:rPr>
                <w:sz w:val="14"/>
                <w:szCs w:val="20"/>
              </w:rPr>
            </w:pPr>
            <w:r w:rsidRPr="001B30A8">
              <w:rPr>
                <w:sz w:val="14"/>
                <w:szCs w:val="20"/>
              </w:rPr>
              <w:t>0      (A)</w:t>
            </w:r>
          </w:p>
        </w:tc>
        <w:tc>
          <w:tcPr>
            <w:tcW w:w="814" w:type="pct"/>
            <w:tcBorders>
              <w:top w:val="single" w:color="FFFFFF" w:sz="8" w:space="0"/>
              <w:left w:val="single" w:color="FFFFFF" w:sz="8" w:space="0"/>
              <w:bottom w:val="single" w:color="FFFFFF" w:sz="8" w:space="0"/>
              <w:right w:val="single" w:color="FFFFFF" w:sz="8" w:space="0"/>
            </w:tcBorders>
            <w:shd w:val="clear" w:color="auto" w:fill="FF0000"/>
            <w:tcMar>
              <w:top w:w="10" w:type="dxa"/>
              <w:left w:w="10" w:type="dxa"/>
              <w:bottom w:w="0" w:type="dxa"/>
              <w:right w:w="10" w:type="dxa"/>
            </w:tcMar>
            <w:hideMark/>
          </w:tcPr>
          <w:p w:rsidRPr="001B30A8" w:rsidR="007D249B" w:rsidP="004B0DCB" w:rsidRDefault="007D249B" w14:paraId="4BA505A8" w14:textId="77777777">
            <w:pPr>
              <w:spacing w:after="160" w:line="259" w:lineRule="auto"/>
              <w:jc w:val="center"/>
              <w:rPr>
                <w:sz w:val="14"/>
                <w:szCs w:val="20"/>
              </w:rPr>
            </w:pPr>
            <w:r w:rsidRPr="001B30A8">
              <w:rPr>
                <w:sz w:val="14"/>
                <w:szCs w:val="20"/>
              </w:rPr>
              <w:t>0      (A)</w:t>
            </w:r>
          </w:p>
        </w:tc>
        <w:tc>
          <w:tcPr>
            <w:tcW w:w="909" w:type="pct"/>
            <w:tcBorders>
              <w:top w:val="single" w:color="FFFFFF" w:sz="8" w:space="0"/>
              <w:left w:val="single" w:color="FFFFFF" w:sz="8" w:space="0"/>
              <w:bottom w:val="single" w:color="FFFFFF" w:sz="8" w:space="0"/>
              <w:right w:val="single" w:color="FFFFFF" w:sz="8" w:space="0"/>
            </w:tcBorders>
            <w:shd w:val="clear" w:color="auto" w:fill="E7ECF5"/>
            <w:tcMar>
              <w:top w:w="10" w:type="dxa"/>
              <w:left w:w="10" w:type="dxa"/>
              <w:bottom w:w="0" w:type="dxa"/>
              <w:right w:w="10" w:type="dxa"/>
            </w:tcMar>
            <w:hideMark/>
          </w:tcPr>
          <w:p w:rsidRPr="001B30A8" w:rsidR="007D249B" w:rsidP="004B0DCB" w:rsidRDefault="007D249B" w14:paraId="14D6DCD2" w14:textId="77777777">
            <w:pPr>
              <w:spacing w:after="160" w:line="259" w:lineRule="auto"/>
              <w:jc w:val="center"/>
              <w:rPr>
                <w:sz w:val="14"/>
                <w:szCs w:val="20"/>
              </w:rPr>
            </w:pPr>
          </w:p>
        </w:tc>
      </w:tr>
      <w:tr w:rsidRPr="001B30A8" w:rsidR="007D249B" w:rsidTr="004B0DCB" w14:paraId="24C9CE33" w14:textId="77777777">
        <w:trPr>
          <w:trHeight w:val="198"/>
        </w:trPr>
        <w:tc>
          <w:tcPr>
            <w:tcW w:w="686" w:type="pct"/>
            <w:tcBorders>
              <w:top w:val="single" w:color="FFFFFF" w:sz="8" w:space="0"/>
              <w:left w:val="single" w:color="FFFFFF" w:sz="8" w:space="0"/>
              <w:bottom w:val="single" w:color="FFFFFF" w:sz="8" w:space="0"/>
              <w:right w:val="single" w:color="FFFFFF" w:sz="8" w:space="0"/>
            </w:tcBorders>
            <w:shd w:val="clear" w:color="auto" w:fill="CBD7EA"/>
            <w:tcMar>
              <w:top w:w="10" w:type="dxa"/>
              <w:left w:w="10" w:type="dxa"/>
              <w:bottom w:w="0" w:type="dxa"/>
              <w:right w:w="10" w:type="dxa"/>
            </w:tcMar>
            <w:hideMark/>
          </w:tcPr>
          <w:p w:rsidRPr="001B30A8" w:rsidR="007D249B" w:rsidP="004B0DCB" w:rsidRDefault="007D249B" w14:paraId="286BFAC0" w14:textId="77777777">
            <w:pPr>
              <w:spacing w:after="160" w:line="259" w:lineRule="auto"/>
              <w:jc w:val="center"/>
              <w:rPr>
                <w:sz w:val="14"/>
                <w:szCs w:val="20"/>
              </w:rPr>
            </w:pPr>
          </w:p>
        </w:tc>
        <w:tc>
          <w:tcPr>
            <w:tcW w:w="1510" w:type="pct"/>
            <w:tcBorders>
              <w:top w:val="single" w:color="FFFFFF" w:sz="8" w:space="0"/>
              <w:left w:val="single" w:color="FFFFFF" w:sz="8" w:space="0"/>
              <w:bottom w:val="single" w:color="FFFFFF" w:sz="8" w:space="0"/>
              <w:right w:val="single" w:color="FFFFFF" w:sz="8" w:space="0"/>
            </w:tcBorders>
            <w:shd w:val="clear" w:color="auto" w:fill="CBD7EA"/>
            <w:tcMar>
              <w:top w:w="10" w:type="dxa"/>
              <w:left w:w="10" w:type="dxa"/>
              <w:bottom w:w="0" w:type="dxa"/>
              <w:right w:w="10" w:type="dxa"/>
            </w:tcMar>
            <w:hideMark/>
          </w:tcPr>
          <w:p w:rsidRPr="001B30A8" w:rsidR="007D249B" w:rsidP="004B0DCB" w:rsidRDefault="007D249B" w14:paraId="517F5856" w14:textId="77777777">
            <w:pPr>
              <w:spacing w:after="160" w:line="259" w:lineRule="auto"/>
              <w:jc w:val="center"/>
              <w:rPr>
                <w:sz w:val="14"/>
                <w:szCs w:val="20"/>
              </w:rPr>
            </w:pPr>
            <w:r w:rsidRPr="001B30A8">
              <w:rPr>
                <w:sz w:val="14"/>
                <w:szCs w:val="20"/>
              </w:rPr>
              <w:t>Bandenspanning</w:t>
            </w:r>
          </w:p>
        </w:tc>
        <w:tc>
          <w:tcPr>
            <w:tcW w:w="425" w:type="pct"/>
            <w:tcBorders>
              <w:top w:val="single" w:color="FFFFFF" w:sz="8" w:space="0"/>
              <w:left w:val="single" w:color="FFFFFF" w:sz="8" w:space="0"/>
              <w:bottom w:val="single" w:color="FFFFFF" w:sz="8" w:space="0"/>
              <w:right w:val="single" w:color="FFFFFF" w:sz="8" w:space="0"/>
            </w:tcBorders>
            <w:shd w:val="clear" w:color="auto" w:fill="CBD7EA"/>
            <w:tcMar>
              <w:top w:w="10" w:type="dxa"/>
              <w:left w:w="10" w:type="dxa"/>
              <w:bottom w:w="0" w:type="dxa"/>
              <w:right w:w="10" w:type="dxa"/>
            </w:tcMar>
            <w:hideMark/>
          </w:tcPr>
          <w:p w:rsidRPr="001B30A8" w:rsidR="007D249B" w:rsidP="004B0DCB" w:rsidRDefault="007D249B" w14:paraId="1D6CCB1D" w14:textId="77777777">
            <w:pPr>
              <w:spacing w:after="160" w:line="259" w:lineRule="auto"/>
              <w:jc w:val="center"/>
              <w:rPr>
                <w:sz w:val="14"/>
                <w:szCs w:val="20"/>
              </w:rPr>
            </w:pPr>
            <w:r w:rsidRPr="001B30A8">
              <w:rPr>
                <w:sz w:val="14"/>
                <w:szCs w:val="20"/>
              </w:rPr>
              <w:t>9</w:t>
            </w:r>
          </w:p>
        </w:tc>
        <w:tc>
          <w:tcPr>
            <w:tcW w:w="655" w:type="pct"/>
            <w:tcBorders>
              <w:top w:val="single" w:color="FFFFFF" w:sz="8" w:space="0"/>
              <w:left w:val="single" w:color="FFFFFF" w:sz="8" w:space="0"/>
              <w:bottom w:val="single" w:color="FFFFFF" w:sz="8" w:space="0"/>
              <w:right w:val="single" w:color="FFFFFF" w:sz="8" w:space="0"/>
            </w:tcBorders>
            <w:shd w:val="clear" w:color="auto" w:fill="FF0000"/>
            <w:tcMar>
              <w:top w:w="10" w:type="dxa"/>
              <w:left w:w="10" w:type="dxa"/>
              <w:bottom w:w="0" w:type="dxa"/>
              <w:right w:w="10" w:type="dxa"/>
            </w:tcMar>
            <w:hideMark/>
          </w:tcPr>
          <w:p w:rsidRPr="001B30A8" w:rsidR="007D249B" w:rsidP="004B0DCB" w:rsidRDefault="007D249B" w14:paraId="71B8D247" w14:textId="77777777">
            <w:pPr>
              <w:spacing w:after="160" w:line="259" w:lineRule="auto"/>
              <w:jc w:val="center"/>
              <w:rPr>
                <w:sz w:val="14"/>
                <w:szCs w:val="20"/>
              </w:rPr>
            </w:pPr>
            <w:r w:rsidRPr="001B30A8">
              <w:rPr>
                <w:sz w:val="14"/>
                <w:szCs w:val="20"/>
              </w:rPr>
              <w:t>0      (A)</w:t>
            </w:r>
          </w:p>
        </w:tc>
        <w:tc>
          <w:tcPr>
            <w:tcW w:w="814" w:type="pct"/>
            <w:tcBorders>
              <w:top w:val="single" w:color="FFFFFF" w:sz="8" w:space="0"/>
              <w:left w:val="single" w:color="FFFFFF" w:sz="8" w:space="0"/>
              <w:bottom w:val="single" w:color="FFFFFF" w:sz="8" w:space="0"/>
              <w:right w:val="single" w:color="FFFFFF" w:sz="8" w:space="0"/>
            </w:tcBorders>
            <w:shd w:val="clear" w:color="auto" w:fill="FF0000"/>
            <w:tcMar>
              <w:top w:w="10" w:type="dxa"/>
              <w:left w:w="10" w:type="dxa"/>
              <w:bottom w:w="0" w:type="dxa"/>
              <w:right w:w="10" w:type="dxa"/>
            </w:tcMar>
            <w:hideMark/>
          </w:tcPr>
          <w:p w:rsidRPr="001B30A8" w:rsidR="007D249B" w:rsidP="004B0DCB" w:rsidRDefault="007D249B" w14:paraId="5A67D737" w14:textId="77777777">
            <w:pPr>
              <w:spacing w:after="160" w:line="259" w:lineRule="auto"/>
              <w:jc w:val="center"/>
              <w:rPr>
                <w:sz w:val="14"/>
                <w:szCs w:val="20"/>
              </w:rPr>
            </w:pPr>
            <w:r w:rsidRPr="001B30A8">
              <w:rPr>
                <w:sz w:val="14"/>
                <w:szCs w:val="20"/>
              </w:rPr>
              <w:t>0      (A)</w:t>
            </w:r>
          </w:p>
        </w:tc>
        <w:tc>
          <w:tcPr>
            <w:tcW w:w="909" w:type="pct"/>
            <w:tcBorders>
              <w:top w:val="single" w:color="FFFFFF" w:sz="8" w:space="0"/>
              <w:left w:val="single" w:color="FFFFFF" w:sz="8" w:space="0"/>
              <w:bottom w:val="single" w:color="FFFFFF" w:sz="8" w:space="0"/>
              <w:right w:val="single" w:color="FFFFFF" w:sz="8" w:space="0"/>
            </w:tcBorders>
            <w:shd w:val="clear" w:color="auto" w:fill="CBD7EA"/>
            <w:tcMar>
              <w:top w:w="10" w:type="dxa"/>
              <w:left w:w="10" w:type="dxa"/>
              <w:bottom w:w="0" w:type="dxa"/>
              <w:right w:w="10" w:type="dxa"/>
            </w:tcMar>
            <w:hideMark/>
          </w:tcPr>
          <w:p w:rsidRPr="001B30A8" w:rsidR="007D249B" w:rsidP="004B0DCB" w:rsidRDefault="007D249B" w14:paraId="5CB848B2" w14:textId="77777777">
            <w:pPr>
              <w:spacing w:after="160" w:line="259" w:lineRule="auto"/>
              <w:jc w:val="center"/>
              <w:rPr>
                <w:sz w:val="14"/>
                <w:szCs w:val="20"/>
              </w:rPr>
            </w:pPr>
          </w:p>
        </w:tc>
      </w:tr>
      <w:tr w:rsidRPr="001B30A8" w:rsidR="007D249B" w:rsidTr="004B0DCB" w14:paraId="6848DB3D" w14:textId="77777777">
        <w:trPr>
          <w:trHeight w:val="293"/>
        </w:trPr>
        <w:tc>
          <w:tcPr>
            <w:tcW w:w="686" w:type="pct"/>
            <w:tcBorders>
              <w:top w:val="single" w:color="FFFFFF" w:sz="8" w:space="0"/>
              <w:left w:val="single" w:color="FFFFFF" w:sz="8" w:space="0"/>
              <w:bottom w:val="single" w:color="FFFFFF" w:sz="8" w:space="0"/>
              <w:right w:val="single" w:color="FFFFFF" w:sz="8" w:space="0"/>
            </w:tcBorders>
            <w:shd w:val="clear" w:color="auto" w:fill="E7ECF5"/>
            <w:tcMar>
              <w:top w:w="10" w:type="dxa"/>
              <w:left w:w="10" w:type="dxa"/>
              <w:bottom w:w="0" w:type="dxa"/>
              <w:right w:w="10" w:type="dxa"/>
            </w:tcMar>
            <w:hideMark/>
          </w:tcPr>
          <w:p w:rsidRPr="001B30A8" w:rsidR="007D249B" w:rsidP="004B0DCB" w:rsidRDefault="007D249B" w14:paraId="6CF845D4" w14:textId="77777777">
            <w:pPr>
              <w:spacing w:after="160" w:line="259" w:lineRule="auto"/>
              <w:jc w:val="center"/>
              <w:rPr>
                <w:sz w:val="14"/>
                <w:szCs w:val="20"/>
              </w:rPr>
            </w:pPr>
            <w:r w:rsidRPr="001B30A8">
              <w:rPr>
                <w:b/>
                <w:bCs/>
                <w:sz w:val="14"/>
                <w:szCs w:val="20"/>
              </w:rPr>
              <w:t>Lucht- en scheepvaart</w:t>
            </w:r>
          </w:p>
        </w:tc>
        <w:tc>
          <w:tcPr>
            <w:tcW w:w="1510" w:type="pct"/>
            <w:tcBorders>
              <w:top w:val="single" w:color="FFFFFF" w:sz="8" w:space="0"/>
              <w:left w:val="single" w:color="FFFFFF" w:sz="8" w:space="0"/>
              <w:bottom w:val="single" w:color="FFFFFF" w:sz="8" w:space="0"/>
              <w:right w:val="single" w:color="FFFFFF" w:sz="8" w:space="0"/>
            </w:tcBorders>
            <w:shd w:val="clear" w:color="auto" w:fill="E7ECF5"/>
            <w:tcMar>
              <w:top w:w="10" w:type="dxa"/>
              <w:left w:w="10" w:type="dxa"/>
              <w:bottom w:w="0" w:type="dxa"/>
              <w:right w:w="10" w:type="dxa"/>
            </w:tcMar>
            <w:hideMark/>
          </w:tcPr>
          <w:p w:rsidRPr="001B30A8" w:rsidR="007D249B" w:rsidP="004B0DCB" w:rsidRDefault="007D249B" w14:paraId="0B9BC4EA" w14:textId="77777777">
            <w:pPr>
              <w:spacing w:after="160" w:line="259" w:lineRule="auto"/>
              <w:jc w:val="center"/>
              <w:rPr>
                <w:sz w:val="14"/>
                <w:szCs w:val="20"/>
              </w:rPr>
            </w:pPr>
            <w:r w:rsidRPr="001B30A8">
              <w:rPr>
                <w:sz w:val="14"/>
                <w:szCs w:val="20"/>
              </w:rPr>
              <w:t>Bestuurlijk akkoord netcongestie in het OV</w:t>
            </w:r>
          </w:p>
        </w:tc>
        <w:tc>
          <w:tcPr>
            <w:tcW w:w="425" w:type="pct"/>
            <w:tcBorders>
              <w:top w:val="single" w:color="FFFFFF" w:sz="8" w:space="0"/>
              <w:left w:val="single" w:color="FFFFFF" w:sz="8" w:space="0"/>
              <w:bottom w:val="single" w:color="FFFFFF" w:sz="8" w:space="0"/>
              <w:right w:val="single" w:color="FFFFFF" w:sz="8" w:space="0"/>
            </w:tcBorders>
            <w:shd w:val="clear" w:color="auto" w:fill="E7ECF5"/>
            <w:tcMar>
              <w:top w:w="10" w:type="dxa"/>
              <w:left w:w="10" w:type="dxa"/>
              <w:bottom w:w="0" w:type="dxa"/>
              <w:right w:w="10" w:type="dxa"/>
            </w:tcMar>
            <w:hideMark/>
          </w:tcPr>
          <w:p w:rsidRPr="001B30A8" w:rsidR="007D249B" w:rsidP="004B0DCB" w:rsidRDefault="007D249B" w14:paraId="71DDF1E3" w14:textId="77777777">
            <w:pPr>
              <w:spacing w:after="160" w:line="259" w:lineRule="auto"/>
              <w:jc w:val="center"/>
              <w:rPr>
                <w:sz w:val="14"/>
                <w:szCs w:val="20"/>
              </w:rPr>
            </w:pPr>
            <w:r w:rsidRPr="001B30A8">
              <w:rPr>
                <w:sz w:val="14"/>
                <w:szCs w:val="20"/>
              </w:rPr>
              <w:t>15</w:t>
            </w:r>
          </w:p>
        </w:tc>
        <w:tc>
          <w:tcPr>
            <w:tcW w:w="655" w:type="pct"/>
            <w:tcBorders>
              <w:top w:val="single" w:color="FFFFFF" w:sz="8" w:space="0"/>
              <w:left w:val="single" w:color="FFFFFF" w:sz="8" w:space="0"/>
              <w:bottom w:val="single" w:color="FFFFFF" w:sz="8" w:space="0"/>
              <w:right w:val="single" w:color="FFFFFF" w:sz="8" w:space="0"/>
            </w:tcBorders>
            <w:shd w:val="clear" w:color="auto" w:fill="FF0000"/>
            <w:tcMar>
              <w:top w:w="10" w:type="dxa"/>
              <w:left w:w="10" w:type="dxa"/>
              <w:bottom w:w="0" w:type="dxa"/>
              <w:right w:w="10" w:type="dxa"/>
            </w:tcMar>
            <w:hideMark/>
          </w:tcPr>
          <w:p w:rsidRPr="001B30A8" w:rsidR="007D249B" w:rsidP="004B0DCB" w:rsidRDefault="007D249B" w14:paraId="6A958A19" w14:textId="77777777">
            <w:pPr>
              <w:spacing w:after="160" w:line="259" w:lineRule="auto"/>
              <w:jc w:val="center"/>
              <w:rPr>
                <w:sz w:val="14"/>
                <w:szCs w:val="20"/>
              </w:rPr>
            </w:pPr>
            <w:r w:rsidRPr="001B30A8">
              <w:rPr>
                <w:sz w:val="14"/>
                <w:szCs w:val="20"/>
              </w:rPr>
              <w:t>0      (A)</w:t>
            </w:r>
          </w:p>
        </w:tc>
        <w:tc>
          <w:tcPr>
            <w:tcW w:w="814" w:type="pct"/>
            <w:tcBorders>
              <w:top w:val="single" w:color="FFFFFF" w:sz="8" w:space="0"/>
              <w:left w:val="single" w:color="FFFFFF" w:sz="8" w:space="0"/>
              <w:bottom w:val="single" w:color="FFFFFF" w:sz="8" w:space="0"/>
              <w:right w:val="single" w:color="FFFFFF" w:sz="8" w:space="0"/>
            </w:tcBorders>
            <w:shd w:val="clear" w:color="auto" w:fill="FF0000"/>
            <w:tcMar>
              <w:top w:w="10" w:type="dxa"/>
              <w:left w:w="10" w:type="dxa"/>
              <w:bottom w:w="0" w:type="dxa"/>
              <w:right w:w="10" w:type="dxa"/>
            </w:tcMar>
            <w:hideMark/>
          </w:tcPr>
          <w:p w:rsidRPr="001B30A8" w:rsidR="007D249B" w:rsidP="004B0DCB" w:rsidRDefault="007D249B" w14:paraId="05DFCC02" w14:textId="77777777">
            <w:pPr>
              <w:spacing w:after="160" w:line="259" w:lineRule="auto"/>
              <w:jc w:val="center"/>
              <w:rPr>
                <w:sz w:val="14"/>
                <w:szCs w:val="20"/>
              </w:rPr>
            </w:pPr>
            <w:r w:rsidRPr="001B30A8">
              <w:rPr>
                <w:sz w:val="14"/>
                <w:szCs w:val="20"/>
              </w:rPr>
              <w:t>0      (A)</w:t>
            </w:r>
          </w:p>
        </w:tc>
        <w:tc>
          <w:tcPr>
            <w:tcW w:w="909" w:type="pct"/>
            <w:tcBorders>
              <w:top w:val="single" w:color="FFFFFF" w:sz="8" w:space="0"/>
              <w:left w:val="single" w:color="FFFFFF" w:sz="8" w:space="0"/>
              <w:bottom w:val="single" w:color="FFFFFF" w:sz="8" w:space="0"/>
              <w:right w:val="single" w:color="FFFFFF" w:sz="8" w:space="0"/>
            </w:tcBorders>
            <w:shd w:val="clear" w:color="auto" w:fill="E7ECF5"/>
            <w:tcMar>
              <w:top w:w="10" w:type="dxa"/>
              <w:left w:w="10" w:type="dxa"/>
              <w:bottom w:w="0" w:type="dxa"/>
              <w:right w:w="10" w:type="dxa"/>
            </w:tcMar>
            <w:hideMark/>
          </w:tcPr>
          <w:p w:rsidRPr="001B30A8" w:rsidR="007D249B" w:rsidP="004B0DCB" w:rsidRDefault="007D249B" w14:paraId="75A223EB" w14:textId="77777777">
            <w:pPr>
              <w:spacing w:after="160" w:line="259" w:lineRule="auto"/>
              <w:jc w:val="center"/>
              <w:rPr>
                <w:sz w:val="14"/>
                <w:szCs w:val="20"/>
              </w:rPr>
            </w:pPr>
          </w:p>
        </w:tc>
      </w:tr>
      <w:tr w:rsidRPr="001B30A8" w:rsidR="007D249B" w:rsidTr="004B0DCB" w14:paraId="6FE06A3D" w14:textId="77777777">
        <w:trPr>
          <w:trHeight w:val="293"/>
        </w:trPr>
        <w:tc>
          <w:tcPr>
            <w:tcW w:w="686" w:type="pct"/>
            <w:tcBorders>
              <w:top w:val="single" w:color="FFFFFF" w:sz="8" w:space="0"/>
              <w:left w:val="single" w:color="FFFFFF" w:sz="8" w:space="0"/>
              <w:bottom w:val="single" w:color="FFFFFF" w:sz="8" w:space="0"/>
              <w:right w:val="single" w:color="FFFFFF" w:sz="8" w:space="0"/>
            </w:tcBorders>
            <w:shd w:val="clear" w:color="auto" w:fill="CBD7EA"/>
            <w:tcMar>
              <w:top w:w="10" w:type="dxa"/>
              <w:left w:w="10" w:type="dxa"/>
              <w:bottom w:w="0" w:type="dxa"/>
              <w:right w:w="10" w:type="dxa"/>
            </w:tcMar>
            <w:hideMark/>
          </w:tcPr>
          <w:p w:rsidRPr="001B30A8" w:rsidR="007D249B" w:rsidP="004B0DCB" w:rsidRDefault="007D249B" w14:paraId="4E0FB084" w14:textId="77777777">
            <w:pPr>
              <w:spacing w:after="160" w:line="259" w:lineRule="auto"/>
              <w:jc w:val="center"/>
              <w:rPr>
                <w:sz w:val="14"/>
                <w:szCs w:val="20"/>
              </w:rPr>
            </w:pPr>
          </w:p>
        </w:tc>
        <w:tc>
          <w:tcPr>
            <w:tcW w:w="1510" w:type="pct"/>
            <w:tcBorders>
              <w:top w:val="single" w:color="FFFFFF" w:sz="8" w:space="0"/>
              <w:left w:val="single" w:color="FFFFFF" w:sz="8" w:space="0"/>
              <w:bottom w:val="single" w:color="FFFFFF" w:sz="8" w:space="0"/>
              <w:right w:val="single" w:color="FFFFFF" w:sz="8" w:space="0"/>
            </w:tcBorders>
            <w:shd w:val="clear" w:color="auto" w:fill="CBD7EA"/>
            <w:tcMar>
              <w:top w:w="10" w:type="dxa"/>
              <w:left w:w="10" w:type="dxa"/>
              <w:bottom w:w="0" w:type="dxa"/>
              <w:right w:w="10" w:type="dxa"/>
            </w:tcMar>
            <w:hideMark/>
          </w:tcPr>
          <w:p w:rsidRPr="001B30A8" w:rsidR="007D249B" w:rsidP="004B0DCB" w:rsidRDefault="007D249B" w14:paraId="4AF38D5F" w14:textId="77777777">
            <w:pPr>
              <w:spacing w:after="160" w:line="259" w:lineRule="auto"/>
              <w:jc w:val="center"/>
              <w:rPr>
                <w:sz w:val="14"/>
                <w:szCs w:val="20"/>
              </w:rPr>
            </w:pPr>
            <w:r w:rsidRPr="001B30A8">
              <w:rPr>
                <w:sz w:val="14"/>
                <w:szCs w:val="20"/>
              </w:rPr>
              <w:t>Biobrandstofinzet realisatie WOZ</w:t>
            </w:r>
          </w:p>
        </w:tc>
        <w:tc>
          <w:tcPr>
            <w:tcW w:w="425" w:type="pct"/>
            <w:tcBorders>
              <w:top w:val="single" w:color="FFFFFF" w:sz="8" w:space="0"/>
              <w:left w:val="single" w:color="FFFFFF" w:sz="8" w:space="0"/>
              <w:bottom w:val="single" w:color="FFFFFF" w:sz="8" w:space="0"/>
              <w:right w:val="single" w:color="FFFFFF" w:sz="8" w:space="0"/>
            </w:tcBorders>
            <w:shd w:val="clear" w:color="auto" w:fill="CBD7EA"/>
            <w:tcMar>
              <w:top w:w="10" w:type="dxa"/>
              <w:left w:w="10" w:type="dxa"/>
              <w:bottom w:w="0" w:type="dxa"/>
              <w:right w:w="10" w:type="dxa"/>
            </w:tcMar>
            <w:hideMark/>
          </w:tcPr>
          <w:p w:rsidRPr="001B30A8" w:rsidR="007D249B" w:rsidP="004B0DCB" w:rsidRDefault="007D249B" w14:paraId="7C83520B" w14:textId="77777777">
            <w:pPr>
              <w:spacing w:after="160" w:line="259" w:lineRule="auto"/>
              <w:jc w:val="center"/>
              <w:rPr>
                <w:sz w:val="14"/>
                <w:szCs w:val="20"/>
              </w:rPr>
            </w:pPr>
            <w:r w:rsidRPr="001B30A8">
              <w:rPr>
                <w:sz w:val="14"/>
                <w:szCs w:val="20"/>
              </w:rPr>
              <w:t>285,4</w:t>
            </w:r>
          </w:p>
        </w:tc>
        <w:tc>
          <w:tcPr>
            <w:tcW w:w="655" w:type="pct"/>
            <w:tcBorders>
              <w:top w:val="single" w:color="FFFFFF" w:sz="8" w:space="0"/>
              <w:left w:val="single" w:color="FFFFFF" w:sz="8" w:space="0"/>
              <w:bottom w:val="single" w:color="FFFFFF" w:sz="8" w:space="0"/>
              <w:right w:val="single" w:color="FFFFFF" w:sz="8" w:space="0"/>
            </w:tcBorders>
            <w:shd w:val="clear" w:color="auto" w:fill="FF0000"/>
            <w:tcMar>
              <w:top w:w="10" w:type="dxa"/>
              <w:left w:w="10" w:type="dxa"/>
              <w:bottom w:w="0" w:type="dxa"/>
              <w:right w:w="10" w:type="dxa"/>
            </w:tcMar>
            <w:hideMark/>
          </w:tcPr>
          <w:p w:rsidRPr="001B30A8" w:rsidR="007D249B" w:rsidP="004B0DCB" w:rsidRDefault="007D249B" w14:paraId="54EF7CB6" w14:textId="77777777">
            <w:pPr>
              <w:spacing w:after="160" w:line="259" w:lineRule="auto"/>
              <w:jc w:val="center"/>
              <w:rPr>
                <w:sz w:val="14"/>
                <w:szCs w:val="20"/>
              </w:rPr>
            </w:pPr>
            <w:r w:rsidRPr="001B30A8">
              <w:rPr>
                <w:sz w:val="14"/>
                <w:szCs w:val="20"/>
              </w:rPr>
              <w:t>0      (A)</w:t>
            </w:r>
          </w:p>
        </w:tc>
        <w:tc>
          <w:tcPr>
            <w:tcW w:w="814" w:type="pct"/>
            <w:tcBorders>
              <w:top w:val="single" w:color="FFFFFF" w:sz="8" w:space="0"/>
              <w:left w:val="single" w:color="FFFFFF" w:sz="8" w:space="0"/>
              <w:bottom w:val="single" w:color="FFFFFF" w:sz="8" w:space="0"/>
              <w:right w:val="single" w:color="FFFFFF" w:sz="8" w:space="0"/>
            </w:tcBorders>
            <w:shd w:val="clear" w:color="auto" w:fill="FF0000"/>
            <w:tcMar>
              <w:top w:w="10" w:type="dxa"/>
              <w:left w:w="10" w:type="dxa"/>
              <w:bottom w:w="0" w:type="dxa"/>
              <w:right w:w="10" w:type="dxa"/>
            </w:tcMar>
            <w:hideMark/>
          </w:tcPr>
          <w:p w:rsidRPr="001B30A8" w:rsidR="007D249B" w:rsidP="004B0DCB" w:rsidRDefault="007D249B" w14:paraId="029030C1" w14:textId="77777777">
            <w:pPr>
              <w:spacing w:after="160" w:line="259" w:lineRule="auto"/>
              <w:jc w:val="center"/>
              <w:rPr>
                <w:sz w:val="14"/>
                <w:szCs w:val="20"/>
              </w:rPr>
            </w:pPr>
            <w:r w:rsidRPr="001B30A8">
              <w:rPr>
                <w:sz w:val="14"/>
                <w:szCs w:val="20"/>
              </w:rPr>
              <w:t>0      (A)</w:t>
            </w:r>
          </w:p>
        </w:tc>
        <w:tc>
          <w:tcPr>
            <w:tcW w:w="909" w:type="pct"/>
            <w:tcBorders>
              <w:top w:val="single" w:color="FFFFFF" w:sz="8" w:space="0"/>
              <w:left w:val="single" w:color="FFFFFF" w:sz="8" w:space="0"/>
              <w:bottom w:val="single" w:color="FFFFFF" w:sz="8" w:space="0"/>
              <w:right w:val="single" w:color="FFFFFF" w:sz="8" w:space="0"/>
            </w:tcBorders>
            <w:shd w:val="clear" w:color="auto" w:fill="CBD7EA"/>
            <w:tcMar>
              <w:top w:w="10" w:type="dxa"/>
              <w:left w:w="10" w:type="dxa"/>
              <w:bottom w:w="0" w:type="dxa"/>
              <w:right w:w="10" w:type="dxa"/>
            </w:tcMar>
            <w:hideMark/>
          </w:tcPr>
          <w:p w:rsidRPr="001B30A8" w:rsidR="007D249B" w:rsidP="004B0DCB" w:rsidRDefault="007D249B" w14:paraId="70AB1F65" w14:textId="77777777">
            <w:pPr>
              <w:spacing w:after="160" w:line="259" w:lineRule="auto"/>
              <w:jc w:val="center"/>
              <w:rPr>
                <w:sz w:val="14"/>
                <w:szCs w:val="20"/>
              </w:rPr>
            </w:pPr>
          </w:p>
        </w:tc>
      </w:tr>
      <w:tr w:rsidRPr="001B30A8" w:rsidR="007D249B" w:rsidTr="004B0DCB" w14:paraId="4A201421" w14:textId="77777777">
        <w:trPr>
          <w:trHeight w:val="690"/>
        </w:trPr>
        <w:tc>
          <w:tcPr>
            <w:tcW w:w="686" w:type="pct"/>
            <w:tcBorders>
              <w:top w:val="single" w:color="FFFFFF" w:sz="8" w:space="0"/>
              <w:left w:val="single" w:color="FFFFFF" w:sz="8" w:space="0"/>
              <w:bottom w:val="single" w:color="FFFFFF" w:sz="8" w:space="0"/>
              <w:right w:val="single" w:color="FFFFFF" w:sz="8" w:space="0"/>
            </w:tcBorders>
            <w:shd w:val="clear" w:color="auto" w:fill="E7ECF5"/>
            <w:tcMar>
              <w:top w:w="10" w:type="dxa"/>
              <w:left w:w="10" w:type="dxa"/>
              <w:bottom w:w="0" w:type="dxa"/>
              <w:right w:w="10" w:type="dxa"/>
            </w:tcMar>
            <w:hideMark/>
          </w:tcPr>
          <w:p w:rsidRPr="001B30A8" w:rsidR="007D249B" w:rsidP="004B0DCB" w:rsidRDefault="007D249B" w14:paraId="0F58A35E" w14:textId="77777777">
            <w:pPr>
              <w:spacing w:after="160" w:line="259" w:lineRule="auto"/>
              <w:jc w:val="center"/>
              <w:rPr>
                <w:sz w:val="14"/>
                <w:szCs w:val="20"/>
              </w:rPr>
            </w:pPr>
          </w:p>
        </w:tc>
        <w:tc>
          <w:tcPr>
            <w:tcW w:w="1510" w:type="pct"/>
            <w:tcBorders>
              <w:top w:val="single" w:color="FFFFFF" w:sz="8" w:space="0"/>
              <w:left w:val="single" w:color="FFFFFF" w:sz="8" w:space="0"/>
              <w:bottom w:val="single" w:color="FFFFFF" w:sz="8" w:space="0"/>
              <w:right w:val="single" w:color="FFFFFF" w:sz="8" w:space="0"/>
            </w:tcBorders>
            <w:shd w:val="clear" w:color="auto" w:fill="E7ECF5"/>
            <w:tcMar>
              <w:top w:w="10" w:type="dxa"/>
              <w:left w:w="10" w:type="dxa"/>
              <w:bottom w:w="0" w:type="dxa"/>
              <w:right w:w="10" w:type="dxa"/>
            </w:tcMar>
            <w:hideMark/>
          </w:tcPr>
          <w:p w:rsidRPr="001B30A8" w:rsidR="007D249B" w:rsidP="004B0DCB" w:rsidRDefault="007D249B" w14:paraId="568014B4" w14:textId="77777777">
            <w:pPr>
              <w:spacing w:after="160" w:line="259" w:lineRule="auto"/>
              <w:jc w:val="center"/>
              <w:rPr>
                <w:sz w:val="14"/>
                <w:szCs w:val="20"/>
              </w:rPr>
            </w:pPr>
            <w:r w:rsidRPr="001B30A8">
              <w:rPr>
                <w:sz w:val="14"/>
                <w:szCs w:val="20"/>
              </w:rPr>
              <w:t>Reservering: Algemene reservering uitvoeringskosten, reservering voor M7 aanscherpen CO2-prestaties goederenvervoer</w:t>
            </w:r>
          </w:p>
        </w:tc>
        <w:tc>
          <w:tcPr>
            <w:tcW w:w="425" w:type="pct"/>
            <w:tcBorders>
              <w:top w:val="single" w:color="FFFFFF" w:sz="8" w:space="0"/>
              <w:left w:val="single" w:color="FFFFFF" w:sz="8" w:space="0"/>
              <w:bottom w:val="single" w:color="FFFFFF" w:sz="8" w:space="0"/>
              <w:right w:val="single" w:color="FFFFFF" w:sz="8" w:space="0"/>
            </w:tcBorders>
            <w:shd w:val="clear" w:color="auto" w:fill="E7ECF5"/>
            <w:tcMar>
              <w:top w:w="10" w:type="dxa"/>
              <w:left w:w="10" w:type="dxa"/>
              <w:bottom w:w="0" w:type="dxa"/>
              <w:right w:w="10" w:type="dxa"/>
            </w:tcMar>
            <w:hideMark/>
          </w:tcPr>
          <w:p w:rsidRPr="001B30A8" w:rsidR="007D249B" w:rsidP="004B0DCB" w:rsidRDefault="007D249B" w14:paraId="0AA72924" w14:textId="77777777">
            <w:pPr>
              <w:spacing w:after="160" w:line="259" w:lineRule="auto"/>
              <w:jc w:val="center"/>
              <w:rPr>
                <w:sz w:val="14"/>
                <w:szCs w:val="20"/>
              </w:rPr>
            </w:pPr>
            <w:r w:rsidRPr="001B30A8">
              <w:rPr>
                <w:sz w:val="14"/>
                <w:szCs w:val="20"/>
              </w:rPr>
              <w:t>-6</w:t>
            </w:r>
          </w:p>
        </w:tc>
        <w:tc>
          <w:tcPr>
            <w:tcW w:w="655" w:type="pct"/>
            <w:tcBorders>
              <w:top w:val="single" w:color="FFFFFF" w:sz="8" w:space="0"/>
              <w:left w:val="single" w:color="FFFFFF" w:sz="8" w:space="0"/>
              <w:bottom w:val="single" w:color="FFFFFF" w:sz="8" w:space="0"/>
              <w:right w:val="single" w:color="FFFFFF" w:sz="8" w:space="0"/>
            </w:tcBorders>
            <w:shd w:val="clear" w:color="auto" w:fill="FF0000"/>
            <w:tcMar>
              <w:top w:w="10" w:type="dxa"/>
              <w:left w:w="10" w:type="dxa"/>
              <w:bottom w:w="0" w:type="dxa"/>
              <w:right w:w="10" w:type="dxa"/>
            </w:tcMar>
            <w:hideMark/>
          </w:tcPr>
          <w:p w:rsidRPr="001B30A8" w:rsidR="007D249B" w:rsidP="004B0DCB" w:rsidRDefault="007D249B" w14:paraId="49E20532" w14:textId="77777777">
            <w:pPr>
              <w:spacing w:after="160" w:line="259" w:lineRule="auto"/>
              <w:jc w:val="center"/>
              <w:rPr>
                <w:sz w:val="14"/>
                <w:szCs w:val="20"/>
              </w:rPr>
            </w:pPr>
            <w:r w:rsidRPr="001B30A8">
              <w:rPr>
                <w:sz w:val="14"/>
                <w:szCs w:val="20"/>
              </w:rPr>
              <w:t>0      (A)</w:t>
            </w:r>
          </w:p>
        </w:tc>
        <w:tc>
          <w:tcPr>
            <w:tcW w:w="814" w:type="pct"/>
            <w:tcBorders>
              <w:top w:val="single" w:color="FFFFFF" w:sz="8" w:space="0"/>
              <w:left w:val="single" w:color="FFFFFF" w:sz="8" w:space="0"/>
              <w:bottom w:val="single" w:color="FFFFFF" w:sz="8" w:space="0"/>
              <w:right w:val="single" w:color="FFFFFF" w:sz="8" w:space="0"/>
            </w:tcBorders>
            <w:shd w:val="clear" w:color="auto" w:fill="FF0000"/>
            <w:tcMar>
              <w:top w:w="10" w:type="dxa"/>
              <w:left w:w="10" w:type="dxa"/>
              <w:bottom w:w="0" w:type="dxa"/>
              <w:right w:w="10" w:type="dxa"/>
            </w:tcMar>
            <w:hideMark/>
          </w:tcPr>
          <w:p w:rsidRPr="001B30A8" w:rsidR="007D249B" w:rsidP="004B0DCB" w:rsidRDefault="007D249B" w14:paraId="7EEE3510" w14:textId="77777777">
            <w:pPr>
              <w:spacing w:after="160" w:line="259" w:lineRule="auto"/>
              <w:jc w:val="center"/>
              <w:rPr>
                <w:sz w:val="14"/>
                <w:szCs w:val="20"/>
              </w:rPr>
            </w:pPr>
            <w:r w:rsidRPr="001B30A8">
              <w:rPr>
                <w:sz w:val="14"/>
                <w:szCs w:val="20"/>
              </w:rPr>
              <w:t>0      (A)</w:t>
            </w:r>
          </w:p>
        </w:tc>
        <w:tc>
          <w:tcPr>
            <w:tcW w:w="909" w:type="pct"/>
            <w:tcBorders>
              <w:top w:val="single" w:color="FFFFFF" w:sz="8" w:space="0"/>
              <w:left w:val="single" w:color="FFFFFF" w:sz="8" w:space="0"/>
              <w:bottom w:val="single" w:color="FFFFFF" w:sz="8" w:space="0"/>
              <w:right w:val="single" w:color="FFFFFF" w:sz="8" w:space="0"/>
            </w:tcBorders>
            <w:shd w:val="clear" w:color="auto" w:fill="E7ECF5"/>
            <w:tcMar>
              <w:top w:w="10" w:type="dxa"/>
              <w:left w:w="10" w:type="dxa"/>
              <w:bottom w:w="0" w:type="dxa"/>
              <w:right w:w="10" w:type="dxa"/>
            </w:tcMar>
            <w:hideMark/>
          </w:tcPr>
          <w:p w:rsidRPr="001B30A8" w:rsidR="007D249B" w:rsidP="004B0DCB" w:rsidRDefault="007D249B" w14:paraId="1376A837" w14:textId="77777777">
            <w:pPr>
              <w:spacing w:after="160" w:line="259" w:lineRule="auto"/>
              <w:jc w:val="center"/>
              <w:rPr>
                <w:sz w:val="14"/>
                <w:szCs w:val="20"/>
              </w:rPr>
            </w:pPr>
          </w:p>
        </w:tc>
      </w:tr>
      <w:tr w:rsidRPr="001B30A8" w:rsidR="007D249B" w:rsidTr="004B0DCB" w14:paraId="141DA186" w14:textId="77777777">
        <w:trPr>
          <w:trHeight w:val="198"/>
        </w:trPr>
        <w:tc>
          <w:tcPr>
            <w:tcW w:w="686" w:type="pct"/>
            <w:tcBorders>
              <w:top w:val="single" w:color="FFFFFF" w:sz="8" w:space="0"/>
              <w:left w:val="single" w:color="FFFFFF" w:sz="8" w:space="0"/>
              <w:bottom w:val="single" w:color="FFFFFF" w:sz="8" w:space="0"/>
              <w:right w:val="single" w:color="FFFFFF" w:sz="8" w:space="0"/>
            </w:tcBorders>
            <w:shd w:val="clear" w:color="auto" w:fill="CBD7EA"/>
            <w:tcMar>
              <w:top w:w="10" w:type="dxa"/>
              <w:left w:w="10" w:type="dxa"/>
              <w:bottom w:w="0" w:type="dxa"/>
              <w:right w:w="10" w:type="dxa"/>
            </w:tcMar>
            <w:hideMark/>
          </w:tcPr>
          <w:p w:rsidRPr="001B30A8" w:rsidR="007D249B" w:rsidP="004B0DCB" w:rsidRDefault="007D249B" w14:paraId="4BB12123" w14:textId="77777777">
            <w:pPr>
              <w:spacing w:after="160" w:line="259" w:lineRule="auto"/>
              <w:jc w:val="center"/>
              <w:rPr>
                <w:sz w:val="14"/>
                <w:szCs w:val="20"/>
              </w:rPr>
            </w:pPr>
          </w:p>
        </w:tc>
        <w:tc>
          <w:tcPr>
            <w:tcW w:w="1510" w:type="pct"/>
            <w:tcBorders>
              <w:top w:val="single" w:color="FFFFFF" w:sz="8" w:space="0"/>
              <w:left w:val="single" w:color="FFFFFF" w:sz="8" w:space="0"/>
              <w:bottom w:val="single" w:color="FFFFFF" w:sz="8" w:space="0"/>
              <w:right w:val="single" w:color="FFFFFF" w:sz="8" w:space="0"/>
            </w:tcBorders>
            <w:shd w:val="clear" w:color="auto" w:fill="CBD7EA"/>
            <w:tcMar>
              <w:top w:w="10" w:type="dxa"/>
              <w:left w:w="10" w:type="dxa"/>
              <w:bottom w:w="0" w:type="dxa"/>
              <w:right w:w="10" w:type="dxa"/>
            </w:tcMar>
            <w:hideMark/>
          </w:tcPr>
          <w:p w:rsidRPr="001B30A8" w:rsidR="007D249B" w:rsidP="004B0DCB" w:rsidRDefault="007D249B" w14:paraId="65510BD0" w14:textId="77777777">
            <w:pPr>
              <w:spacing w:after="160" w:line="259" w:lineRule="auto"/>
              <w:jc w:val="center"/>
              <w:rPr>
                <w:sz w:val="14"/>
                <w:szCs w:val="20"/>
              </w:rPr>
            </w:pPr>
            <w:r w:rsidRPr="001B30A8">
              <w:rPr>
                <w:sz w:val="14"/>
                <w:szCs w:val="20"/>
              </w:rPr>
              <w:t>Elektrisch aangedreven Friese Waddenveren</w:t>
            </w:r>
          </w:p>
        </w:tc>
        <w:tc>
          <w:tcPr>
            <w:tcW w:w="425" w:type="pct"/>
            <w:tcBorders>
              <w:top w:val="single" w:color="FFFFFF" w:sz="8" w:space="0"/>
              <w:left w:val="single" w:color="FFFFFF" w:sz="8" w:space="0"/>
              <w:bottom w:val="single" w:color="FFFFFF" w:sz="8" w:space="0"/>
              <w:right w:val="single" w:color="FFFFFF" w:sz="8" w:space="0"/>
            </w:tcBorders>
            <w:shd w:val="clear" w:color="auto" w:fill="CBD7EA"/>
            <w:tcMar>
              <w:top w:w="10" w:type="dxa"/>
              <w:left w:w="10" w:type="dxa"/>
              <w:bottom w:w="0" w:type="dxa"/>
              <w:right w:w="10" w:type="dxa"/>
            </w:tcMar>
            <w:hideMark/>
          </w:tcPr>
          <w:p w:rsidRPr="001B30A8" w:rsidR="007D249B" w:rsidP="004B0DCB" w:rsidRDefault="007D249B" w14:paraId="713F0B11" w14:textId="77777777">
            <w:pPr>
              <w:spacing w:after="160" w:line="259" w:lineRule="auto"/>
              <w:jc w:val="center"/>
              <w:rPr>
                <w:sz w:val="14"/>
                <w:szCs w:val="20"/>
              </w:rPr>
            </w:pPr>
            <w:r w:rsidRPr="001B30A8">
              <w:rPr>
                <w:sz w:val="14"/>
                <w:szCs w:val="20"/>
              </w:rPr>
              <w:t>75</w:t>
            </w:r>
          </w:p>
        </w:tc>
        <w:tc>
          <w:tcPr>
            <w:tcW w:w="655" w:type="pct"/>
            <w:tcBorders>
              <w:top w:val="single" w:color="FFFFFF" w:sz="8" w:space="0"/>
              <w:left w:val="single" w:color="FFFFFF" w:sz="8" w:space="0"/>
              <w:bottom w:val="single" w:color="FFFFFF" w:sz="8" w:space="0"/>
              <w:right w:val="single" w:color="FFFFFF" w:sz="8" w:space="0"/>
            </w:tcBorders>
            <w:shd w:val="clear" w:color="auto" w:fill="FF0000"/>
            <w:tcMar>
              <w:top w:w="10" w:type="dxa"/>
              <w:left w:w="10" w:type="dxa"/>
              <w:bottom w:w="0" w:type="dxa"/>
              <w:right w:w="10" w:type="dxa"/>
            </w:tcMar>
            <w:hideMark/>
          </w:tcPr>
          <w:p w:rsidRPr="001B30A8" w:rsidR="007D249B" w:rsidP="004B0DCB" w:rsidRDefault="007D249B" w14:paraId="1A988995" w14:textId="77777777">
            <w:pPr>
              <w:spacing w:after="160" w:line="259" w:lineRule="auto"/>
              <w:jc w:val="center"/>
              <w:rPr>
                <w:sz w:val="14"/>
                <w:szCs w:val="20"/>
              </w:rPr>
            </w:pPr>
            <w:r w:rsidRPr="001B30A8">
              <w:rPr>
                <w:sz w:val="14"/>
                <w:szCs w:val="20"/>
              </w:rPr>
              <w:t>0      (A)</w:t>
            </w:r>
          </w:p>
        </w:tc>
        <w:tc>
          <w:tcPr>
            <w:tcW w:w="814" w:type="pct"/>
            <w:tcBorders>
              <w:top w:val="single" w:color="FFFFFF" w:sz="8" w:space="0"/>
              <w:left w:val="single" w:color="FFFFFF" w:sz="8" w:space="0"/>
              <w:bottom w:val="single" w:color="FFFFFF" w:sz="8" w:space="0"/>
              <w:right w:val="single" w:color="FFFFFF" w:sz="8" w:space="0"/>
            </w:tcBorders>
            <w:shd w:val="clear" w:color="auto" w:fill="00B050"/>
            <w:tcMar>
              <w:top w:w="10" w:type="dxa"/>
              <w:left w:w="10" w:type="dxa"/>
              <w:bottom w:w="0" w:type="dxa"/>
              <w:right w:w="10" w:type="dxa"/>
            </w:tcMar>
            <w:hideMark/>
          </w:tcPr>
          <w:p w:rsidRPr="001B30A8" w:rsidR="007D249B" w:rsidP="004B0DCB" w:rsidRDefault="007D249B" w14:paraId="68E2DD16" w14:textId="77777777">
            <w:pPr>
              <w:spacing w:after="160" w:line="259" w:lineRule="auto"/>
              <w:jc w:val="center"/>
              <w:rPr>
                <w:sz w:val="14"/>
                <w:szCs w:val="20"/>
              </w:rPr>
            </w:pPr>
            <w:r w:rsidRPr="001B30A8">
              <w:rPr>
                <w:sz w:val="14"/>
                <w:szCs w:val="20"/>
              </w:rPr>
              <w:t>50  (</w:t>
            </w:r>
            <w:proofErr w:type="spellStart"/>
            <w:r w:rsidRPr="001B30A8">
              <w:rPr>
                <w:sz w:val="14"/>
                <w:szCs w:val="20"/>
              </w:rPr>
              <w:t>ToV</w:t>
            </w:r>
            <w:proofErr w:type="spellEnd"/>
            <w:r w:rsidRPr="001B30A8">
              <w:rPr>
                <w:sz w:val="14"/>
                <w:szCs w:val="20"/>
              </w:rPr>
              <w:t>)</w:t>
            </w:r>
          </w:p>
        </w:tc>
        <w:tc>
          <w:tcPr>
            <w:tcW w:w="909" w:type="pct"/>
            <w:tcBorders>
              <w:top w:val="single" w:color="FFFFFF" w:sz="8" w:space="0"/>
              <w:left w:val="single" w:color="FFFFFF" w:sz="8" w:space="0"/>
              <w:bottom w:val="single" w:color="FFFFFF" w:sz="8" w:space="0"/>
              <w:right w:val="single" w:color="FFFFFF" w:sz="8" w:space="0"/>
            </w:tcBorders>
            <w:shd w:val="clear" w:color="auto" w:fill="CBD7EA"/>
            <w:tcMar>
              <w:top w:w="10" w:type="dxa"/>
              <w:left w:w="10" w:type="dxa"/>
              <w:bottom w:w="0" w:type="dxa"/>
              <w:right w:w="10" w:type="dxa"/>
            </w:tcMar>
            <w:hideMark/>
          </w:tcPr>
          <w:p w:rsidRPr="001B30A8" w:rsidR="007D249B" w:rsidP="004B0DCB" w:rsidRDefault="007D249B" w14:paraId="62488B87" w14:textId="77777777">
            <w:pPr>
              <w:spacing w:after="160" w:line="259" w:lineRule="auto"/>
              <w:jc w:val="center"/>
              <w:rPr>
                <w:sz w:val="14"/>
                <w:szCs w:val="20"/>
              </w:rPr>
            </w:pPr>
          </w:p>
        </w:tc>
      </w:tr>
      <w:tr w:rsidRPr="001B30A8" w:rsidR="007D249B" w:rsidTr="004B0DCB" w14:paraId="2124FCF4" w14:textId="77777777">
        <w:trPr>
          <w:trHeight w:val="293"/>
        </w:trPr>
        <w:tc>
          <w:tcPr>
            <w:tcW w:w="686" w:type="pct"/>
            <w:tcBorders>
              <w:top w:val="single" w:color="FFFFFF" w:sz="8" w:space="0"/>
              <w:left w:val="single" w:color="FFFFFF" w:sz="8" w:space="0"/>
              <w:bottom w:val="single" w:color="FFFFFF" w:sz="8" w:space="0"/>
              <w:right w:val="single" w:color="FFFFFF" w:sz="8" w:space="0"/>
            </w:tcBorders>
            <w:shd w:val="clear" w:color="auto" w:fill="E7ECF5"/>
            <w:tcMar>
              <w:top w:w="10" w:type="dxa"/>
              <w:left w:w="10" w:type="dxa"/>
              <w:bottom w:w="0" w:type="dxa"/>
              <w:right w:w="10" w:type="dxa"/>
            </w:tcMar>
            <w:hideMark/>
          </w:tcPr>
          <w:p w:rsidRPr="001B30A8" w:rsidR="007D249B" w:rsidP="004B0DCB" w:rsidRDefault="007D249B" w14:paraId="4FCA3F3C" w14:textId="77777777">
            <w:pPr>
              <w:spacing w:after="160" w:line="259" w:lineRule="auto"/>
              <w:jc w:val="center"/>
              <w:rPr>
                <w:sz w:val="14"/>
                <w:szCs w:val="20"/>
              </w:rPr>
            </w:pPr>
          </w:p>
        </w:tc>
        <w:tc>
          <w:tcPr>
            <w:tcW w:w="1510" w:type="pct"/>
            <w:tcBorders>
              <w:top w:val="single" w:color="FFFFFF" w:sz="8" w:space="0"/>
              <w:left w:val="single" w:color="FFFFFF" w:sz="8" w:space="0"/>
              <w:bottom w:val="single" w:color="FFFFFF" w:sz="8" w:space="0"/>
              <w:right w:val="single" w:color="FFFFFF" w:sz="8" w:space="0"/>
            </w:tcBorders>
            <w:shd w:val="clear" w:color="auto" w:fill="E7ECF5"/>
            <w:tcMar>
              <w:top w:w="10" w:type="dxa"/>
              <w:left w:w="10" w:type="dxa"/>
              <w:bottom w:w="0" w:type="dxa"/>
              <w:right w:w="10" w:type="dxa"/>
            </w:tcMar>
            <w:hideMark/>
          </w:tcPr>
          <w:p w:rsidRPr="001B30A8" w:rsidR="007D249B" w:rsidP="004B0DCB" w:rsidRDefault="007D249B" w14:paraId="1CE8CB6C" w14:textId="77777777">
            <w:pPr>
              <w:spacing w:after="160" w:line="259" w:lineRule="auto"/>
              <w:jc w:val="center"/>
              <w:rPr>
                <w:sz w:val="14"/>
                <w:szCs w:val="20"/>
              </w:rPr>
            </w:pPr>
            <w:r w:rsidRPr="001B30A8">
              <w:rPr>
                <w:sz w:val="14"/>
                <w:szCs w:val="20"/>
              </w:rPr>
              <w:t>Opschaling nieuwe aandrijftechnologieën luchtvaart</w:t>
            </w:r>
          </w:p>
        </w:tc>
        <w:tc>
          <w:tcPr>
            <w:tcW w:w="425" w:type="pct"/>
            <w:tcBorders>
              <w:top w:val="single" w:color="FFFFFF" w:sz="8" w:space="0"/>
              <w:left w:val="single" w:color="FFFFFF" w:sz="8" w:space="0"/>
              <w:bottom w:val="single" w:color="FFFFFF" w:sz="8" w:space="0"/>
              <w:right w:val="single" w:color="FFFFFF" w:sz="8" w:space="0"/>
            </w:tcBorders>
            <w:shd w:val="clear" w:color="auto" w:fill="E7ECF5"/>
            <w:tcMar>
              <w:top w:w="10" w:type="dxa"/>
              <w:left w:w="10" w:type="dxa"/>
              <w:bottom w:w="0" w:type="dxa"/>
              <w:right w:w="10" w:type="dxa"/>
            </w:tcMar>
            <w:hideMark/>
          </w:tcPr>
          <w:p w:rsidRPr="001B30A8" w:rsidR="007D249B" w:rsidP="004B0DCB" w:rsidRDefault="007D249B" w14:paraId="29D0B3EB" w14:textId="77777777">
            <w:pPr>
              <w:spacing w:after="160" w:line="259" w:lineRule="auto"/>
              <w:jc w:val="center"/>
              <w:rPr>
                <w:sz w:val="14"/>
                <w:szCs w:val="20"/>
              </w:rPr>
            </w:pPr>
            <w:r w:rsidRPr="001B30A8">
              <w:rPr>
                <w:sz w:val="14"/>
                <w:szCs w:val="20"/>
              </w:rPr>
              <w:t>200</w:t>
            </w:r>
          </w:p>
        </w:tc>
        <w:tc>
          <w:tcPr>
            <w:tcW w:w="655" w:type="pct"/>
            <w:tcBorders>
              <w:top w:val="single" w:color="FFFFFF" w:sz="8" w:space="0"/>
              <w:left w:val="single" w:color="FFFFFF" w:sz="8" w:space="0"/>
              <w:bottom w:val="single" w:color="FFFFFF" w:sz="8" w:space="0"/>
              <w:right w:val="single" w:color="FFFFFF" w:sz="8" w:space="0"/>
            </w:tcBorders>
            <w:shd w:val="clear" w:color="auto" w:fill="FF0000"/>
            <w:tcMar>
              <w:top w:w="10" w:type="dxa"/>
              <w:left w:w="10" w:type="dxa"/>
              <w:bottom w:w="0" w:type="dxa"/>
              <w:right w:w="10" w:type="dxa"/>
            </w:tcMar>
            <w:hideMark/>
          </w:tcPr>
          <w:p w:rsidRPr="001B30A8" w:rsidR="007D249B" w:rsidP="004B0DCB" w:rsidRDefault="007D249B" w14:paraId="4693155D" w14:textId="77777777">
            <w:pPr>
              <w:spacing w:after="160" w:line="259" w:lineRule="auto"/>
              <w:jc w:val="center"/>
              <w:rPr>
                <w:sz w:val="14"/>
                <w:szCs w:val="20"/>
              </w:rPr>
            </w:pPr>
            <w:r w:rsidRPr="001B30A8">
              <w:rPr>
                <w:sz w:val="14"/>
                <w:szCs w:val="20"/>
              </w:rPr>
              <w:t>0      (A)</w:t>
            </w:r>
          </w:p>
        </w:tc>
        <w:tc>
          <w:tcPr>
            <w:tcW w:w="814" w:type="pct"/>
            <w:tcBorders>
              <w:top w:val="single" w:color="FFFFFF" w:sz="8" w:space="0"/>
              <w:left w:val="single" w:color="FFFFFF" w:sz="8" w:space="0"/>
              <w:bottom w:val="single" w:color="FFFFFF" w:sz="8" w:space="0"/>
              <w:right w:val="single" w:color="FFFFFF" w:sz="8" w:space="0"/>
            </w:tcBorders>
            <w:shd w:val="clear" w:color="auto" w:fill="00B050"/>
            <w:tcMar>
              <w:top w:w="10" w:type="dxa"/>
              <w:left w:w="10" w:type="dxa"/>
              <w:bottom w:w="0" w:type="dxa"/>
              <w:right w:w="10" w:type="dxa"/>
            </w:tcMar>
            <w:hideMark/>
          </w:tcPr>
          <w:p w:rsidRPr="001B30A8" w:rsidR="007D249B" w:rsidP="004B0DCB" w:rsidRDefault="007D249B" w14:paraId="13A76635" w14:textId="77777777">
            <w:pPr>
              <w:spacing w:after="160" w:line="259" w:lineRule="auto"/>
              <w:jc w:val="center"/>
              <w:rPr>
                <w:sz w:val="14"/>
                <w:szCs w:val="20"/>
              </w:rPr>
            </w:pPr>
            <w:r w:rsidRPr="001B30A8">
              <w:rPr>
                <w:sz w:val="14"/>
                <w:szCs w:val="20"/>
              </w:rPr>
              <w:t xml:space="preserve">20  </w:t>
            </w:r>
            <w:r>
              <w:rPr>
                <w:sz w:val="14"/>
                <w:szCs w:val="20"/>
              </w:rPr>
              <w:t xml:space="preserve">   </w:t>
            </w:r>
            <w:r w:rsidRPr="001B30A8">
              <w:rPr>
                <w:sz w:val="14"/>
                <w:szCs w:val="20"/>
              </w:rPr>
              <w:t>(T)</w:t>
            </w:r>
          </w:p>
        </w:tc>
        <w:tc>
          <w:tcPr>
            <w:tcW w:w="909" w:type="pct"/>
            <w:tcBorders>
              <w:top w:val="single" w:color="FFFFFF" w:sz="8" w:space="0"/>
              <w:left w:val="single" w:color="FFFFFF" w:sz="8" w:space="0"/>
              <w:bottom w:val="single" w:color="FFFFFF" w:sz="8" w:space="0"/>
              <w:right w:val="single" w:color="FFFFFF" w:sz="8" w:space="0"/>
            </w:tcBorders>
            <w:shd w:val="clear" w:color="auto" w:fill="E7ECF5"/>
            <w:tcMar>
              <w:top w:w="10" w:type="dxa"/>
              <w:left w:w="10" w:type="dxa"/>
              <w:bottom w:w="0" w:type="dxa"/>
              <w:right w:w="10" w:type="dxa"/>
            </w:tcMar>
            <w:hideMark/>
          </w:tcPr>
          <w:p w:rsidRPr="001B30A8" w:rsidR="007D249B" w:rsidP="004B0DCB" w:rsidRDefault="007D249B" w14:paraId="1808B56E" w14:textId="77777777">
            <w:pPr>
              <w:spacing w:after="160" w:line="259" w:lineRule="auto"/>
              <w:jc w:val="center"/>
              <w:rPr>
                <w:sz w:val="14"/>
                <w:szCs w:val="20"/>
              </w:rPr>
            </w:pPr>
          </w:p>
        </w:tc>
      </w:tr>
    </w:tbl>
    <w:p w:rsidR="007D249B" w:rsidP="007D249B" w:rsidRDefault="007D249B" w14:paraId="2308D4C4" w14:textId="77777777">
      <w:pPr>
        <w:spacing w:line="240" w:lineRule="auto"/>
      </w:pPr>
    </w:p>
    <w:p w:rsidR="007D249B" w:rsidP="007D249B" w:rsidRDefault="007D249B" w14:paraId="24D7188E" w14:textId="77777777">
      <w:pPr>
        <w:spacing w:after="160" w:line="259" w:lineRule="auto"/>
        <w:rPr>
          <w:b/>
          <w:bCs/>
        </w:rPr>
      </w:pPr>
    </w:p>
    <w:p w:rsidR="007D249B" w:rsidP="007D249B" w:rsidRDefault="007D249B" w14:paraId="252628C2" w14:textId="70FF4DB2">
      <w:pPr>
        <w:spacing w:after="160" w:line="259" w:lineRule="auto"/>
        <w:rPr>
          <w:b/>
          <w:bCs/>
        </w:rPr>
      </w:pPr>
      <w:r w:rsidRPr="0072749D">
        <w:rPr>
          <w:b/>
          <w:bCs/>
        </w:rPr>
        <w:lastRenderedPageBreak/>
        <w:t>Bijlage maatregelenpakket autobelastingen (personenauto’s)</w:t>
      </w:r>
    </w:p>
    <w:tbl>
      <w:tblPr>
        <w:tblpPr w:leftFromText="141" w:rightFromText="141" w:vertAnchor="page" w:horzAnchor="margin" w:tblpY="2209"/>
        <w:tblW w:w="9346" w:type="dxa"/>
        <w:tblCellMar>
          <w:left w:w="0" w:type="dxa"/>
          <w:right w:w="0" w:type="dxa"/>
        </w:tblCellMar>
        <w:tblLook w:val="0420" w:firstRow="1" w:lastRow="0" w:firstColumn="0" w:lastColumn="0" w:noHBand="0" w:noVBand="1"/>
      </w:tblPr>
      <w:tblGrid>
        <w:gridCol w:w="3114"/>
        <w:gridCol w:w="6232"/>
      </w:tblGrid>
      <w:tr w:rsidRPr="00B64F97" w:rsidR="007D249B" w:rsidTr="004B0DCB" w14:paraId="60889CB8" w14:textId="77777777">
        <w:trPr>
          <w:trHeight w:val="24"/>
        </w:trPr>
        <w:tc>
          <w:tcPr>
            <w:tcW w:w="9346" w:type="dxa"/>
            <w:gridSpan w:val="2"/>
            <w:tcBorders>
              <w:top w:val="single" w:color="0070C0" w:sz="8" w:space="0"/>
              <w:left w:val="single" w:color="FFFFFF" w:sz="8" w:space="0"/>
              <w:bottom w:val="single" w:color="0070C0" w:sz="8" w:space="0"/>
              <w:right w:val="single" w:color="FFFFFF" w:sz="8" w:space="0"/>
            </w:tcBorders>
            <w:shd w:val="clear" w:color="auto" w:fill="0070C0"/>
            <w:tcMar>
              <w:top w:w="72" w:type="dxa"/>
              <w:left w:w="144" w:type="dxa"/>
              <w:bottom w:w="72" w:type="dxa"/>
              <w:right w:w="144" w:type="dxa"/>
            </w:tcMar>
            <w:hideMark/>
          </w:tcPr>
          <w:p w:rsidRPr="00B64F97" w:rsidR="007D249B" w:rsidP="004B0DCB" w:rsidRDefault="007D249B" w14:paraId="43F67238" w14:textId="77777777">
            <w:r w:rsidRPr="00B64F97">
              <w:rPr>
                <w:b/>
                <w:bCs/>
                <w:color w:val="FFFFFF" w:themeColor="background1"/>
              </w:rPr>
              <w:t>Belasten van bezit</w:t>
            </w:r>
          </w:p>
        </w:tc>
      </w:tr>
      <w:tr w:rsidRPr="00B64F97" w:rsidR="007D249B" w:rsidTr="004B0DCB" w14:paraId="565E4D7E" w14:textId="77777777">
        <w:trPr>
          <w:trHeight w:val="432"/>
        </w:trPr>
        <w:tc>
          <w:tcPr>
            <w:tcW w:w="3114" w:type="dxa"/>
            <w:tcBorders>
              <w:top w:val="single" w:color="0070C0" w:sz="8" w:space="0"/>
              <w:left w:val="single" w:color="FFFFFF" w:sz="8" w:space="0"/>
              <w:bottom w:val="single" w:color="0070C0" w:sz="8" w:space="0"/>
              <w:right w:val="single" w:color="FFFFFF" w:sz="8" w:space="0"/>
            </w:tcBorders>
            <w:tcMar>
              <w:top w:w="72" w:type="dxa"/>
              <w:left w:w="144" w:type="dxa"/>
              <w:bottom w:w="72" w:type="dxa"/>
              <w:right w:w="144" w:type="dxa"/>
            </w:tcMar>
            <w:hideMark/>
          </w:tcPr>
          <w:p w:rsidRPr="00B64F97" w:rsidR="007D249B" w:rsidP="004B0DCB" w:rsidRDefault="007D249B" w14:paraId="73F11888" w14:textId="77777777">
            <w:r w:rsidRPr="00B64F97">
              <w:t xml:space="preserve">Hogere tariefkorting EV motorrijtuigenbelasting 2026 – 2027 (dekking via </w:t>
            </w:r>
            <w:r>
              <w:t>2</w:t>
            </w:r>
            <w:r w:rsidRPr="00B64F97">
              <w:t>0% hogere dieseltoeslag).</w:t>
            </w:r>
          </w:p>
        </w:tc>
        <w:tc>
          <w:tcPr>
            <w:tcW w:w="6232" w:type="dxa"/>
            <w:tcBorders>
              <w:top w:val="single" w:color="0070C0" w:sz="8" w:space="0"/>
              <w:left w:val="single" w:color="FFFFFF" w:sz="8" w:space="0"/>
              <w:bottom w:val="single" w:color="0070C0" w:sz="8" w:space="0"/>
              <w:right w:val="single" w:color="FFFFFF" w:sz="8" w:space="0"/>
            </w:tcBorders>
            <w:tcMar>
              <w:top w:w="72" w:type="dxa"/>
              <w:left w:w="144" w:type="dxa"/>
              <w:bottom w:w="72" w:type="dxa"/>
              <w:right w:w="144" w:type="dxa"/>
            </w:tcMar>
            <w:hideMark/>
          </w:tcPr>
          <w:p w:rsidRPr="00B64F97" w:rsidR="007D249B" w:rsidP="004B0DCB" w:rsidRDefault="007D249B" w14:paraId="03470382" w14:textId="77777777">
            <w:r w:rsidRPr="00B64F97">
              <w:t>De tariefkorting wordt verhoogd van 25% naar 3</w:t>
            </w:r>
            <w:r>
              <w:t>0</w:t>
            </w:r>
            <w:r w:rsidRPr="00B64F97">
              <w:t xml:space="preserve">% in  2026 en 2027. Hiermee zal een elektrische auto gelijk of gunstiger worden belast in de motorrijtuigenbelasting dan een vergelijke fossiele auto. Deze maatregel wordt budgettair gedekt door de dieseltoeslag met </w:t>
            </w:r>
            <w:r>
              <w:t>2</w:t>
            </w:r>
            <w:r w:rsidRPr="00B64F97">
              <w:t xml:space="preserve">0% te verhogen. Dit draagt tevens bij aan het oplossen van de stikstofproblematiek. </w:t>
            </w:r>
          </w:p>
        </w:tc>
      </w:tr>
      <w:tr w:rsidRPr="00B64F97" w:rsidR="007D249B" w:rsidTr="004B0DCB" w14:paraId="6A484580" w14:textId="77777777">
        <w:trPr>
          <w:trHeight w:val="432"/>
        </w:trPr>
        <w:tc>
          <w:tcPr>
            <w:tcW w:w="3114" w:type="dxa"/>
            <w:tcBorders>
              <w:top w:val="single" w:color="0070C0" w:sz="8" w:space="0"/>
              <w:left w:val="single" w:color="FFFFFF" w:sz="8" w:space="0"/>
              <w:bottom w:val="single" w:color="0070C0" w:sz="8" w:space="0"/>
              <w:right w:val="single" w:color="FFFFFF" w:sz="8" w:space="0"/>
            </w:tcBorders>
            <w:tcMar>
              <w:top w:w="72" w:type="dxa"/>
              <w:left w:w="144" w:type="dxa"/>
              <w:bottom w:w="72" w:type="dxa"/>
              <w:right w:w="144" w:type="dxa"/>
            </w:tcMar>
            <w:hideMark/>
          </w:tcPr>
          <w:p w:rsidRPr="00B64F97" w:rsidR="007D249B" w:rsidP="004B0DCB" w:rsidRDefault="007D249B" w14:paraId="7ACFCE9D" w14:textId="3D5B0F23">
            <w:r w:rsidRPr="00B64F97">
              <w:t>Grondslag motorrijtuigenbelasting naar voertuigoppervlakte</w:t>
            </w:r>
          </w:p>
        </w:tc>
        <w:tc>
          <w:tcPr>
            <w:tcW w:w="6232" w:type="dxa"/>
            <w:tcBorders>
              <w:top w:val="single" w:color="0070C0" w:sz="8" w:space="0"/>
              <w:left w:val="single" w:color="FFFFFF" w:sz="8" w:space="0"/>
              <w:bottom w:val="single" w:color="0070C0" w:sz="8" w:space="0"/>
              <w:right w:val="single" w:color="FFFFFF" w:sz="8" w:space="0"/>
            </w:tcBorders>
            <w:tcMar>
              <w:top w:w="72" w:type="dxa"/>
              <w:left w:w="144" w:type="dxa"/>
              <w:bottom w:w="72" w:type="dxa"/>
              <w:right w:w="144" w:type="dxa"/>
            </w:tcMar>
            <w:hideMark/>
          </w:tcPr>
          <w:p w:rsidRPr="00B30ED6" w:rsidR="00B30ED6" w:rsidP="00B30ED6" w:rsidRDefault="00B30ED6" w14:paraId="5D89DC64" w14:textId="77777777">
            <w:r w:rsidRPr="00B30ED6">
              <w:t xml:space="preserve">We zetten in op aanpassing van de grondslag in de motorrijtuigenbelasting naar voertuigoppervlakte per 2028.  Hierdoor gaat een elektrische auto evenveel betalen als een fossiele auto en is geen tariefkorting voor elektrische auto’s meer nodig. NB. Ten opzichte van de huidige 25%-korting gaat een elektrische auto iets minder betalen in de </w:t>
            </w:r>
            <w:proofErr w:type="spellStart"/>
            <w:r w:rsidRPr="00B30ED6">
              <w:t>mrb</w:t>
            </w:r>
            <w:proofErr w:type="spellEnd"/>
            <w:r w:rsidRPr="00B30ED6">
              <w:t>.</w:t>
            </w:r>
          </w:p>
          <w:p w:rsidRPr="00B30ED6" w:rsidR="00B30ED6" w:rsidP="00B30ED6" w:rsidRDefault="00B30ED6" w14:paraId="0CD8E23D" w14:textId="77777777"/>
          <w:p w:rsidRPr="00B64F97" w:rsidR="007D249B" w:rsidP="004B0DCB" w:rsidRDefault="00B30ED6" w14:paraId="113646D6" w14:textId="1D1D2F83">
            <w:r w:rsidRPr="00B30ED6">
              <w:t xml:space="preserve">NB. Vanwege het huidige IV-portfolio is dit nog niet zeker, dit wordt momenteel verder uitgezocht. Het IV-portfolio voor autobelastingen zit namelijk vol door modernisering, onderhoud en reeds geplande werkzaamheden. Nieuwe beleidswensen leiden tot verdringing. Onderzoek is noodzakelijk om vast te stellen in hoeverre </w:t>
            </w:r>
            <w:proofErr w:type="spellStart"/>
            <w:r w:rsidRPr="00B30ED6">
              <w:t>herprioritering</w:t>
            </w:r>
            <w:proofErr w:type="spellEnd"/>
            <w:r w:rsidRPr="00B30ED6">
              <w:t xml:space="preserve"> mogelijk is. Daarnaast is de uitvoerbaarheid van het aanpassen van de grondslag van de MRB naar voertuigoppervlakte afhankelijk van het aanleveren van de voertuigoppervlakte als authentiek gegeven door de RDW. Dit geldt voor alle voertuigen die onder deze maatregel vallen.</w:t>
            </w:r>
          </w:p>
        </w:tc>
      </w:tr>
      <w:tr w:rsidRPr="00B64F97" w:rsidR="007D249B" w:rsidTr="004B0DCB" w14:paraId="414FAB27" w14:textId="77777777">
        <w:trPr>
          <w:trHeight w:val="432"/>
        </w:trPr>
        <w:tc>
          <w:tcPr>
            <w:tcW w:w="3114" w:type="dxa"/>
            <w:tcBorders>
              <w:top w:val="single" w:color="0070C0" w:sz="8" w:space="0"/>
              <w:left w:val="single" w:color="FFFFFF" w:sz="8" w:space="0"/>
              <w:bottom w:val="single" w:color="0070C0" w:sz="8" w:space="0"/>
              <w:right w:val="single" w:color="FFFFFF" w:sz="8" w:space="0"/>
            </w:tcBorders>
            <w:tcMar>
              <w:top w:w="72" w:type="dxa"/>
              <w:left w:w="144" w:type="dxa"/>
              <w:bottom w:w="72" w:type="dxa"/>
              <w:right w:w="144" w:type="dxa"/>
            </w:tcMar>
            <w:hideMark/>
          </w:tcPr>
          <w:p w:rsidRPr="00B64F97" w:rsidR="007D249B" w:rsidP="004B0DCB" w:rsidRDefault="007D249B" w14:paraId="719F1D75" w14:textId="77777777">
            <w:r w:rsidRPr="00B64F97">
              <w:t xml:space="preserve">Per 2028: </w:t>
            </w:r>
            <w:proofErr w:type="spellStart"/>
            <w:r w:rsidRPr="00B64F97">
              <w:t>mrb</w:t>
            </w:r>
            <w:proofErr w:type="spellEnd"/>
            <w:r w:rsidRPr="00B64F97">
              <w:t xml:space="preserve">-tarieven progressiever </w:t>
            </w:r>
          </w:p>
        </w:tc>
        <w:tc>
          <w:tcPr>
            <w:tcW w:w="6232" w:type="dxa"/>
            <w:tcBorders>
              <w:top w:val="single" w:color="0070C0" w:sz="8" w:space="0"/>
              <w:left w:val="single" w:color="FFFFFF" w:sz="8" w:space="0"/>
              <w:bottom w:val="single" w:color="0070C0" w:sz="8" w:space="0"/>
              <w:right w:val="single" w:color="FFFFFF" w:sz="8" w:space="0"/>
            </w:tcBorders>
            <w:tcMar>
              <w:top w:w="72" w:type="dxa"/>
              <w:left w:w="144" w:type="dxa"/>
              <w:bottom w:w="72" w:type="dxa"/>
              <w:right w:w="144" w:type="dxa"/>
            </w:tcMar>
            <w:hideMark/>
          </w:tcPr>
          <w:p w:rsidR="007D249B" w:rsidP="004B0DCB" w:rsidRDefault="007D249B" w14:paraId="003A092B" w14:textId="4FCC432F">
            <w:r w:rsidRPr="00B64F97">
              <w:t>De tarieven in de motorrijtuigenbelasting worden vanaf 2028 progressiever gemaakt</w:t>
            </w:r>
            <w:r w:rsidR="00B30ED6">
              <w:t xml:space="preserve"> </w:t>
            </w:r>
            <w:r w:rsidRPr="00B30ED6" w:rsidR="00B30ED6">
              <w:t>(per saldo levert deze maatregel geld op, ter dekking van de grondslagerosie door versnelling ingroei elektrische auto’s in de leasemarkt):</w:t>
            </w:r>
          </w:p>
          <w:p w:rsidR="007D249B" w:rsidP="004B0DCB" w:rsidRDefault="007D249B" w14:paraId="4D7E6D3E" w14:textId="77777777">
            <w:pPr>
              <w:pStyle w:val="Lijstalinea"/>
              <w:numPr>
                <w:ilvl w:val="0"/>
                <w:numId w:val="10"/>
              </w:numPr>
              <w:spacing w:line="259" w:lineRule="auto"/>
            </w:pPr>
            <w:r>
              <w:t>A-segment: 20% minder</w:t>
            </w:r>
          </w:p>
          <w:p w:rsidR="007D249B" w:rsidP="004B0DCB" w:rsidRDefault="007D249B" w14:paraId="0631CD54" w14:textId="77777777">
            <w:pPr>
              <w:pStyle w:val="Lijstalinea"/>
              <w:numPr>
                <w:ilvl w:val="0"/>
                <w:numId w:val="10"/>
              </w:numPr>
              <w:spacing w:line="259" w:lineRule="auto"/>
            </w:pPr>
            <w:r>
              <w:t>B-segment: 15% minder</w:t>
            </w:r>
          </w:p>
          <w:p w:rsidR="007D249B" w:rsidP="004B0DCB" w:rsidRDefault="007D249B" w14:paraId="3F9EBD4C" w14:textId="77777777">
            <w:pPr>
              <w:pStyle w:val="Lijstalinea"/>
              <w:numPr>
                <w:ilvl w:val="0"/>
                <w:numId w:val="10"/>
              </w:numPr>
              <w:spacing w:line="259" w:lineRule="auto"/>
            </w:pPr>
            <w:r>
              <w:t>C-segment: gelijk</w:t>
            </w:r>
          </w:p>
          <w:p w:rsidR="007D249B" w:rsidP="004B0DCB" w:rsidRDefault="007D249B" w14:paraId="47D0E5C6" w14:textId="77777777">
            <w:pPr>
              <w:pStyle w:val="Lijstalinea"/>
              <w:numPr>
                <w:ilvl w:val="0"/>
                <w:numId w:val="10"/>
              </w:numPr>
              <w:spacing w:line="259" w:lineRule="auto"/>
            </w:pPr>
            <w:r>
              <w:t>D-segment: 20% meer</w:t>
            </w:r>
          </w:p>
          <w:p w:rsidRPr="00B64F97" w:rsidR="007D249B" w:rsidP="004B0DCB" w:rsidRDefault="007D249B" w14:paraId="340BBC9D" w14:textId="359634F7">
            <w:pPr>
              <w:pStyle w:val="Lijstalinea"/>
              <w:numPr>
                <w:ilvl w:val="0"/>
                <w:numId w:val="10"/>
              </w:numPr>
              <w:spacing w:line="259" w:lineRule="auto"/>
            </w:pPr>
            <w:r>
              <w:t>E-segment: 4</w:t>
            </w:r>
            <w:r w:rsidR="003D4F38">
              <w:t>5</w:t>
            </w:r>
            <w:r>
              <w:t xml:space="preserve">% meer </w:t>
            </w:r>
          </w:p>
        </w:tc>
      </w:tr>
      <w:tr w:rsidRPr="00B64F97" w:rsidR="007D249B" w:rsidTr="004B0DCB" w14:paraId="62D12543" w14:textId="77777777">
        <w:trPr>
          <w:trHeight w:val="24"/>
        </w:trPr>
        <w:tc>
          <w:tcPr>
            <w:tcW w:w="9346" w:type="dxa"/>
            <w:gridSpan w:val="2"/>
            <w:tcBorders>
              <w:top w:val="single" w:color="0070C0" w:sz="8" w:space="0"/>
              <w:left w:val="single" w:color="FFFFFF" w:sz="8" w:space="0"/>
              <w:bottom w:val="single" w:color="0070C0" w:sz="8" w:space="0"/>
              <w:right w:val="single" w:color="FFFFFF" w:sz="8" w:space="0"/>
            </w:tcBorders>
            <w:shd w:val="clear" w:color="auto" w:fill="0070C0"/>
            <w:tcMar>
              <w:top w:w="72" w:type="dxa"/>
              <w:left w:w="144" w:type="dxa"/>
              <w:bottom w:w="72" w:type="dxa"/>
              <w:right w:w="144" w:type="dxa"/>
            </w:tcMar>
            <w:hideMark/>
          </w:tcPr>
          <w:p w:rsidRPr="00B64F97" w:rsidR="007D249B" w:rsidP="004B0DCB" w:rsidRDefault="003D4F38" w14:paraId="2865C206" w14:textId="2662C1A3">
            <w:r>
              <w:rPr>
                <w:b/>
                <w:bCs/>
                <w:color w:val="FFFFFF" w:themeColor="background1"/>
              </w:rPr>
              <w:t xml:space="preserve">Opvangen accijnsderving door ingroei elektrische auto’s </w:t>
            </w:r>
          </w:p>
        </w:tc>
      </w:tr>
      <w:tr w:rsidRPr="00B64F97" w:rsidR="007D249B" w:rsidTr="004B0DCB" w14:paraId="36237D88" w14:textId="77777777">
        <w:trPr>
          <w:trHeight w:val="432"/>
        </w:trPr>
        <w:tc>
          <w:tcPr>
            <w:tcW w:w="3114" w:type="dxa"/>
            <w:tcBorders>
              <w:top w:val="single" w:color="0070C0" w:sz="8" w:space="0"/>
              <w:left w:val="single" w:color="FFFFFF" w:sz="8" w:space="0"/>
              <w:bottom w:val="single" w:color="0070C0" w:sz="8" w:space="0"/>
              <w:right w:val="single" w:color="FFFFFF" w:sz="8" w:space="0"/>
            </w:tcBorders>
            <w:tcMar>
              <w:top w:w="72" w:type="dxa"/>
              <w:left w:w="144" w:type="dxa"/>
              <w:bottom w:w="72" w:type="dxa"/>
              <w:right w:w="144" w:type="dxa"/>
            </w:tcMar>
            <w:hideMark/>
          </w:tcPr>
          <w:p w:rsidRPr="00B64F97" w:rsidR="007D249B" w:rsidP="004B0DCB" w:rsidRDefault="007D249B" w14:paraId="0C8F6751" w14:textId="1D59473F"/>
        </w:tc>
        <w:tc>
          <w:tcPr>
            <w:tcW w:w="6232" w:type="dxa"/>
            <w:tcBorders>
              <w:top w:val="single" w:color="0070C0" w:sz="8" w:space="0"/>
              <w:left w:val="single" w:color="FFFFFF" w:sz="8" w:space="0"/>
              <w:bottom w:val="single" w:color="0070C0" w:sz="8" w:space="0"/>
              <w:right w:val="single" w:color="FFFFFF" w:sz="8" w:space="0"/>
            </w:tcBorders>
            <w:tcMar>
              <w:top w:w="72" w:type="dxa"/>
              <w:left w:w="144" w:type="dxa"/>
              <w:bottom w:w="72" w:type="dxa"/>
              <w:right w:w="144" w:type="dxa"/>
            </w:tcMar>
            <w:hideMark/>
          </w:tcPr>
          <w:p w:rsidRPr="00B64F97" w:rsidR="007D249B" w:rsidP="004B0DCB" w:rsidRDefault="003D4F38" w14:paraId="747B3815" w14:textId="6917F50C">
            <w:r>
              <w:t xml:space="preserve">De ingroei van elektrische auto’s leidt tot een derving van de inkomsten uit de brandstofaccijnzen. In Autobrief III wordt de budgettaire problematiek geschetst en worden oplossingsrichtingen in kaart gebracht, zoals het op termijn belasten van het verbruik van een elektrische auto of verhogen van de motorrijtuigenbelasting. Het wordt aan de Tweede Kamer gelaten om een oplossingsrichting te kiezen. </w:t>
            </w:r>
          </w:p>
        </w:tc>
      </w:tr>
      <w:tr w:rsidRPr="00B64F97" w:rsidR="007D249B" w:rsidTr="004B0DCB" w14:paraId="5D6CD26B" w14:textId="77777777">
        <w:trPr>
          <w:trHeight w:val="275"/>
        </w:trPr>
        <w:tc>
          <w:tcPr>
            <w:tcW w:w="9346" w:type="dxa"/>
            <w:gridSpan w:val="2"/>
            <w:tcBorders>
              <w:top w:val="single" w:color="0070C0" w:sz="8" w:space="0"/>
              <w:left w:val="single" w:color="FFFFFF" w:sz="8" w:space="0"/>
              <w:bottom w:val="single" w:color="0070C0" w:sz="8" w:space="0"/>
              <w:right w:val="single" w:color="FFFFFF" w:sz="8" w:space="0"/>
            </w:tcBorders>
            <w:shd w:val="clear" w:color="auto" w:fill="0070C0"/>
            <w:tcMar>
              <w:top w:w="72" w:type="dxa"/>
              <w:left w:w="144" w:type="dxa"/>
              <w:bottom w:w="72" w:type="dxa"/>
              <w:right w:w="144" w:type="dxa"/>
            </w:tcMar>
            <w:hideMark/>
          </w:tcPr>
          <w:p w:rsidRPr="00B64F97" w:rsidR="007D249B" w:rsidP="004B0DCB" w:rsidRDefault="007D249B" w14:paraId="0A93A6A6" w14:textId="77777777">
            <w:r w:rsidRPr="00B64F97">
              <w:rPr>
                <w:b/>
                <w:bCs/>
                <w:color w:val="FFFFFF" w:themeColor="background1"/>
              </w:rPr>
              <w:lastRenderedPageBreak/>
              <w:t xml:space="preserve">Loonbelasting </w:t>
            </w:r>
          </w:p>
        </w:tc>
      </w:tr>
      <w:tr w:rsidRPr="00B64F97" w:rsidR="007D249B" w:rsidTr="004B0DCB" w14:paraId="6031B51D" w14:textId="77777777">
        <w:trPr>
          <w:trHeight w:val="432"/>
        </w:trPr>
        <w:tc>
          <w:tcPr>
            <w:tcW w:w="3114" w:type="dxa"/>
            <w:tcBorders>
              <w:top w:val="single" w:color="0070C0" w:sz="8" w:space="0"/>
              <w:left w:val="single" w:color="FFFFFF" w:sz="8" w:space="0"/>
              <w:bottom w:val="single" w:color="0070C0" w:sz="8" w:space="0"/>
              <w:right w:val="single" w:color="FFFFFF" w:sz="8" w:space="0"/>
            </w:tcBorders>
            <w:tcMar>
              <w:top w:w="72" w:type="dxa"/>
              <w:left w:w="144" w:type="dxa"/>
              <w:bottom w:w="72" w:type="dxa"/>
              <w:right w:w="144" w:type="dxa"/>
            </w:tcMar>
            <w:hideMark/>
          </w:tcPr>
          <w:p w:rsidRPr="00B64F97" w:rsidR="007D249B" w:rsidP="004B0DCB" w:rsidRDefault="007D249B" w14:paraId="32D141D7" w14:textId="77777777">
            <w:r w:rsidRPr="00B64F97">
              <w:t xml:space="preserve">Normering zakelijke leasemarkt via loonbelasting </w:t>
            </w:r>
          </w:p>
        </w:tc>
        <w:tc>
          <w:tcPr>
            <w:tcW w:w="6232" w:type="dxa"/>
            <w:tcBorders>
              <w:top w:val="single" w:color="0070C0" w:sz="8" w:space="0"/>
              <w:left w:val="single" w:color="FFFFFF" w:sz="8" w:space="0"/>
              <w:bottom w:val="single" w:color="0070C0" w:sz="8" w:space="0"/>
              <w:right w:val="single" w:color="FFFFFF" w:sz="8" w:space="0"/>
            </w:tcBorders>
            <w:tcMar>
              <w:top w:w="72" w:type="dxa"/>
              <w:left w:w="144" w:type="dxa"/>
              <w:bottom w:w="72" w:type="dxa"/>
              <w:right w:w="144" w:type="dxa"/>
            </w:tcMar>
          </w:tcPr>
          <w:p w:rsidRPr="00B64F97" w:rsidR="007D249B" w:rsidP="004B0DCB" w:rsidRDefault="007D249B" w14:paraId="20D7AF52" w14:textId="77777777">
            <w:r w:rsidRPr="00B64F97">
              <w:t>De norm (heffing) heeft betrekking op alle fossiele personen- en bestelauto’s die na 1 januari 2026 voor het eerst zijn toegelaten en gekocht, gehuurd of geleased door of namens de werkgever, die deze auto’s beschikbaar stelt (voor privégebruik &gt;500 km) aan zijn werknemers. De heffing moet jaarlijks worden voldaan en sluit aan op de doelgroep die het meeste handelingsperspectief heeft: de zakelijke leasemarkt.</w:t>
            </w:r>
          </w:p>
          <w:p w:rsidRPr="00B64F97" w:rsidR="007D249B" w:rsidP="004B0DCB" w:rsidRDefault="007D249B" w14:paraId="0D6DAAF1" w14:textId="77777777"/>
          <w:p w:rsidRPr="00B64F97" w:rsidR="007D249B" w:rsidP="004B0DCB" w:rsidRDefault="007D249B" w14:paraId="4343A456" w14:textId="77777777">
            <w:r w:rsidRPr="00B64F97">
              <w:t>Startdatum: in 2027 moet voor het eerst de heffing worden betaald (2026 is overgangsjaar).</w:t>
            </w:r>
          </w:p>
          <w:p w:rsidRPr="00B64F97" w:rsidR="007D249B" w:rsidP="004B0DCB" w:rsidRDefault="007D249B" w14:paraId="15044758" w14:textId="77777777">
            <w:r w:rsidRPr="00B64F97">
              <w:t>Maatvoering: 52% belasting berekend over 22% van de catalogusprijs (sluit aan op grondslag bijtelling)</w:t>
            </w:r>
          </w:p>
        </w:tc>
      </w:tr>
      <w:tr w:rsidRPr="00B64F97" w:rsidR="007D249B" w:rsidTr="004B0DCB" w14:paraId="42297EA7" w14:textId="77777777">
        <w:trPr>
          <w:trHeight w:val="22"/>
        </w:trPr>
        <w:tc>
          <w:tcPr>
            <w:tcW w:w="9346" w:type="dxa"/>
            <w:gridSpan w:val="2"/>
            <w:tcBorders>
              <w:top w:val="single" w:color="FFFFFF" w:sz="8" w:space="0"/>
              <w:left w:val="single" w:color="FFFFFF" w:sz="8" w:space="0"/>
              <w:bottom w:val="single" w:color="0070C0" w:sz="8" w:space="0"/>
              <w:right w:val="single" w:color="FFFFFF" w:sz="8" w:space="0"/>
            </w:tcBorders>
            <w:shd w:val="clear" w:color="auto" w:fill="0070C0"/>
            <w:tcMar>
              <w:top w:w="72" w:type="dxa"/>
              <w:left w:w="144" w:type="dxa"/>
              <w:bottom w:w="72" w:type="dxa"/>
              <w:right w:w="144" w:type="dxa"/>
            </w:tcMar>
            <w:hideMark/>
          </w:tcPr>
          <w:p w:rsidRPr="00B64F97" w:rsidR="007D249B" w:rsidP="004B0DCB" w:rsidRDefault="007D249B" w14:paraId="6DFDF193" w14:textId="77777777">
            <w:r w:rsidRPr="00B64F97">
              <w:rPr>
                <w:b/>
                <w:bCs/>
                <w:color w:val="FFFFFF" w:themeColor="background1"/>
              </w:rPr>
              <w:t xml:space="preserve">Aanschaf belasten </w:t>
            </w:r>
          </w:p>
        </w:tc>
      </w:tr>
      <w:tr w:rsidRPr="00B64F97" w:rsidR="007D249B" w:rsidTr="004B0DCB" w14:paraId="730C42FF" w14:textId="77777777">
        <w:trPr>
          <w:trHeight w:val="496"/>
        </w:trPr>
        <w:tc>
          <w:tcPr>
            <w:tcW w:w="3114" w:type="dxa"/>
            <w:tcBorders>
              <w:top w:val="single" w:color="0070C0" w:sz="8" w:space="0"/>
              <w:left w:val="single" w:color="FFFFFF" w:sz="8" w:space="0"/>
              <w:bottom w:val="single" w:color="0070C0" w:sz="8" w:space="0"/>
              <w:right w:val="single" w:color="FFFFFF" w:sz="8" w:space="0"/>
            </w:tcBorders>
            <w:tcMar>
              <w:top w:w="72" w:type="dxa"/>
              <w:left w:w="144" w:type="dxa"/>
              <w:bottom w:w="72" w:type="dxa"/>
              <w:right w:w="144" w:type="dxa"/>
            </w:tcMar>
            <w:hideMark/>
          </w:tcPr>
          <w:p w:rsidRPr="00B64F97" w:rsidR="007D249B" w:rsidP="004B0DCB" w:rsidRDefault="007D249B" w14:paraId="4CEC9606" w14:textId="4D939784">
            <w:r w:rsidRPr="00B64F97">
              <w:t>Verhogen vaste voet bpm met 2</w:t>
            </w:r>
            <w:r w:rsidR="003D4F38">
              <w:t>2</w:t>
            </w:r>
            <w:r w:rsidRPr="00B64F97">
              <w:t>0 euro</w:t>
            </w:r>
          </w:p>
        </w:tc>
        <w:tc>
          <w:tcPr>
            <w:tcW w:w="6232" w:type="dxa"/>
            <w:tcBorders>
              <w:top w:val="single" w:color="0070C0" w:sz="8" w:space="0"/>
              <w:left w:val="single" w:color="FFFFFF" w:sz="8" w:space="0"/>
              <w:bottom w:val="single" w:color="0070C0" w:sz="8" w:space="0"/>
              <w:right w:val="single" w:color="FFFFFF" w:sz="8" w:space="0"/>
            </w:tcBorders>
            <w:tcMar>
              <w:top w:w="72" w:type="dxa"/>
              <w:left w:w="144" w:type="dxa"/>
              <w:bottom w:w="72" w:type="dxa"/>
              <w:right w:w="144" w:type="dxa"/>
            </w:tcMar>
            <w:hideMark/>
          </w:tcPr>
          <w:p w:rsidRPr="00B64F97" w:rsidR="007D249B" w:rsidP="004B0DCB" w:rsidRDefault="007D249B" w14:paraId="2B44375A" w14:textId="60856C10">
            <w:r w:rsidRPr="00B64F97">
              <w:t>Als dekking voor het pakket wordt de vaste voet in de bpm met 2</w:t>
            </w:r>
            <w:r w:rsidR="003D4F38">
              <w:t>2</w:t>
            </w:r>
            <w:r w:rsidRPr="00B64F97">
              <w:t xml:space="preserve">0 euro verhoogd. De huidige vaste voet geldt voor zowel fossiele als elektrische voertuigen. </w:t>
            </w:r>
          </w:p>
        </w:tc>
      </w:tr>
      <w:tr w:rsidRPr="00B64F97" w:rsidR="007D249B" w:rsidTr="004B0DCB" w14:paraId="2CB9B0A9" w14:textId="77777777">
        <w:trPr>
          <w:trHeight w:val="496"/>
        </w:trPr>
        <w:tc>
          <w:tcPr>
            <w:tcW w:w="3114" w:type="dxa"/>
            <w:tcBorders>
              <w:top w:val="single" w:color="0070C0" w:sz="8" w:space="0"/>
              <w:left w:val="single" w:color="FFFFFF" w:sz="8" w:space="0"/>
              <w:bottom w:val="single" w:color="0070C0" w:sz="8" w:space="0"/>
              <w:right w:val="single" w:color="FFFFFF" w:sz="8" w:space="0"/>
            </w:tcBorders>
            <w:tcMar>
              <w:top w:w="72" w:type="dxa"/>
              <w:left w:w="144" w:type="dxa"/>
              <w:bottom w:w="72" w:type="dxa"/>
              <w:right w:w="144" w:type="dxa"/>
            </w:tcMar>
            <w:hideMark/>
          </w:tcPr>
          <w:p w:rsidRPr="00B64F97" w:rsidR="007D249B" w:rsidP="004B0DCB" w:rsidRDefault="007D249B" w14:paraId="38731F88" w14:textId="7B1FF9E0">
            <w:r w:rsidRPr="00B64F97">
              <w:t>Vanaf 202</w:t>
            </w:r>
            <w:r w:rsidR="003D4F38">
              <w:t>9</w:t>
            </w:r>
            <w:r w:rsidRPr="00B64F97">
              <w:t>:</w:t>
            </w:r>
          </w:p>
          <w:p w:rsidRPr="00B64F97" w:rsidR="007D249B" w:rsidP="004B0DCB" w:rsidRDefault="003D4F38" w14:paraId="338D77A7" w14:textId="1486CD6A">
            <w:r>
              <w:t xml:space="preserve">Aanschaf elektrische auto stapsgewijs belasten </w:t>
            </w:r>
            <w:r w:rsidRPr="00B64F97" w:rsidR="007D249B">
              <w:t xml:space="preserve"> </w:t>
            </w:r>
          </w:p>
        </w:tc>
        <w:tc>
          <w:tcPr>
            <w:tcW w:w="6232" w:type="dxa"/>
            <w:tcBorders>
              <w:top w:val="single" w:color="0070C0" w:sz="8" w:space="0"/>
              <w:left w:val="single" w:color="FFFFFF" w:sz="8" w:space="0"/>
              <w:bottom w:val="single" w:color="0070C0" w:sz="8" w:space="0"/>
              <w:right w:val="single" w:color="FFFFFF" w:sz="8" w:space="0"/>
            </w:tcBorders>
            <w:tcMar>
              <w:top w:w="72" w:type="dxa"/>
              <w:left w:w="144" w:type="dxa"/>
              <w:bottom w:w="72" w:type="dxa"/>
              <w:right w:w="144" w:type="dxa"/>
            </w:tcMar>
          </w:tcPr>
          <w:p w:rsidR="003D4F38" w:rsidP="004B0DCB" w:rsidRDefault="007D249B" w14:paraId="390EBD3B" w14:textId="530823D1">
            <w:r w:rsidRPr="00B64F97">
              <w:t>Vanaf 202</w:t>
            </w:r>
            <w:r w:rsidR="003D4F38">
              <w:t>9</w:t>
            </w:r>
            <w:r w:rsidRPr="00B64F97">
              <w:t xml:space="preserve"> wordt </w:t>
            </w:r>
            <w:r w:rsidR="003D4F38">
              <w:t xml:space="preserve">stapsgewijs </w:t>
            </w:r>
            <w:r w:rsidRPr="00B64F97">
              <w:t>de aanschaf van een elektrische personenauto belast</w:t>
            </w:r>
            <w:r w:rsidR="003D4F38">
              <w:t xml:space="preserve">. Hierbij overweegt het kabinet om voor elektrische auto’s over te stappen van de bpm naar een tenaamstellingsbelasting, gedifferentieerd naar voertuigoppervlakte en leeftijd. </w:t>
            </w:r>
            <w:r w:rsidR="00994384">
              <w:t>Hierdoor kan de bpm op termijn verdwijnen.</w:t>
            </w:r>
          </w:p>
          <w:p w:rsidR="003D4F38" w:rsidP="004B0DCB" w:rsidRDefault="003D4F38" w14:paraId="0BFB51ED" w14:textId="77777777"/>
          <w:p w:rsidRPr="00B30ED6" w:rsidR="00B30ED6" w:rsidP="00B30ED6" w:rsidRDefault="00B30ED6" w14:paraId="29FDD462" w14:textId="77777777">
            <w:r w:rsidRPr="00B30ED6">
              <w:t>In 2029 start het belasten van de aanschaf van een elektrische auto, voor alle segmenten met een tarief voor nieuwe auto’s dat gelijk is aan de huidige vaste voet in de bpm. Vervolgens wordt de belasting stapsgewijs verhoogd. Te beginnen met het E-segment. Voor het A en B-segment leidt dit pas na 2030 tot een lastenstijging.</w:t>
            </w:r>
          </w:p>
          <w:p w:rsidRPr="00B30ED6" w:rsidR="00B30ED6" w:rsidP="00B30ED6" w:rsidRDefault="00B30ED6" w14:paraId="09C97039" w14:textId="77777777"/>
          <w:p w:rsidRPr="00B30ED6" w:rsidR="00B30ED6" w:rsidP="00B30ED6" w:rsidRDefault="00B30ED6" w14:paraId="0FE2F7AA" w14:textId="77777777">
            <w:r w:rsidRPr="00B30ED6">
              <w:t xml:space="preserve">De tenaamstellingsbelasting is een nieuwe belasting. Hiervoor moet een uitvoerder aangewezen worden. Potentiële uitvoerders zijn de Belastingdienst en RDW. Ook hiervoor geldt dat als de Belastingdienst deze maatregel gaat uitvoeren, dit opnieuw geprioriteerd moet worden in het IV portfolio. Onderzoek is noodzakelijk om vast te stellen in hoeverre </w:t>
            </w:r>
            <w:proofErr w:type="spellStart"/>
            <w:r w:rsidRPr="00B30ED6">
              <w:t>herprioritering</w:t>
            </w:r>
            <w:proofErr w:type="spellEnd"/>
            <w:r w:rsidRPr="00B30ED6">
              <w:t xml:space="preserve"> mogelijk is.</w:t>
            </w:r>
          </w:p>
          <w:p w:rsidR="003D4F38" w:rsidP="004B0DCB" w:rsidRDefault="003D4F38" w14:paraId="4D4A2526" w14:textId="77777777"/>
          <w:p w:rsidRPr="00B64F97" w:rsidR="007D249B" w:rsidP="003D4F38" w:rsidRDefault="003D4F38" w14:paraId="424358FD" w14:textId="5DE40E1E">
            <w:r>
              <w:t xml:space="preserve">Terugvaloptie voor de tenaamstellingsbelasting is dat in de bestaande bpm een apart tarief en grondslag voor elektrische auto’s wordt geïntroduceerd. </w:t>
            </w:r>
            <w:r w:rsidRPr="003D4F38">
              <w:t xml:space="preserve"> </w:t>
            </w:r>
          </w:p>
        </w:tc>
      </w:tr>
    </w:tbl>
    <w:p w:rsidR="007D249B" w:rsidP="007D249B" w:rsidRDefault="007D249B" w14:paraId="6ABB198F" w14:textId="77777777">
      <w:pPr>
        <w:rPr>
          <w:b/>
          <w:bCs/>
        </w:rPr>
      </w:pPr>
    </w:p>
    <w:p w:rsidR="007D249B" w:rsidP="007D249B" w:rsidRDefault="007D249B" w14:paraId="26D07ECF" w14:textId="77777777">
      <w:pPr>
        <w:rPr>
          <w:b/>
          <w:bCs/>
        </w:rPr>
      </w:pPr>
    </w:p>
    <w:p w:rsidR="007D249B" w:rsidP="007D249B" w:rsidRDefault="007D249B" w14:paraId="279D8858" w14:textId="77777777">
      <w:pPr>
        <w:rPr>
          <w:b/>
          <w:bCs/>
        </w:rPr>
      </w:pPr>
    </w:p>
    <w:p w:rsidR="007D249B" w:rsidP="007D249B" w:rsidRDefault="007D249B" w14:paraId="618453D6" w14:textId="77777777">
      <w:pPr>
        <w:rPr>
          <w:b/>
          <w:bCs/>
        </w:rPr>
      </w:pPr>
    </w:p>
    <w:p w:rsidR="007D249B" w:rsidP="007D249B" w:rsidRDefault="007D249B" w14:paraId="2C91179A" w14:textId="77777777">
      <w:pPr>
        <w:rPr>
          <w:b/>
          <w:bCs/>
        </w:rPr>
      </w:pPr>
    </w:p>
    <w:p w:rsidR="007A6307" w:rsidP="007A6307" w:rsidRDefault="007A6307" w14:paraId="02BC1AA4" w14:textId="77777777">
      <w:pPr>
        <w:rPr>
          <w:b/>
          <w:bCs/>
          <w:u w:val="single"/>
        </w:rPr>
      </w:pPr>
    </w:p>
    <w:p w:rsidR="007A6307" w:rsidP="007A6307" w:rsidRDefault="007A6307" w14:paraId="702842CB" w14:textId="77777777">
      <w:pPr>
        <w:rPr>
          <w:b/>
          <w:bCs/>
          <w:u w:val="single"/>
        </w:rPr>
      </w:pPr>
    </w:p>
    <w:p w:rsidR="007A6307" w:rsidP="007A6307" w:rsidRDefault="007A6307" w14:paraId="59C1FFB9" w14:textId="77777777">
      <w:pPr>
        <w:rPr>
          <w:b/>
          <w:bCs/>
          <w:u w:val="single"/>
        </w:rPr>
      </w:pPr>
    </w:p>
    <w:p w:rsidR="007A6307" w:rsidP="007A6307" w:rsidRDefault="007A6307" w14:paraId="04D875D9" w14:textId="77777777">
      <w:pPr>
        <w:rPr>
          <w:b/>
          <w:bCs/>
          <w:u w:val="single"/>
        </w:rPr>
      </w:pPr>
    </w:p>
    <w:p w:rsidR="007A6307" w:rsidP="007A6307" w:rsidRDefault="007A6307" w14:paraId="6E0AA79E" w14:textId="77777777">
      <w:pPr>
        <w:rPr>
          <w:b/>
          <w:bCs/>
          <w:u w:val="single"/>
        </w:rPr>
      </w:pPr>
    </w:p>
    <w:p w:rsidR="007A6307" w:rsidP="007A6307" w:rsidRDefault="007A6307" w14:paraId="45D63607" w14:textId="77777777">
      <w:pPr>
        <w:rPr>
          <w:b/>
          <w:bCs/>
          <w:u w:val="single"/>
        </w:rPr>
      </w:pPr>
    </w:p>
    <w:p w:rsidR="007A6307" w:rsidP="007A6307" w:rsidRDefault="007A6307" w14:paraId="357EBC03" w14:textId="77777777">
      <w:pPr>
        <w:rPr>
          <w:b/>
          <w:bCs/>
          <w:u w:val="single"/>
        </w:rPr>
      </w:pPr>
    </w:p>
    <w:p w:rsidR="007A6307" w:rsidP="007A6307" w:rsidRDefault="007A6307" w14:paraId="63DE4EC0" w14:textId="77777777">
      <w:pPr>
        <w:rPr>
          <w:b/>
          <w:bCs/>
          <w:u w:val="single"/>
        </w:rPr>
      </w:pPr>
    </w:p>
    <w:p w:rsidRPr="00AC2A93" w:rsidR="007A6307" w:rsidP="007A6307" w:rsidRDefault="003A6B66" w14:paraId="1375E852" w14:textId="1BC29366">
      <w:pPr>
        <w:rPr>
          <w:b/>
          <w:bCs/>
          <w:u w:val="single"/>
        </w:rPr>
      </w:pPr>
      <w:r>
        <w:rPr>
          <w:b/>
          <w:bCs/>
          <w:u w:val="single"/>
        </w:rPr>
        <w:t>Bud</w:t>
      </w:r>
      <w:r w:rsidRPr="00AC2A93" w:rsidR="007A6307">
        <w:rPr>
          <w:b/>
          <w:bCs/>
          <w:u w:val="single"/>
        </w:rPr>
        <w:t>gettaire plaat personenauto (excl. elektrische kilometerbelasting):</w:t>
      </w:r>
    </w:p>
    <w:tbl>
      <w:tblPr>
        <w:tblW w:w="9602" w:type="dxa"/>
        <w:tblCellMar>
          <w:left w:w="70" w:type="dxa"/>
          <w:right w:w="70" w:type="dxa"/>
        </w:tblCellMar>
        <w:tblLook w:val="04A0" w:firstRow="1" w:lastRow="0" w:firstColumn="1" w:lastColumn="0" w:noHBand="0" w:noVBand="1"/>
      </w:tblPr>
      <w:tblGrid>
        <w:gridCol w:w="1732"/>
        <w:gridCol w:w="587"/>
        <w:gridCol w:w="658"/>
        <w:gridCol w:w="658"/>
        <w:gridCol w:w="658"/>
        <w:gridCol w:w="658"/>
        <w:gridCol w:w="658"/>
        <w:gridCol w:w="658"/>
        <w:gridCol w:w="667"/>
        <w:gridCol w:w="667"/>
        <w:gridCol w:w="667"/>
        <w:gridCol w:w="667"/>
        <w:gridCol w:w="667"/>
      </w:tblGrid>
      <w:tr w:rsidRPr="00533805" w:rsidR="006A5C10" w:rsidTr="006A5C10" w14:paraId="7161ED47" w14:textId="77777777">
        <w:trPr>
          <w:trHeight w:val="80"/>
        </w:trPr>
        <w:tc>
          <w:tcPr>
            <w:tcW w:w="9602" w:type="dxa"/>
            <w:gridSpan w:val="13"/>
            <w:tcBorders>
              <w:top w:val="nil"/>
              <w:left w:val="nil"/>
              <w:bottom w:val="nil"/>
              <w:right w:val="nil"/>
            </w:tcBorders>
            <w:shd w:val="clear" w:color="auto" w:fill="4F81BD" w:themeFill="accent1"/>
            <w:vAlign w:val="bottom"/>
            <w:hideMark/>
          </w:tcPr>
          <w:p w:rsidRPr="00533805" w:rsidR="006A5C10" w:rsidP="00622E76" w:rsidRDefault="006A5C10" w14:paraId="640365B6" w14:textId="4EBCE198">
            <w:pPr>
              <w:spacing w:line="240" w:lineRule="auto"/>
              <w:rPr>
                <w:rFonts w:ascii="Calibri" w:hAnsi="Calibri" w:cs="Calibri"/>
                <w:b/>
                <w:bCs/>
                <w:color w:val="FFFFFF"/>
                <w:sz w:val="22"/>
                <w:szCs w:val="22"/>
              </w:rPr>
            </w:pPr>
            <w:r w:rsidRPr="00533805">
              <w:rPr>
                <w:rFonts w:ascii="Calibri" w:hAnsi="Calibri" w:cs="Calibri"/>
                <w:b/>
                <w:bCs/>
                <w:color w:val="FFFFFF"/>
                <w:sz w:val="22"/>
                <w:szCs w:val="22"/>
              </w:rPr>
              <w:t>Budgettaire effecten pakket in mln. € prijspeil 2025</w:t>
            </w:r>
          </w:p>
        </w:tc>
      </w:tr>
      <w:tr w:rsidRPr="00533805" w:rsidR="006A5C10" w:rsidTr="006A5C10" w14:paraId="2D19FF3D" w14:textId="77777777">
        <w:trPr>
          <w:trHeight w:val="80"/>
        </w:trPr>
        <w:tc>
          <w:tcPr>
            <w:tcW w:w="1732" w:type="dxa"/>
            <w:tcBorders>
              <w:top w:val="nil"/>
              <w:left w:val="nil"/>
              <w:bottom w:val="nil"/>
              <w:right w:val="nil"/>
            </w:tcBorders>
            <w:shd w:val="clear" w:color="auto" w:fill="4F81BD" w:themeFill="accent1"/>
            <w:vAlign w:val="center"/>
          </w:tcPr>
          <w:p w:rsidRPr="00533805" w:rsidR="006A5C10" w:rsidP="006A5C10" w:rsidRDefault="006A5C10" w14:paraId="4F189DDA" w14:textId="77777777">
            <w:pPr>
              <w:spacing w:line="240" w:lineRule="auto"/>
              <w:rPr>
                <w:rFonts w:ascii="Calibri" w:hAnsi="Calibri" w:cs="Calibri"/>
                <w:b/>
                <w:bCs/>
                <w:color w:val="FFFFFF"/>
                <w:sz w:val="22"/>
                <w:szCs w:val="22"/>
              </w:rPr>
            </w:pPr>
          </w:p>
        </w:tc>
        <w:tc>
          <w:tcPr>
            <w:tcW w:w="587" w:type="dxa"/>
            <w:tcBorders>
              <w:top w:val="nil"/>
              <w:left w:val="nil"/>
              <w:bottom w:val="nil"/>
              <w:right w:val="nil"/>
            </w:tcBorders>
            <w:shd w:val="clear" w:color="auto" w:fill="4F81BD" w:themeFill="accent1"/>
            <w:noWrap/>
            <w:vAlign w:val="center"/>
          </w:tcPr>
          <w:p w:rsidRPr="00533805" w:rsidR="006A5C10" w:rsidP="006A5C10" w:rsidRDefault="006A5C10" w14:paraId="7E6C9D3E" w14:textId="56B5A18D">
            <w:pPr>
              <w:spacing w:line="240" w:lineRule="auto"/>
              <w:jc w:val="right"/>
              <w:rPr>
                <w:rFonts w:ascii="Calibri" w:hAnsi="Calibri" w:cs="Calibri"/>
                <w:b/>
                <w:bCs/>
                <w:color w:val="FFFFFF"/>
                <w:sz w:val="22"/>
                <w:szCs w:val="22"/>
              </w:rPr>
            </w:pPr>
            <w:r w:rsidRPr="00533805">
              <w:rPr>
                <w:rFonts w:ascii="Calibri" w:hAnsi="Calibri" w:cs="Calibri"/>
                <w:b/>
                <w:bCs/>
                <w:color w:val="FFFFFF"/>
                <w:sz w:val="22"/>
                <w:szCs w:val="22"/>
              </w:rPr>
              <w:t>2025</w:t>
            </w:r>
          </w:p>
        </w:tc>
        <w:tc>
          <w:tcPr>
            <w:tcW w:w="658" w:type="dxa"/>
            <w:tcBorders>
              <w:top w:val="nil"/>
              <w:left w:val="nil"/>
              <w:bottom w:val="nil"/>
              <w:right w:val="nil"/>
            </w:tcBorders>
            <w:shd w:val="clear" w:color="auto" w:fill="4F81BD" w:themeFill="accent1"/>
            <w:noWrap/>
            <w:vAlign w:val="center"/>
          </w:tcPr>
          <w:p w:rsidRPr="00533805" w:rsidR="006A5C10" w:rsidP="006A5C10" w:rsidRDefault="006A5C10" w14:paraId="27D946B1" w14:textId="110379F0">
            <w:pPr>
              <w:spacing w:line="240" w:lineRule="auto"/>
              <w:jc w:val="right"/>
              <w:rPr>
                <w:rFonts w:ascii="Calibri" w:hAnsi="Calibri" w:cs="Calibri"/>
                <w:b/>
                <w:bCs/>
                <w:color w:val="FFFFFF"/>
                <w:sz w:val="22"/>
                <w:szCs w:val="22"/>
              </w:rPr>
            </w:pPr>
            <w:r w:rsidRPr="00533805">
              <w:rPr>
                <w:rFonts w:ascii="Calibri" w:hAnsi="Calibri" w:cs="Calibri"/>
                <w:b/>
                <w:bCs/>
                <w:color w:val="FFFFFF"/>
                <w:sz w:val="22"/>
                <w:szCs w:val="22"/>
              </w:rPr>
              <w:t>2026</w:t>
            </w:r>
          </w:p>
        </w:tc>
        <w:tc>
          <w:tcPr>
            <w:tcW w:w="658" w:type="dxa"/>
            <w:tcBorders>
              <w:top w:val="nil"/>
              <w:left w:val="nil"/>
              <w:bottom w:val="nil"/>
              <w:right w:val="nil"/>
            </w:tcBorders>
            <w:shd w:val="clear" w:color="auto" w:fill="4F81BD" w:themeFill="accent1"/>
            <w:noWrap/>
            <w:vAlign w:val="center"/>
          </w:tcPr>
          <w:p w:rsidRPr="00533805" w:rsidR="006A5C10" w:rsidP="006A5C10" w:rsidRDefault="006A5C10" w14:paraId="5579AED2" w14:textId="4D69AC40">
            <w:pPr>
              <w:spacing w:line="240" w:lineRule="auto"/>
              <w:jc w:val="right"/>
              <w:rPr>
                <w:rFonts w:ascii="Calibri" w:hAnsi="Calibri" w:cs="Calibri"/>
                <w:b/>
                <w:bCs/>
                <w:color w:val="FFFFFF"/>
                <w:sz w:val="22"/>
                <w:szCs w:val="22"/>
              </w:rPr>
            </w:pPr>
            <w:r w:rsidRPr="00533805">
              <w:rPr>
                <w:rFonts w:ascii="Calibri" w:hAnsi="Calibri" w:cs="Calibri"/>
                <w:b/>
                <w:bCs/>
                <w:color w:val="FFFFFF"/>
                <w:sz w:val="22"/>
                <w:szCs w:val="22"/>
              </w:rPr>
              <w:t>2027</w:t>
            </w:r>
          </w:p>
        </w:tc>
        <w:tc>
          <w:tcPr>
            <w:tcW w:w="658" w:type="dxa"/>
            <w:tcBorders>
              <w:top w:val="nil"/>
              <w:left w:val="nil"/>
              <w:bottom w:val="nil"/>
              <w:right w:val="nil"/>
            </w:tcBorders>
            <w:shd w:val="clear" w:color="auto" w:fill="4F81BD" w:themeFill="accent1"/>
            <w:noWrap/>
            <w:vAlign w:val="center"/>
          </w:tcPr>
          <w:p w:rsidRPr="00533805" w:rsidR="006A5C10" w:rsidP="006A5C10" w:rsidRDefault="006A5C10" w14:paraId="383482CF" w14:textId="6A01F8B3">
            <w:pPr>
              <w:spacing w:line="240" w:lineRule="auto"/>
              <w:jc w:val="right"/>
              <w:rPr>
                <w:rFonts w:ascii="Calibri" w:hAnsi="Calibri" w:cs="Calibri"/>
                <w:b/>
                <w:bCs/>
                <w:color w:val="FFFFFF"/>
                <w:sz w:val="22"/>
                <w:szCs w:val="22"/>
              </w:rPr>
            </w:pPr>
            <w:r w:rsidRPr="00533805">
              <w:rPr>
                <w:rFonts w:ascii="Calibri" w:hAnsi="Calibri" w:cs="Calibri"/>
                <w:b/>
                <w:bCs/>
                <w:color w:val="FFFFFF"/>
                <w:sz w:val="22"/>
                <w:szCs w:val="22"/>
              </w:rPr>
              <w:t>2028</w:t>
            </w:r>
          </w:p>
        </w:tc>
        <w:tc>
          <w:tcPr>
            <w:tcW w:w="658" w:type="dxa"/>
            <w:tcBorders>
              <w:top w:val="nil"/>
              <w:left w:val="nil"/>
              <w:bottom w:val="nil"/>
              <w:right w:val="nil"/>
            </w:tcBorders>
            <w:shd w:val="clear" w:color="auto" w:fill="4F81BD" w:themeFill="accent1"/>
            <w:noWrap/>
            <w:vAlign w:val="center"/>
          </w:tcPr>
          <w:p w:rsidRPr="00533805" w:rsidR="006A5C10" w:rsidP="006A5C10" w:rsidRDefault="006A5C10" w14:paraId="518B14D7" w14:textId="68AEE8FB">
            <w:pPr>
              <w:spacing w:line="240" w:lineRule="auto"/>
              <w:jc w:val="right"/>
              <w:rPr>
                <w:rFonts w:ascii="Calibri" w:hAnsi="Calibri" w:cs="Calibri"/>
                <w:b/>
                <w:bCs/>
                <w:color w:val="FFFFFF"/>
                <w:sz w:val="22"/>
                <w:szCs w:val="22"/>
              </w:rPr>
            </w:pPr>
            <w:r w:rsidRPr="00533805">
              <w:rPr>
                <w:rFonts w:ascii="Calibri" w:hAnsi="Calibri" w:cs="Calibri"/>
                <w:b/>
                <w:bCs/>
                <w:color w:val="FFFFFF"/>
                <w:sz w:val="22"/>
                <w:szCs w:val="22"/>
              </w:rPr>
              <w:t>2029</w:t>
            </w:r>
          </w:p>
        </w:tc>
        <w:tc>
          <w:tcPr>
            <w:tcW w:w="658" w:type="dxa"/>
            <w:tcBorders>
              <w:top w:val="nil"/>
              <w:left w:val="nil"/>
              <w:bottom w:val="nil"/>
              <w:right w:val="nil"/>
            </w:tcBorders>
            <w:shd w:val="clear" w:color="auto" w:fill="4F81BD" w:themeFill="accent1"/>
            <w:noWrap/>
            <w:vAlign w:val="center"/>
          </w:tcPr>
          <w:p w:rsidRPr="00533805" w:rsidR="006A5C10" w:rsidP="006A5C10" w:rsidRDefault="006A5C10" w14:paraId="5FAB6D8C" w14:textId="192CCBFD">
            <w:pPr>
              <w:spacing w:line="240" w:lineRule="auto"/>
              <w:jc w:val="right"/>
              <w:rPr>
                <w:rFonts w:ascii="Calibri" w:hAnsi="Calibri" w:cs="Calibri"/>
                <w:b/>
                <w:bCs/>
                <w:color w:val="FFFFFF"/>
                <w:sz w:val="22"/>
                <w:szCs w:val="22"/>
              </w:rPr>
            </w:pPr>
            <w:r w:rsidRPr="00533805">
              <w:rPr>
                <w:rFonts w:ascii="Calibri" w:hAnsi="Calibri" w:cs="Calibri"/>
                <w:b/>
                <w:bCs/>
                <w:color w:val="FFFFFF"/>
                <w:sz w:val="22"/>
                <w:szCs w:val="22"/>
              </w:rPr>
              <w:t>2030</w:t>
            </w:r>
          </w:p>
        </w:tc>
        <w:tc>
          <w:tcPr>
            <w:tcW w:w="658" w:type="dxa"/>
            <w:tcBorders>
              <w:top w:val="nil"/>
              <w:left w:val="nil"/>
              <w:bottom w:val="nil"/>
              <w:right w:val="nil"/>
            </w:tcBorders>
            <w:shd w:val="clear" w:color="auto" w:fill="4F81BD" w:themeFill="accent1"/>
            <w:noWrap/>
            <w:vAlign w:val="center"/>
          </w:tcPr>
          <w:p w:rsidRPr="00533805" w:rsidR="006A5C10" w:rsidP="006A5C10" w:rsidRDefault="006A5C10" w14:paraId="4E966DD9" w14:textId="669A647A">
            <w:pPr>
              <w:spacing w:line="240" w:lineRule="auto"/>
              <w:jc w:val="right"/>
              <w:rPr>
                <w:rFonts w:ascii="Calibri" w:hAnsi="Calibri" w:cs="Calibri"/>
                <w:b/>
                <w:bCs/>
                <w:color w:val="FFFFFF"/>
                <w:sz w:val="22"/>
                <w:szCs w:val="22"/>
              </w:rPr>
            </w:pPr>
            <w:r w:rsidRPr="00533805">
              <w:rPr>
                <w:rFonts w:ascii="Calibri" w:hAnsi="Calibri" w:cs="Calibri"/>
                <w:b/>
                <w:bCs/>
                <w:color w:val="FFFFFF"/>
                <w:sz w:val="22"/>
                <w:szCs w:val="22"/>
              </w:rPr>
              <w:t>2031</w:t>
            </w:r>
          </w:p>
        </w:tc>
        <w:tc>
          <w:tcPr>
            <w:tcW w:w="667" w:type="dxa"/>
            <w:tcBorders>
              <w:top w:val="nil"/>
              <w:left w:val="nil"/>
              <w:bottom w:val="nil"/>
              <w:right w:val="nil"/>
            </w:tcBorders>
            <w:shd w:val="clear" w:color="auto" w:fill="4F81BD" w:themeFill="accent1"/>
            <w:noWrap/>
            <w:vAlign w:val="center"/>
          </w:tcPr>
          <w:p w:rsidRPr="00533805" w:rsidR="006A5C10" w:rsidP="006A5C10" w:rsidRDefault="006A5C10" w14:paraId="7C00FD70" w14:textId="4C0D85AB">
            <w:pPr>
              <w:spacing w:line="240" w:lineRule="auto"/>
              <w:jc w:val="right"/>
              <w:rPr>
                <w:rFonts w:ascii="Calibri" w:hAnsi="Calibri" w:cs="Calibri"/>
                <w:b/>
                <w:bCs/>
                <w:color w:val="FFFFFF"/>
                <w:sz w:val="22"/>
                <w:szCs w:val="22"/>
              </w:rPr>
            </w:pPr>
            <w:r w:rsidRPr="00533805">
              <w:rPr>
                <w:rFonts w:ascii="Calibri" w:hAnsi="Calibri" w:cs="Calibri"/>
                <w:b/>
                <w:bCs/>
                <w:color w:val="FFFFFF"/>
                <w:sz w:val="22"/>
                <w:szCs w:val="22"/>
              </w:rPr>
              <w:t>2032</w:t>
            </w:r>
          </w:p>
        </w:tc>
        <w:tc>
          <w:tcPr>
            <w:tcW w:w="667" w:type="dxa"/>
            <w:tcBorders>
              <w:top w:val="nil"/>
              <w:left w:val="nil"/>
              <w:bottom w:val="nil"/>
              <w:right w:val="nil"/>
            </w:tcBorders>
            <w:shd w:val="clear" w:color="auto" w:fill="4F81BD" w:themeFill="accent1"/>
            <w:noWrap/>
            <w:vAlign w:val="center"/>
          </w:tcPr>
          <w:p w:rsidRPr="00533805" w:rsidR="006A5C10" w:rsidP="006A5C10" w:rsidRDefault="006A5C10" w14:paraId="4D07A933" w14:textId="3DCDD9CC">
            <w:pPr>
              <w:spacing w:line="240" w:lineRule="auto"/>
              <w:jc w:val="right"/>
              <w:rPr>
                <w:rFonts w:ascii="Calibri" w:hAnsi="Calibri" w:cs="Calibri"/>
                <w:b/>
                <w:bCs/>
                <w:color w:val="FFFFFF"/>
                <w:sz w:val="22"/>
                <w:szCs w:val="22"/>
              </w:rPr>
            </w:pPr>
            <w:r w:rsidRPr="00533805">
              <w:rPr>
                <w:rFonts w:ascii="Calibri" w:hAnsi="Calibri" w:cs="Calibri"/>
                <w:b/>
                <w:bCs/>
                <w:color w:val="FFFFFF"/>
                <w:sz w:val="22"/>
                <w:szCs w:val="22"/>
              </w:rPr>
              <w:t>2033</w:t>
            </w:r>
          </w:p>
        </w:tc>
        <w:tc>
          <w:tcPr>
            <w:tcW w:w="667" w:type="dxa"/>
            <w:tcBorders>
              <w:top w:val="nil"/>
              <w:left w:val="nil"/>
              <w:bottom w:val="nil"/>
              <w:right w:val="nil"/>
            </w:tcBorders>
            <w:shd w:val="clear" w:color="auto" w:fill="4F81BD" w:themeFill="accent1"/>
            <w:noWrap/>
            <w:vAlign w:val="center"/>
          </w:tcPr>
          <w:p w:rsidRPr="00533805" w:rsidR="006A5C10" w:rsidP="006A5C10" w:rsidRDefault="006A5C10" w14:paraId="39F2D894" w14:textId="1D29376F">
            <w:pPr>
              <w:spacing w:line="240" w:lineRule="auto"/>
              <w:jc w:val="right"/>
              <w:rPr>
                <w:rFonts w:ascii="Calibri" w:hAnsi="Calibri" w:cs="Calibri"/>
                <w:b/>
                <w:bCs/>
                <w:color w:val="FFFFFF"/>
                <w:sz w:val="22"/>
                <w:szCs w:val="22"/>
              </w:rPr>
            </w:pPr>
            <w:r w:rsidRPr="00533805">
              <w:rPr>
                <w:rFonts w:ascii="Calibri" w:hAnsi="Calibri" w:cs="Calibri"/>
                <w:b/>
                <w:bCs/>
                <w:color w:val="FFFFFF"/>
                <w:sz w:val="22"/>
                <w:szCs w:val="22"/>
              </w:rPr>
              <w:t>2034</w:t>
            </w:r>
          </w:p>
        </w:tc>
        <w:tc>
          <w:tcPr>
            <w:tcW w:w="667" w:type="dxa"/>
            <w:tcBorders>
              <w:top w:val="nil"/>
              <w:left w:val="nil"/>
              <w:bottom w:val="nil"/>
              <w:right w:val="nil"/>
            </w:tcBorders>
            <w:shd w:val="clear" w:color="auto" w:fill="4F81BD" w:themeFill="accent1"/>
            <w:noWrap/>
            <w:vAlign w:val="center"/>
          </w:tcPr>
          <w:p w:rsidRPr="00533805" w:rsidR="006A5C10" w:rsidP="006A5C10" w:rsidRDefault="006A5C10" w14:paraId="346B7172" w14:textId="51406C5F">
            <w:pPr>
              <w:spacing w:line="240" w:lineRule="auto"/>
              <w:jc w:val="right"/>
              <w:rPr>
                <w:rFonts w:ascii="Calibri" w:hAnsi="Calibri" w:cs="Calibri"/>
                <w:b/>
                <w:bCs/>
                <w:color w:val="FFFFFF"/>
                <w:sz w:val="22"/>
                <w:szCs w:val="22"/>
              </w:rPr>
            </w:pPr>
            <w:r w:rsidRPr="00533805">
              <w:rPr>
                <w:rFonts w:ascii="Calibri" w:hAnsi="Calibri" w:cs="Calibri"/>
                <w:b/>
                <w:bCs/>
                <w:color w:val="FFFFFF"/>
                <w:sz w:val="22"/>
                <w:szCs w:val="22"/>
              </w:rPr>
              <w:t>2035</w:t>
            </w:r>
          </w:p>
        </w:tc>
        <w:tc>
          <w:tcPr>
            <w:tcW w:w="667" w:type="dxa"/>
            <w:tcBorders>
              <w:top w:val="nil"/>
              <w:left w:val="nil"/>
              <w:bottom w:val="nil"/>
              <w:right w:val="nil"/>
            </w:tcBorders>
            <w:shd w:val="clear" w:color="auto" w:fill="4F81BD" w:themeFill="accent1"/>
            <w:noWrap/>
            <w:vAlign w:val="center"/>
          </w:tcPr>
          <w:p w:rsidRPr="00533805" w:rsidR="006A5C10" w:rsidP="006A5C10" w:rsidRDefault="006A5C10" w14:paraId="18EBE76D" w14:textId="2F8A6A8E">
            <w:pPr>
              <w:spacing w:line="240" w:lineRule="auto"/>
              <w:jc w:val="right"/>
              <w:rPr>
                <w:rFonts w:ascii="Calibri" w:hAnsi="Calibri" w:cs="Calibri"/>
                <w:b/>
                <w:bCs/>
                <w:color w:val="FFFFFF"/>
                <w:sz w:val="22"/>
                <w:szCs w:val="22"/>
              </w:rPr>
            </w:pPr>
            <w:proofErr w:type="spellStart"/>
            <w:r w:rsidRPr="00533805">
              <w:rPr>
                <w:rFonts w:ascii="Calibri" w:hAnsi="Calibri" w:cs="Calibri"/>
                <w:b/>
                <w:bCs/>
                <w:color w:val="FFFFFF"/>
                <w:sz w:val="22"/>
                <w:szCs w:val="22"/>
              </w:rPr>
              <w:t>struc</w:t>
            </w:r>
            <w:proofErr w:type="spellEnd"/>
          </w:p>
        </w:tc>
      </w:tr>
      <w:tr w:rsidRPr="00533805" w:rsidR="00E37297" w:rsidTr="00E37297" w14:paraId="7F19AA9A" w14:textId="77777777">
        <w:trPr>
          <w:trHeight w:val="416"/>
        </w:trPr>
        <w:tc>
          <w:tcPr>
            <w:tcW w:w="1732" w:type="dxa"/>
            <w:tcBorders>
              <w:top w:val="nil"/>
              <w:left w:val="nil"/>
              <w:bottom w:val="single" w:color="548DD4" w:themeColor="text2" w:themeTint="99" w:sz="4" w:space="0"/>
              <w:right w:val="single" w:color="4472C4" w:sz="4" w:space="0"/>
            </w:tcBorders>
            <w:shd w:val="clear" w:color="000000" w:fill="DDEBF7"/>
            <w:noWrap/>
            <w:vAlign w:val="center"/>
            <w:hideMark/>
          </w:tcPr>
          <w:p w:rsidRPr="00533805" w:rsidR="00E37297" w:rsidP="00E37297" w:rsidRDefault="00E37297" w14:paraId="6363CEA5" w14:textId="5DA39E36">
            <w:pPr>
              <w:spacing w:line="240" w:lineRule="auto"/>
              <w:rPr>
                <w:rFonts w:ascii="Calibri" w:hAnsi="Calibri" w:cs="Calibri"/>
                <w:b/>
                <w:bCs/>
                <w:color w:val="000000"/>
                <w:sz w:val="22"/>
                <w:szCs w:val="22"/>
              </w:rPr>
            </w:pPr>
            <w:r w:rsidRPr="00533805">
              <w:rPr>
                <w:rFonts w:ascii="Calibri" w:hAnsi="Calibri" w:cs="Calibri"/>
                <w:b/>
                <w:bCs/>
                <w:color w:val="000000"/>
                <w:sz w:val="22"/>
                <w:szCs w:val="22"/>
              </w:rPr>
              <w:t xml:space="preserve">Totaal </w:t>
            </w:r>
            <w:r>
              <w:rPr>
                <w:rFonts w:ascii="Calibri" w:hAnsi="Calibri" w:cs="Calibri"/>
                <w:b/>
                <w:bCs/>
                <w:color w:val="000000"/>
                <w:sz w:val="22"/>
                <w:szCs w:val="22"/>
              </w:rPr>
              <w:t>pakket autobelastingen</w:t>
            </w:r>
          </w:p>
        </w:tc>
        <w:tc>
          <w:tcPr>
            <w:tcW w:w="587" w:type="dxa"/>
            <w:tcBorders>
              <w:top w:val="nil"/>
              <w:left w:val="nil"/>
              <w:bottom w:val="single" w:color="548DD4" w:themeColor="text2" w:themeTint="99" w:sz="4" w:space="0"/>
              <w:right w:val="nil"/>
            </w:tcBorders>
            <w:shd w:val="clear" w:color="000000" w:fill="DDEBF7"/>
            <w:noWrap/>
            <w:vAlign w:val="center"/>
            <w:hideMark/>
          </w:tcPr>
          <w:p w:rsidRPr="00533805" w:rsidR="00E37297" w:rsidP="00E37297" w:rsidRDefault="00E37297" w14:paraId="06FB71A7" w14:textId="000EC896">
            <w:pPr>
              <w:spacing w:line="240" w:lineRule="auto"/>
              <w:jc w:val="right"/>
              <w:rPr>
                <w:rFonts w:ascii="Calibri" w:hAnsi="Calibri" w:cs="Calibri"/>
                <w:b/>
                <w:bCs/>
                <w:color w:val="000000"/>
                <w:sz w:val="22"/>
                <w:szCs w:val="22"/>
              </w:rPr>
            </w:pPr>
            <w:r>
              <w:rPr>
                <w:rFonts w:ascii="Calibri" w:hAnsi="Calibri" w:cs="Calibri"/>
                <w:b/>
                <w:bCs/>
                <w:color w:val="000000"/>
                <w:sz w:val="22"/>
                <w:szCs w:val="22"/>
              </w:rPr>
              <w:t>-</w:t>
            </w:r>
          </w:p>
        </w:tc>
        <w:tc>
          <w:tcPr>
            <w:tcW w:w="658" w:type="dxa"/>
            <w:tcBorders>
              <w:top w:val="nil"/>
              <w:left w:val="nil"/>
              <w:bottom w:val="single" w:color="548DD4" w:themeColor="text2" w:themeTint="99" w:sz="4" w:space="0"/>
              <w:right w:val="nil"/>
            </w:tcBorders>
            <w:shd w:val="clear" w:color="000000" w:fill="DDEBF7"/>
            <w:noWrap/>
            <w:vAlign w:val="center"/>
            <w:hideMark/>
          </w:tcPr>
          <w:p w:rsidRPr="00533805" w:rsidR="00E37297" w:rsidP="00E37297" w:rsidRDefault="00E37297" w14:paraId="7743C1BF" w14:textId="5AD694B1">
            <w:pPr>
              <w:spacing w:line="240" w:lineRule="auto"/>
              <w:jc w:val="right"/>
              <w:rPr>
                <w:rFonts w:ascii="Calibri" w:hAnsi="Calibri" w:cs="Calibri"/>
                <w:b/>
                <w:bCs/>
                <w:color w:val="000000"/>
                <w:sz w:val="22"/>
                <w:szCs w:val="22"/>
              </w:rPr>
            </w:pPr>
            <w:r>
              <w:rPr>
                <w:rFonts w:ascii="Calibri" w:hAnsi="Calibri" w:cs="Calibri"/>
                <w:b/>
                <w:bCs/>
                <w:color w:val="000000"/>
                <w:sz w:val="22"/>
                <w:szCs w:val="22"/>
              </w:rPr>
              <w:t>-140</w:t>
            </w:r>
          </w:p>
        </w:tc>
        <w:tc>
          <w:tcPr>
            <w:tcW w:w="658" w:type="dxa"/>
            <w:tcBorders>
              <w:top w:val="nil"/>
              <w:left w:val="nil"/>
              <w:bottom w:val="single" w:color="548DD4" w:themeColor="text2" w:themeTint="99" w:sz="4" w:space="0"/>
              <w:right w:val="nil"/>
            </w:tcBorders>
            <w:shd w:val="clear" w:color="000000" w:fill="DDEBF7"/>
            <w:noWrap/>
            <w:vAlign w:val="center"/>
            <w:hideMark/>
          </w:tcPr>
          <w:p w:rsidRPr="00533805" w:rsidR="00E37297" w:rsidP="00E37297" w:rsidRDefault="00E37297" w14:paraId="7D6CB16C" w14:textId="7B9D5C64">
            <w:pPr>
              <w:spacing w:line="240" w:lineRule="auto"/>
              <w:jc w:val="right"/>
              <w:rPr>
                <w:rFonts w:ascii="Calibri" w:hAnsi="Calibri" w:cs="Calibri"/>
                <w:b/>
                <w:bCs/>
                <w:color w:val="000000"/>
                <w:sz w:val="22"/>
                <w:szCs w:val="22"/>
              </w:rPr>
            </w:pPr>
            <w:r>
              <w:rPr>
                <w:rFonts w:ascii="Calibri" w:hAnsi="Calibri" w:cs="Calibri"/>
                <w:b/>
                <w:bCs/>
                <w:color w:val="000000"/>
                <w:sz w:val="22"/>
                <w:szCs w:val="22"/>
              </w:rPr>
              <w:t>-33</w:t>
            </w:r>
          </w:p>
        </w:tc>
        <w:tc>
          <w:tcPr>
            <w:tcW w:w="658" w:type="dxa"/>
            <w:tcBorders>
              <w:top w:val="nil"/>
              <w:left w:val="nil"/>
              <w:bottom w:val="single" w:color="548DD4" w:themeColor="text2" w:themeTint="99" w:sz="4" w:space="0"/>
              <w:right w:val="nil"/>
            </w:tcBorders>
            <w:shd w:val="clear" w:color="000000" w:fill="DDEBF7"/>
            <w:noWrap/>
            <w:vAlign w:val="center"/>
            <w:hideMark/>
          </w:tcPr>
          <w:p w:rsidRPr="00533805" w:rsidR="00E37297" w:rsidP="00E37297" w:rsidRDefault="00E37297" w14:paraId="4DDF71F2" w14:textId="7B8EB6C1">
            <w:pPr>
              <w:spacing w:line="240" w:lineRule="auto"/>
              <w:jc w:val="right"/>
              <w:rPr>
                <w:rFonts w:ascii="Calibri" w:hAnsi="Calibri" w:cs="Calibri"/>
                <w:b/>
                <w:bCs/>
                <w:color w:val="000000"/>
                <w:sz w:val="22"/>
                <w:szCs w:val="22"/>
              </w:rPr>
            </w:pPr>
            <w:r>
              <w:rPr>
                <w:rFonts w:ascii="Calibri" w:hAnsi="Calibri" w:cs="Calibri"/>
                <w:b/>
                <w:bCs/>
                <w:color w:val="000000"/>
                <w:sz w:val="22"/>
                <w:szCs w:val="22"/>
              </w:rPr>
              <w:t>58</w:t>
            </w:r>
          </w:p>
        </w:tc>
        <w:tc>
          <w:tcPr>
            <w:tcW w:w="658" w:type="dxa"/>
            <w:tcBorders>
              <w:top w:val="nil"/>
              <w:left w:val="nil"/>
              <w:bottom w:val="single" w:color="548DD4" w:themeColor="text2" w:themeTint="99" w:sz="4" w:space="0"/>
              <w:right w:val="nil"/>
            </w:tcBorders>
            <w:shd w:val="clear" w:color="000000" w:fill="DDEBF7"/>
            <w:noWrap/>
            <w:vAlign w:val="center"/>
            <w:hideMark/>
          </w:tcPr>
          <w:p w:rsidRPr="00533805" w:rsidR="00E37297" w:rsidP="00E37297" w:rsidRDefault="00E37297" w14:paraId="1023388B" w14:textId="5900970A">
            <w:pPr>
              <w:spacing w:line="240" w:lineRule="auto"/>
              <w:jc w:val="right"/>
              <w:rPr>
                <w:rFonts w:ascii="Calibri" w:hAnsi="Calibri" w:cs="Calibri"/>
                <w:b/>
                <w:bCs/>
                <w:color w:val="000000"/>
                <w:sz w:val="22"/>
                <w:szCs w:val="22"/>
              </w:rPr>
            </w:pPr>
            <w:r>
              <w:rPr>
                <w:rFonts w:ascii="Calibri" w:hAnsi="Calibri" w:cs="Calibri"/>
                <w:b/>
                <w:bCs/>
                <w:color w:val="000000"/>
                <w:sz w:val="22"/>
                <w:szCs w:val="22"/>
              </w:rPr>
              <w:t>76</w:t>
            </w:r>
          </w:p>
        </w:tc>
        <w:tc>
          <w:tcPr>
            <w:tcW w:w="658" w:type="dxa"/>
            <w:tcBorders>
              <w:top w:val="nil"/>
              <w:left w:val="nil"/>
              <w:bottom w:val="single" w:color="548DD4" w:themeColor="text2" w:themeTint="99" w:sz="4" w:space="0"/>
              <w:right w:val="nil"/>
            </w:tcBorders>
            <w:shd w:val="clear" w:color="000000" w:fill="DDEBF7"/>
            <w:noWrap/>
            <w:vAlign w:val="center"/>
            <w:hideMark/>
          </w:tcPr>
          <w:p w:rsidRPr="00533805" w:rsidR="00E37297" w:rsidP="00E37297" w:rsidRDefault="00E37297" w14:paraId="323CE7FE" w14:textId="0D7C551A">
            <w:pPr>
              <w:spacing w:line="240" w:lineRule="auto"/>
              <w:jc w:val="right"/>
              <w:rPr>
                <w:rFonts w:ascii="Calibri" w:hAnsi="Calibri" w:cs="Calibri"/>
                <w:b/>
                <w:bCs/>
                <w:color w:val="000000"/>
                <w:sz w:val="22"/>
                <w:szCs w:val="22"/>
              </w:rPr>
            </w:pPr>
            <w:r>
              <w:rPr>
                <w:rFonts w:ascii="Calibri" w:hAnsi="Calibri" w:cs="Calibri"/>
                <w:b/>
                <w:bCs/>
                <w:color w:val="000000"/>
                <w:sz w:val="22"/>
                <w:szCs w:val="22"/>
              </w:rPr>
              <w:t>-117</w:t>
            </w:r>
          </w:p>
        </w:tc>
        <w:tc>
          <w:tcPr>
            <w:tcW w:w="658" w:type="dxa"/>
            <w:tcBorders>
              <w:top w:val="nil"/>
              <w:left w:val="nil"/>
              <w:bottom w:val="single" w:color="548DD4" w:themeColor="text2" w:themeTint="99" w:sz="4" w:space="0"/>
              <w:right w:val="nil"/>
            </w:tcBorders>
            <w:shd w:val="clear" w:color="000000" w:fill="DDEBF7"/>
            <w:noWrap/>
            <w:vAlign w:val="center"/>
            <w:hideMark/>
          </w:tcPr>
          <w:p w:rsidRPr="00533805" w:rsidR="00E37297" w:rsidP="00E37297" w:rsidRDefault="00E37297" w14:paraId="659CB74A" w14:textId="34EA701A">
            <w:pPr>
              <w:spacing w:line="240" w:lineRule="auto"/>
              <w:jc w:val="right"/>
              <w:rPr>
                <w:rFonts w:ascii="Calibri" w:hAnsi="Calibri" w:cs="Calibri"/>
                <w:b/>
                <w:bCs/>
                <w:color w:val="000000"/>
                <w:sz w:val="22"/>
                <w:szCs w:val="22"/>
              </w:rPr>
            </w:pPr>
            <w:r>
              <w:rPr>
                <w:rFonts w:ascii="Calibri" w:hAnsi="Calibri" w:cs="Calibri"/>
                <w:b/>
                <w:bCs/>
                <w:color w:val="000000"/>
                <w:sz w:val="22"/>
                <w:szCs w:val="22"/>
              </w:rPr>
              <w:t>42</w:t>
            </w:r>
          </w:p>
        </w:tc>
        <w:tc>
          <w:tcPr>
            <w:tcW w:w="667" w:type="dxa"/>
            <w:tcBorders>
              <w:top w:val="nil"/>
              <w:left w:val="nil"/>
              <w:bottom w:val="single" w:color="548DD4" w:themeColor="text2" w:themeTint="99" w:sz="4" w:space="0"/>
              <w:right w:val="nil"/>
            </w:tcBorders>
            <w:shd w:val="clear" w:color="000000" w:fill="DDEBF7"/>
            <w:noWrap/>
            <w:vAlign w:val="center"/>
            <w:hideMark/>
          </w:tcPr>
          <w:p w:rsidRPr="00533805" w:rsidR="00E37297" w:rsidP="00E37297" w:rsidRDefault="00E37297" w14:paraId="48307EAE" w14:textId="1E010CEB">
            <w:pPr>
              <w:spacing w:line="240" w:lineRule="auto"/>
              <w:jc w:val="right"/>
              <w:rPr>
                <w:rFonts w:ascii="Calibri" w:hAnsi="Calibri" w:cs="Calibri"/>
                <w:b/>
                <w:bCs/>
                <w:color w:val="000000"/>
                <w:sz w:val="22"/>
                <w:szCs w:val="22"/>
              </w:rPr>
            </w:pPr>
            <w:r>
              <w:rPr>
                <w:rFonts w:ascii="Calibri" w:hAnsi="Calibri" w:cs="Calibri"/>
                <w:b/>
                <w:bCs/>
                <w:color w:val="000000"/>
                <w:sz w:val="22"/>
                <w:szCs w:val="22"/>
              </w:rPr>
              <w:t>308</w:t>
            </w:r>
          </w:p>
        </w:tc>
        <w:tc>
          <w:tcPr>
            <w:tcW w:w="667" w:type="dxa"/>
            <w:tcBorders>
              <w:top w:val="nil"/>
              <w:left w:val="nil"/>
              <w:bottom w:val="single" w:color="548DD4" w:themeColor="text2" w:themeTint="99" w:sz="4" w:space="0"/>
              <w:right w:val="nil"/>
            </w:tcBorders>
            <w:shd w:val="clear" w:color="000000" w:fill="DDEBF7"/>
            <w:noWrap/>
            <w:vAlign w:val="center"/>
            <w:hideMark/>
          </w:tcPr>
          <w:p w:rsidRPr="00533805" w:rsidR="00E37297" w:rsidP="00E37297" w:rsidRDefault="00E37297" w14:paraId="0778A92A" w14:textId="61A67D00">
            <w:pPr>
              <w:spacing w:line="240" w:lineRule="auto"/>
              <w:jc w:val="right"/>
              <w:rPr>
                <w:rFonts w:ascii="Calibri" w:hAnsi="Calibri" w:cs="Calibri"/>
                <w:b/>
                <w:bCs/>
                <w:color w:val="000000"/>
                <w:sz w:val="22"/>
                <w:szCs w:val="22"/>
              </w:rPr>
            </w:pPr>
            <w:r>
              <w:rPr>
                <w:rFonts w:ascii="Calibri" w:hAnsi="Calibri" w:cs="Calibri"/>
                <w:b/>
                <w:bCs/>
                <w:color w:val="000000"/>
                <w:sz w:val="22"/>
                <w:szCs w:val="22"/>
              </w:rPr>
              <w:t>457</w:t>
            </w:r>
          </w:p>
        </w:tc>
        <w:tc>
          <w:tcPr>
            <w:tcW w:w="667" w:type="dxa"/>
            <w:tcBorders>
              <w:top w:val="nil"/>
              <w:left w:val="nil"/>
              <w:bottom w:val="single" w:color="548DD4" w:themeColor="text2" w:themeTint="99" w:sz="4" w:space="0"/>
              <w:right w:val="nil"/>
            </w:tcBorders>
            <w:shd w:val="clear" w:color="000000" w:fill="DDEBF7"/>
            <w:noWrap/>
            <w:vAlign w:val="center"/>
            <w:hideMark/>
          </w:tcPr>
          <w:p w:rsidRPr="00533805" w:rsidR="00E37297" w:rsidP="00E37297" w:rsidRDefault="00E37297" w14:paraId="3AFE5C77" w14:textId="346A519A">
            <w:pPr>
              <w:spacing w:line="240" w:lineRule="auto"/>
              <w:jc w:val="right"/>
              <w:rPr>
                <w:rFonts w:ascii="Calibri" w:hAnsi="Calibri" w:cs="Calibri"/>
                <w:b/>
                <w:bCs/>
                <w:color w:val="000000"/>
                <w:sz w:val="22"/>
                <w:szCs w:val="22"/>
              </w:rPr>
            </w:pPr>
            <w:r>
              <w:rPr>
                <w:rFonts w:ascii="Calibri" w:hAnsi="Calibri" w:cs="Calibri"/>
                <w:b/>
                <w:bCs/>
                <w:color w:val="000000"/>
                <w:sz w:val="22"/>
                <w:szCs w:val="22"/>
              </w:rPr>
              <w:t>480</w:t>
            </w:r>
          </w:p>
        </w:tc>
        <w:tc>
          <w:tcPr>
            <w:tcW w:w="667" w:type="dxa"/>
            <w:tcBorders>
              <w:top w:val="nil"/>
              <w:left w:val="nil"/>
              <w:bottom w:val="single" w:color="548DD4" w:themeColor="text2" w:themeTint="99" w:sz="4" w:space="0"/>
              <w:right w:val="nil"/>
            </w:tcBorders>
            <w:shd w:val="clear" w:color="000000" w:fill="DDEBF7"/>
            <w:noWrap/>
            <w:vAlign w:val="center"/>
            <w:hideMark/>
          </w:tcPr>
          <w:p w:rsidRPr="00533805" w:rsidR="00E37297" w:rsidP="00E37297" w:rsidRDefault="00E37297" w14:paraId="4B2E2183" w14:textId="5CB31079">
            <w:pPr>
              <w:spacing w:line="240" w:lineRule="auto"/>
              <w:jc w:val="right"/>
              <w:rPr>
                <w:rFonts w:ascii="Calibri" w:hAnsi="Calibri" w:cs="Calibri"/>
                <w:b/>
                <w:bCs/>
                <w:color w:val="000000"/>
                <w:sz w:val="22"/>
                <w:szCs w:val="22"/>
              </w:rPr>
            </w:pPr>
            <w:r>
              <w:rPr>
                <w:rFonts w:ascii="Calibri" w:hAnsi="Calibri" w:cs="Calibri"/>
                <w:b/>
                <w:bCs/>
                <w:color w:val="000000"/>
                <w:sz w:val="22"/>
                <w:szCs w:val="22"/>
              </w:rPr>
              <w:t>614</w:t>
            </w:r>
          </w:p>
        </w:tc>
        <w:tc>
          <w:tcPr>
            <w:tcW w:w="667" w:type="dxa"/>
            <w:tcBorders>
              <w:top w:val="nil"/>
              <w:left w:val="single" w:color="4472C4" w:sz="4" w:space="0"/>
              <w:bottom w:val="single" w:color="548DD4" w:themeColor="text2" w:themeTint="99" w:sz="4" w:space="0"/>
              <w:right w:val="single" w:color="4472C4" w:sz="4" w:space="0"/>
            </w:tcBorders>
            <w:shd w:val="clear" w:color="000000" w:fill="DDEBF7"/>
            <w:noWrap/>
            <w:vAlign w:val="center"/>
            <w:hideMark/>
          </w:tcPr>
          <w:p w:rsidRPr="00533805" w:rsidR="00E37297" w:rsidP="00E37297" w:rsidRDefault="00E37297" w14:paraId="43C88817" w14:textId="7A2D21BE">
            <w:pPr>
              <w:spacing w:line="240" w:lineRule="auto"/>
              <w:jc w:val="right"/>
              <w:rPr>
                <w:rFonts w:ascii="Calibri" w:hAnsi="Calibri" w:cs="Calibri"/>
                <w:b/>
                <w:bCs/>
                <w:color w:val="000000"/>
                <w:sz w:val="22"/>
                <w:szCs w:val="22"/>
              </w:rPr>
            </w:pPr>
            <w:r>
              <w:rPr>
                <w:rFonts w:ascii="Calibri" w:hAnsi="Calibri" w:cs="Calibri"/>
                <w:b/>
                <w:bCs/>
                <w:color w:val="000000"/>
                <w:sz w:val="22"/>
                <w:szCs w:val="22"/>
              </w:rPr>
              <w:t>614</w:t>
            </w:r>
          </w:p>
        </w:tc>
      </w:tr>
      <w:tr w:rsidRPr="00533805" w:rsidR="0087418A" w:rsidTr="00FB2947" w14:paraId="337F28D8" w14:textId="77777777">
        <w:trPr>
          <w:trHeight w:val="416"/>
        </w:trPr>
        <w:tc>
          <w:tcPr>
            <w:tcW w:w="1732" w:type="dxa"/>
            <w:tcBorders>
              <w:top w:val="single" w:color="548DD4" w:themeColor="text2" w:themeTint="99" w:sz="4" w:space="0"/>
              <w:left w:val="nil"/>
              <w:bottom w:val="single" w:color="548DD4" w:themeColor="text2" w:themeTint="99" w:sz="4" w:space="0"/>
              <w:right w:val="single" w:color="4472C4" w:sz="4" w:space="0"/>
            </w:tcBorders>
            <w:shd w:val="clear" w:color="000000" w:fill="DDEBF7"/>
            <w:noWrap/>
            <w:vAlign w:val="center"/>
          </w:tcPr>
          <w:p w:rsidRPr="00533805" w:rsidR="0087418A" w:rsidP="006A5C10" w:rsidRDefault="00FB2947" w14:paraId="382570BD" w14:textId="05F1EBB7">
            <w:pPr>
              <w:spacing w:line="240" w:lineRule="auto"/>
              <w:rPr>
                <w:rFonts w:ascii="Calibri" w:hAnsi="Calibri" w:cs="Calibri"/>
                <w:b/>
                <w:bCs/>
                <w:color w:val="000000"/>
                <w:sz w:val="22"/>
                <w:szCs w:val="22"/>
              </w:rPr>
            </w:pPr>
            <w:r>
              <w:rPr>
                <w:rFonts w:ascii="Calibri" w:hAnsi="Calibri" w:cs="Calibri"/>
                <w:b/>
                <w:bCs/>
                <w:color w:val="000000"/>
                <w:sz w:val="22"/>
                <w:szCs w:val="22"/>
              </w:rPr>
              <w:t>Gedeeltelijke inzet aanpassing</w:t>
            </w:r>
            <w:r w:rsidR="0087418A">
              <w:rPr>
                <w:rFonts w:ascii="Calibri" w:hAnsi="Calibri" w:cs="Calibri"/>
                <w:b/>
                <w:bCs/>
                <w:color w:val="000000"/>
                <w:sz w:val="22"/>
                <w:szCs w:val="22"/>
              </w:rPr>
              <w:t xml:space="preserve"> belasting leidingwater</w:t>
            </w:r>
            <w:r>
              <w:rPr>
                <w:rFonts w:ascii="Calibri" w:hAnsi="Calibri" w:cs="Calibri"/>
                <w:b/>
                <w:bCs/>
                <w:color w:val="000000"/>
                <w:sz w:val="22"/>
                <w:szCs w:val="22"/>
              </w:rPr>
              <w:t xml:space="preserve"> *</w:t>
            </w:r>
          </w:p>
        </w:tc>
        <w:tc>
          <w:tcPr>
            <w:tcW w:w="587" w:type="dxa"/>
            <w:tcBorders>
              <w:top w:val="single" w:color="548DD4" w:themeColor="text2" w:themeTint="99" w:sz="4" w:space="0"/>
              <w:left w:val="nil"/>
              <w:bottom w:val="single" w:color="548DD4" w:themeColor="text2" w:themeTint="99" w:sz="4" w:space="0"/>
              <w:right w:val="nil"/>
            </w:tcBorders>
            <w:shd w:val="clear" w:color="000000" w:fill="DDEBF7"/>
            <w:noWrap/>
            <w:vAlign w:val="center"/>
          </w:tcPr>
          <w:p w:rsidR="0087418A" w:rsidP="006A5C10" w:rsidRDefault="00FB2947" w14:paraId="0F62E0EC" w14:textId="2AEAF40B">
            <w:pPr>
              <w:spacing w:line="240" w:lineRule="auto"/>
              <w:jc w:val="right"/>
              <w:rPr>
                <w:rFonts w:ascii="Calibri" w:hAnsi="Calibri" w:cs="Calibri"/>
                <w:b/>
                <w:bCs/>
                <w:color w:val="000000"/>
                <w:sz w:val="22"/>
                <w:szCs w:val="22"/>
              </w:rPr>
            </w:pPr>
            <w:r>
              <w:rPr>
                <w:rFonts w:ascii="Calibri" w:hAnsi="Calibri" w:cs="Calibri"/>
                <w:b/>
                <w:bCs/>
                <w:color w:val="000000"/>
                <w:sz w:val="22"/>
                <w:szCs w:val="22"/>
              </w:rPr>
              <w:t>0</w:t>
            </w:r>
          </w:p>
        </w:tc>
        <w:tc>
          <w:tcPr>
            <w:tcW w:w="658" w:type="dxa"/>
            <w:tcBorders>
              <w:top w:val="single" w:color="548DD4" w:themeColor="text2" w:themeTint="99" w:sz="4" w:space="0"/>
              <w:left w:val="nil"/>
              <w:bottom w:val="single" w:color="548DD4" w:themeColor="text2" w:themeTint="99" w:sz="4" w:space="0"/>
              <w:right w:val="nil"/>
            </w:tcBorders>
            <w:shd w:val="clear" w:color="000000" w:fill="DDEBF7"/>
            <w:noWrap/>
            <w:vAlign w:val="center"/>
          </w:tcPr>
          <w:p w:rsidRPr="00533805" w:rsidR="0087418A" w:rsidP="006A5C10" w:rsidRDefault="00FB2947" w14:paraId="5F5B848A" w14:textId="7FE8BE10">
            <w:pPr>
              <w:spacing w:line="240" w:lineRule="auto"/>
              <w:jc w:val="right"/>
              <w:rPr>
                <w:rFonts w:ascii="Calibri" w:hAnsi="Calibri" w:cs="Calibri"/>
                <w:b/>
                <w:bCs/>
                <w:color w:val="000000"/>
                <w:sz w:val="22"/>
                <w:szCs w:val="22"/>
              </w:rPr>
            </w:pPr>
            <w:r>
              <w:rPr>
                <w:rFonts w:ascii="Calibri" w:hAnsi="Calibri" w:cs="Calibri"/>
                <w:b/>
                <w:bCs/>
                <w:color w:val="000000"/>
                <w:sz w:val="22"/>
                <w:szCs w:val="22"/>
              </w:rPr>
              <w:t>55</w:t>
            </w:r>
          </w:p>
        </w:tc>
        <w:tc>
          <w:tcPr>
            <w:tcW w:w="658" w:type="dxa"/>
            <w:tcBorders>
              <w:top w:val="single" w:color="548DD4" w:themeColor="text2" w:themeTint="99" w:sz="4" w:space="0"/>
              <w:left w:val="nil"/>
              <w:bottom w:val="single" w:color="548DD4" w:themeColor="text2" w:themeTint="99" w:sz="4" w:space="0"/>
              <w:right w:val="nil"/>
            </w:tcBorders>
            <w:shd w:val="clear" w:color="000000" w:fill="DDEBF7"/>
            <w:noWrap/>
            <w:vAlign w:val="center"/>
          </w:tcPr>
          <w:p w:rsidRPr="00533805" w:rsidR="0087418A" w:rsidP="006A5C10" w:rsidRDefault="00FB2947" w14:paraId="54F894EC" w14:textId="6EE7C3CF">
            <w:pPr>
              <w:spacing w:line="240" w:lineRule="auto"/>
              <w:jc w:val="right"/>
              <w:rPr>
                <w:rFonts w:ascii="Calibri" w:hAnsi="Calibri" w:cs="Calibri"/>
                <w:b/>
                <w:bCs/>
                <w:color w:val="000000"/>
                <w:sz w:val="22"/>
                <w:szCs w:val="22"/>
              </w:rPr>
            </w:pPr>
            <w:r>
              <w:rPr>
                <w:rFonts w:ascii="Calibri" w:hAnsi="Calibri" w:cs="Calibri"/>
                <w:b/>
                <w:bCs/>
                <w:color w:val="000000"/>
                <w:sz w:val="22"/>
                <w:szCs w:val="22"/>
              </w:rPr>
              <w:t>55</w:t>
            </w:r>
          </w:p>
        </w:tc>
        <w:tc>
          <w:tcPr>
            <w:tcW w:w="658" w:type="dxa"/>
            <w:tcBorders>
              <w:top w:val="single" w:color="548DD4" w:themeColor="text2" w:themeTint="99" w:sz="4" w:space="0"/>
              <w:left w:val="nil"/>
              <w:bottom w:val="single" w:color="548DD4" w:themeColor="text2" w:themeTint="99" w:sz="4" w:space="0"/>
              <w:right w:val="nil"/>
            </w:tcBorders>
            <w:shd w:val="clear" w:color="000000" w:fill="DDEBF7"/>
            <w:noWrap/>
            <w:vAlign w:val="center"/>
          </w:tcPr>
          <w:p w:rsidRPr="00533805" w:rsidR="0087418A" w:rsidP="006A5C10" w:rsidRDefault="00FB2947" w14:paraId="5F760610" w14:textId="6C6A62A2">
            <w:pPr>
              <w:spacing w:line="240" w:lineRule="auto"/>
              <w:jc w:val="right"/>
              <w:rPr>
                <w:rFonts w:ascii="Calibri" w:hAnsi="Calibri" w:cs="Calibri"/>
                <w:b/>
                <w:bCs/>
                <w:color w:val="000000"/>
                <w:sz w:val="22"/>
                <w:szCs w:val="22"/>
              </w:rPr>
            </w:pPr>
            <w:r>
              <w:rPr>
                <w:rFonts w:ascii="Calibri" w:hAnsi="Calibri" w:cs="Calibri"/>
                <w:b/>
                <w:bCs/>
                <w:color w:val="000000"/>
                <w:sz w:val="22"/>
                <w:szCs w:val="22"/>
              </w:rPr>
              <w:t>66</w:t>
            </w:r>
          </w:p>
        </w:tc>
        <w:tc>
          <w:tcPr>
            <w:tcW w:w="658" w:type="dxa"/>
            <w:tcBorders>
              <w:top w:val="single" w:color="548DD4" w:themeColor="text2" w:themeTint="99" w:sz="4" w:space="0"/>
              <w:left w:val="nil"/>
              <w:bottom w:val="single" w:color="548DD4" w:themeColor="text2" w:themeTint="99" w:sz="4" w:space="0"/>
              <w:right w:val="nil"/>
            </w:tcBorders>
            <w:shd w:val="clear" w:color="000000" w:fill="DDEBF7"/>
            <w:noWrap/>
            <w:vAlign w:val="center"/>
          </w:tcPr>
          <w:p w:rsidRPr="00533805" w:rsidR="0087418A" w:rsidP="006A5C10" w:rsidRDefault="00F673E8" w14:paraId="4DD375F8" w14:textId="257EC3CA">
            <w:pPr>
              <w:spacing w:line="240" w:lineRule="auto"/>
              <w:jc w:val="right"/>
              <w:rPr>
                <w:rFonts w:ascii="Calibri" w:hAnsi="Calibri" w:cs="Calibri"/>
                <w:b/>
                <w:bCs/>
                <w:color w:val="000000"/>
                <w:sz w:val="22"/>
                <w:szCs w:val="22"/>
              </w:rPr>
            </w:pPr>
            <w:r>
              <w:rPr>
                <w:rFonts w:ascii="Calibri" w:hAnsi="Calibri" w:cs="Calibri"/>
                <w:b/>
                <w:bCs/>
                <w:color w:val="000000"/>
                <w:sz w:val="22"/>
                <w:szCs w:val="22"/>
              </w:rPr>
              <w:t>-</w:t>
            </w:r>
          </w:p>
        </w:tc>
        <w:tc>
          <w:tcPr>
            <w:tcW w:w="658" w:type="dxa"/>
            <w:tcBorders>
              <w:top w:val="single" w:color="548DD4" w:themeColor="text2" w:themeTint="99" w:sz="4" w:space="0"/>
              <w:left w:val="nil"/>
              <w:bottom w:val="single" w:color="548DD4" w:themeColor="text2" w:themeTint="99" w:sz="4" w:space="0"/>
              <w:right w:val="nil"/>
            </w:tcBorders>
            <w:shd w:val="clear" w:color="000000" w:fill="DDEBF7"/>
            <w:noWrap/>
            <w:vAlign w:val="center"/>
          </w:tcPr>
          <w:p w:rsidRPr="00533805" w:rsidR="0087418A" w:rsidP="006A5C10" w:rsidRDefault="00F673E8" w14:paraId="446182FC" w14:textId="7A70D935">
            <w:pPr>
              <w:spacing w:line="240" w:lineRule="auto"/>
              <w:jc w:val="right"/>
              <w:rPr>
                <w:rFonts w:ascii="Calibri" w:hAnsi="Calibri" w:cs="Calibri"/>
                <w:b/>
                <w:bCs/>
                <w:color w:val="000000"/>
                <w:sz w:val="22"/>
                <w:szCs w:val="22"/>
              </w:rPr>
            </w:pPr>
            <w:r>
              <w:rPr>
                <w:rFonts w:ascii="Calibri" w:hAnsi="Calibri" w:cs="Calibri"/>
                <w:b/>
                <w:bCs/>
                <w:color w:val="000000"/>
                <w:sz w:val="22"/>
                <w:szCs w:val="22"/>
              </w:rPr>
              <w:t>-</w:t>
            </w:r>
          </w:p>
        </w:tc>
        <w:tc>
          <w:tcPr>
            <w:tcW w:w="658" w:type="dxa"/>
            <w:tcBorders>
              <w:top w:val="single" w:color="548DD4" w:themeColor="text2" w:themeTint="99" w:sz="4" w:space="0"/>
              <w:left w:val="nil"/>
              <w:bottom w:val="single" w:color="548DD4" w:themeColor="text2" w:themeTint="99" w:sz="4" w:space="0"/>
              <w:right w:val="nil"/>
            </w:tcBorders>
            <w:shd w:val="clear" w:color="000000" w:fill="DDEBF7"/>
            <w:noWrap/>
            <w:vAlign w:val="center"/>
          </w:tcPr>
          <w:p w:rsidRPr="00533805" w:rsidR="0087418A" w:rsidP="006A5C10" w:rsidRDefault="00F673E8" w14:paraId="6BEAD9DB" w14:textId="14D1190E">
            <w:pPr>
              <w:spacing w:line="240" w:lineRule="auto"/>
              <w:jc w:val="right"/>
              <w:rPr>
                <w:rFonts w:ascii="Calibri" w:hAnsi="Calibri" w:cs="Calibri"/>
                <w:b/>
                <w:bCs/>
                <w:color w:val="000000"/>
                <w:sz w:val="22"/>
                <w:szCs w:val="22"/>
              </w:rPr>
            </w:pPr>
            <w:r>
              <w:rPr>
                <w:rFonts w:ascii="Calibri" w:hAnsi="Calibri" w:cs="Calibri"/>
                <w:b/>
                <w:bCs/>
                <w:color w:val="000000"/>
                <w:sz w:val="22"/>
                <w:szCs w:val="22"/>
              </w:rPr>
              <w:t>-</w:t>
            </w:r>
          </w:p>
        </w:tc>
        <w:tc>
          <w:tcPr>
            <w:tcW w:w="667" w:type="dxa"/>
            <w:tcBorders>
              <w:top w:val="single" w:color="548DD4" w:themeColor="text2" w:themeTint="99" w:sz="4" w:space="0"/>
              <w:left w:val="nil"/>
              <w:bottom w:val="single" w:color="548DD4" w:themeColor="text2" w:themeTint="99" w:sz="4" w:space="0"/>
              <w:right w:val="nil"/>
            </w:tcBorders>
            <w:shd w:val="clear" w:color="000000" w:fill="DDEBF7"/>
            <w:noWrap/>
            <w:vAlign w:val="center"/>
          </w:tcPr>
          <w:p w:rsidRPr="00533805" w:rsidR="0087418A" w:rsidP="006A5C10" w:rsidRDefault="00F673E8" w14:paraId="2BB49E5F" w14:textId="6B842CFC">
            <w:pPr>
              <w:spacing w:line="240" w:lineRule="auto"/>
              <w:jc w:val="right"/>
              <w:rPr>
                <w:rFonts w:ascii="Calibri" w:hAnsi="Calibri" w:cs="Calibri"/>
                <w:b/>
                <w:bCs/>
                <w:color w:val="000000"/>
                <w:sz w:val="22"/>
                <w:szCs w:val="22"/>
              </w:rPr>
            </w:pPr>
            <w:r>
              <w:rPr>
                <w:rFonts w:ascii="Calibri" w:hAnsi="Calibri" w:cs="Calibri"/>
                <w:b/>
                <w:bCs/>
                <w:color w:val="000000"/>
                <w:sz w:val="22"/>
                <w:szCs w:val="22"/>
              </w:rPr>
              <w:t>-</w:t>
            </w:r>
          </w:p>
        </w:tc>
        <w:tc>
          <w:tcPr>
            <w:tcW w:w="667" w:type="dxa"/>
            <w:tcBorders>
              <w:top w:val="single" w:color="548DD4" w:themeColor="text2" w:themeTint="99" w:sz="4" w:space="0"/>
              <w:left w:val="nil"/>
              <w:bottom w:val="single" w:color="548DD4" w:themeColor="text2" w:themeTint="99" w:sz="4" w:space="0"/>
              <w:right w:val="nil"/>
            </w:tcBorders>
            <w:shd w:val="clear" w:color="000000" w:fill="DDEBF7"/>
            <w:noWrap/>
            <w:vAlign w:val="center"/>
          </w:tcPr>
          <w:p w:rsidRPr="00533805" w:rsidR="0087418A" w:rsidP="006A5C10" w:rsidRDefault="00F673E8" w14:paraId="4B2C6712" w14:textId="32B2F084">
            <w:pPr>
              <w:spacing w:line="240" w:lineRule="auto"/>
              <w:jc w:val="right"/>
              <w:rPr>
                <w:rFonts w:ascii="Calibri" w:hAnsi="Calibri" w:cs="Calibri"/>
                <w:b/>
                <w:bCs/>
                <w:color w:val="000000"/>
                <w:sz w:val="22"/>
                <w:szCs w:val="22"/>
              </w:rPr>
            </w:pPr>
            <w:r>
              <w:rPr>
                <w:rFonts w:ascii="Calibri" w:hAnsi="Calibri" w:cs="Calibri"/>
                <w:b/>
                <w:bCs/>
                <w:color w:val="000000"/>
                <w:sz w:val="22"/>
                <w:szCs w:val="22"/>
              </w:rPr>
              <w:t>-</w:t>
            </w:r>
          </w:p>
        </w:tc>
        <w:tc>
          <w:tcPr>
            <w:tcW w:w="667" w:type="dxa"/>
            <w:tcBorders>
              <w:top w:val="single" w:color="548DD4" w:themeColor="text2" w:themeTint="99" w:sz="4" w:space="0"/>
              <w:left w:val="nil"/>
              <w:bottom w:val="single" w:color="548DD4" w:themeColor="text2" w:themeTint="99" w:sz="4" w:space="0"/>
              <w:right w:val="nil"/>
            </w:tcBorders>
            <w:shd w:val="clear" w:color="000000" w:fill="DDEBF7"/>
            <w:noWrap/>
            <w:vAlign w:val="center"/>
          </w:tcPr>
          <w:p w:rsidRPr="00533805" w:rsidR="0087418A" w:rsidP="006A5C10" w:rsidRDefault="00F673E8" w14:paraId="017AFF1A" w14:textId="7DC2CD37">
            <w:pPr>
              <w:spacing w:line="240" w:lineRule="auto"/>
              <w:jc w:val="right"/>
              <w:rPr>
                <w:rFonts w:ascii="Calibri" w:hAnsi="Calibri" w:cs="Calibri"/>
                <w:b/>
                <w:bCs/>
                <w:color w:val="000000"/>
                <w:sz w:val="22"/>
                <w:szCs w:val="22"/>
              </w:rPr>
            </w:pPr>
            <w:r>
              <w:rPr>
                <w:rFonts w:ascii="Calibri" w:hAnsi="Calibri" w:cs="Calibri"/>
                <w:b/>
                <w:bCs/>
                <w:color w:val="000000"/>
                <w:sz w:val="22"/>
                <w:szCs w:val="22"/>
              </w:rPr>
              <w:t>-</w:t>
            </w:r>
          </w:p>
        </w:tc>
        <w:tc>
          <w:tcPr>
            <w:tcW w:w="667" w:type="dxa"/>
            <w:tcBorders>
              <w:top w:val="single" w:color="548DD4" w:themeColor="text2" w:themeTint="99" w:sz="4" w:space="0"/>
              <w:left w:val="nil"/>
              <w:bottom w:val="single" w:color="548DD4" w:themeColor="text2" w:themeTint="99" w:sz="4" w:space="0"/>
              <w:right w:val="nil"/>
            </w:tcBorders>
            <w:shd w:val="clear" w:color="000000" w:fill="DDEBF7"/>
            <w:noWrap/>
            <w:vAlign w:val="center"/>
          </w:tcPr>
          <w:p w:rsidRPr="00533805" w:rsidR="0087418A" w:rsidP="006A5C10" w:rsidRDefault="00F673E8" w14:paraId="66992896" w14:textId="54095359">
            <w:pPr>
              <w:spacing w:line="240" w:lineRule="auto"/>
              <w:jc w:val="right"/>
              <w:rPr>
                <w:rFonts w:ascii="Calibri" w:hAnsi="Calibri" w:cs="Calibri"/>
                <w:b/>
                <w:bCs/>
                <w:color w:val="000000"/>
                <w:sz w:val="22"/>
                <w:szCs w:val="22"/>
              </w:rPr>
            </w:pPr>
            <w:r>
              <w:rPr>
                <w:rFonts w:ascii="Calibri" w:hAnsi="Calibri" w:cs="Calibri"/>
                <w:b/>
                <w:bCs/>
                <w:color w:val="000000"/>
                <w:sz w:val="22"/>
                <w:szCs w:val="22"/>
              </w:rPr>
              <w:t>-</w:t>
            </w:r>
          </w:p>
        </w:tc>
        <w:tc>
          <w:tcPr>
            <w:tcW w:w="667" w:type="dxa"/>
            <w:tcBorders>
              <w:top w:val="single" w:color="548DD4" w:themeColor="text2" w:themeTint="99" w:sz="4" w:space="0"/>
              <w:left w:val="single" w:color="4472C4" w:sz="4" w:space="0"/>
              <w:bottom w:val="single" w:color="548DD4" w:themeColor="text2" w:themeTint="99" w:sz="4" w:space="0"/>
              <w:right w:val="single" w:color="4472C4" w:sz="4" w:space="0"/>
            </w:tcBorders>
            <w:shd w:val="clear" w:color="000000" w:fill="DDEBF7"/>
            <w:noWrap/>
            <w:vAlign w:val="center"/>
          </w:tcPr>
          <w:p w:rsidRPr="00533805" w:rsidR="0087418A" w:rsidP="006A5C10" w:rsidRDefault="00F673E8" w14:paraId="1CB6FFC7" w14:textId="745F857E">
            <w:pPr>
              <w:spacing w:line="240" w:lineRule="auto"/>
              <w:jc w:val="right"/>
              <w:rPr>
                <w:rFonts w:ascii="Calibri" w:hAnsi="Calibri" w:cs="Calibri"/>
                <w:b/>
                <w:bCs/>
                <w:color w:val="000000"/>
                <w:sz w:val="22"/>
                <w:szCs w:val="22"/>
              </w:rPr>
            </w:pPr>
            <w:r>
              <w:rPr>
                <w:rFonts w:ascii="Calibri" w:hAnsi="Calibri" w:cs="Calibri"/>
                <w:b/>
                <w:bCs/>
                <w:color w:val="000000"/>
                <w:sz w:val="22"/>
                <w:szCs w:val="22"/>
              </w:rPr>
              <w:t>-</w:t>
            </w:r>
          </w:p>
        </w:tc>
      </w:tr>
      <w:tr w:rsidRPr="00533805" w:rsidR="00E37297" w:rsidTr="00FB2947" w14:paraId="016EAA7F" w14:textId="77777777">
        <w:trPr>
          <w:trHeight w:val="416"/>
        </w:trPr>
        <w:tc>
          <w:tcPr>
            <w:tcW w:w="1732" w:type="dxa"/>
            <w:tcBorders>
              <w:top w:val="single" w:color="548DD4" w:themeColor="text2" w:themeTint="99" w:sz="4" w:space="0"/>
              <w:left w:val="nil"/>
              <w:bottom w:val="single" w:color="548DD4" w:themeColor="text2" w:themeTint="99" w:sz="4" w:space="0"/>
              <w:right w:val="single" w:color="4472C4" w:sz="4" w:space="0"/>
            </w:tcBorders>
            <w:shd w:val="clear" w:color="000000" w:fill="DDEBF7"/>
            <w:noWrap/>
            <w:vAlign w:val="center"/>
          </w:tcPr>
          <w:p w:rsidRPr="00533805" w:rsidR="00E37297" w:rsidP="00E37297" w:rsidRDefault="00E37297" w14:paraId="1AF1C866" w14:textId="09031518">
            <w:pPr>
              <w:spacing w:line="240" w:lineRule="auto"/>
              <w:rPr>
                <w:rFonts w:ascii="Calibri" w:hAnsi="Calibri" w:cs="Calibri"/>
                <w:b/>
                <w:bCs/>
                <w:color w:val="000000"/>
                <w:sz w:val="22"/>
                <w:szCs w:val="22"/>
              </w:rPr>
            </w:pPr>
            <w:r>
              <w:rPr>
                <w:rFonts w:ascii="Calibri" w:hAnsi="Calibri" w:cs="Calibri"/>
                <w:b/>
                <w:bCs/>
                <w:color w:val="000000"/>
                <w:sz w:val="22"/>
                <w:szCs w:val="22"/>
              </w:rPr>
              <w:t>Budgettaire voorziening fase 2 **</w:t>
            </w:r>
          </w:p>
        </w:tc>
        <w:tc>
          <w:tcPr>
            <w:tcW w:w="587" w:type="dxa"/>
            <w:tcBorders>
              <w:top w:val="single" w:color="548DD4" w:themeColor="text2" w:themeTint="99" w:sz="4" w:space="0"/>
              <w:left w:val="nil"/>
              <w:bottom w:val="single" w:color="548DD4" w:themeColor="text2" w:themeTint="99" w:sz="4" w:space="0"/>
              <w:right w:val="nil"/>
            </w:tcBorders>
            <w:shd w:val="clear" w:color="000000" w:fill="DDEBF7"/>
            <w:noWrap/>
            <w:vAlign w:val="center"/>
          </w:tcPr>
          <w:p w:rsidR="00E37297" w:rsidP="00E37297" w:rsidRDefault="00E37297" w14:paraId="48A1C43A" w14:textId="129FF135">
            <w:pPr>
              <w:spacing w:line="240" w:lineRule="auto"/>
              <w:jc w:val="right"/>
              <w:rPr>
                <w:rFonts w:ascii="Calibri" w:hAnsi="Calibri" w:cs="Calibri"/>
                <w:b/>
                <w:bCs/>
                <w:color w:val="000000"/>
                <w:sz w:val="22"/>
                <w:szCs w:val="22"/>
              </w:rPr>
            </w:pPr>
            <w:r>
              <w:rPr>
                <w:rFonts w:ascii="Calibri" w:hAnsi="Calibri" w:cs="Calibri"/>
                <w:b/>
                <w:bCs/>
                <w:color w:val="000000"/>
                <w:sz w:val="22"/>
                <w:szCs w:val="22"/>
              </w:rPr>
              <w:t>-</w:t>
            </w:r>
          </w:p>
        </w:tc>
        <w:tc>
          <w:tcPr>
            <w:tcW w:w="658" w:type="dxa"/>
            <w:tcBorders>
              <w:top w:val="single" w:color="548DD4" w:themeColor="text2" w:themeTint="99" w:sz="4" w:space="0"/>
              <w:left w:val="nil"/>
              <w:bottom w:val="single" w:color="548DD4" w:themeColor="text2" w:themeTint="99" w:sz="4" w:space="0"/>
              <w:right w:val="nil"/>
            </w:tcBorders>
            <w:shd w:val="clear" w:color="000000" w:fill="DDEBF7"/>
            <w:noWrap/>
            <w:vAlign w:val="center"/>
          </w:tcPr>
          <w:p w:rsidRPr="00533805" w:rsidR="00E37297" w:rsidP="00E37297" w:rsidRDefault="00E37297" w14:paraId="00F1B061" w14:textId="047370C4">
            <w:pPr>
              <w:spacing w:line="240" w:lineRule="auto"/>
              <w:jc w:val="right"/>
              <w:rPr>
                <w:rFonts w:ascii="Calibri" w:hAnsi="Calibri" w:cs="Calibri"/>
                <w:b/>
                <w:bCs/>
                <w:color w:val="000000"/>
                <w:sz w:val="22"/>
                <w:szCs w:val="22"/>
              </w:rPr>
            </w:pPr>
            <w:r>
              <w:rPr>
                <w:rFonts w:ascii="Calibri" w:hAnsi="Calibri" w:cs="Calibri"/>
                <w:b/>
                <w:bCs/>
                <w:color w:val="000000"/>
                <w:sz w:val="22"/>
                <w:szCs w:val="22"/>
              </w:rPr>
              <w:t>-</w:t>
            </w:r>
          </w:p>
        </w:tc>
        <w:tc>
          <w:tcPr>
            <w:tcW w:w="658" w:type="dxa"/>
            <w:tcBorders>
              <w:top w:val="single" w:color="548DD4" w:themeColor="text2" w:themeTint="99" w:sz="4" w:space="0"/>
              <w:left w:val="nil"/>
              <w:bottom w:val="single" w:color="548DD4" w:themeColor="text2" w:themeTint="99" w:sz="4" w:space="0"/>
              <w:right w:val="nil"/>
            </w:tcBorders>
            <w:shd w:val="clear" w:color="000000" w:fill="DDEBF7"/>
            <w:noWrap/>
            <w:vAlign w:val="center"/>
          </w:tcPr>
          <w:p w:rsidRPr="00533805" w:rsidR="00E37297" w:rsidP="00E37297" w:rsidRDefault="00E37297" w14:paraId="53081B68" w14:textId="00ECD932">
            <w:pPr>
              <w:spacing w:line="240" w:lineRule="auto"/>
              <w:jc w:val="right"/>
              <w:rPr>
                <w:rFonts w:ascii="Calibri" w:hAnsi="Calibri" w:cs="Calibri"/>
                <w:b/>
                <w:bCs/>
                <w:color w:val="000000"/>
                <w:sz w:val="22"/>
                <w:szCs w:val="22"/>
              </w:rPr>
            </w:pPr>
            <w:r>
              <w:rPr>
                <w:rFonts w:ascii="Calibri" w:hAnsi="Calibri" w:cs="Calibri"/>
                <w:b/>
                <w:bCs/>
                <w:color w:val="000000"/>
                <w:sz w:val="22"/>
                <w:szCs w:val="22"/>
              </w:rPr>
              <w:t>-</w:t>
            </w:r>
          </w:p>
        </w:tc>
        <w:tc>
          <w:tcPr>
            <w:tcW w:w="658" w:type="dxa"/>
            <w:tcBorders>
              <w:top w:val="single" w:color="548DD4" w:themeColor="text2" w:themeTint="99" w:sz="4" w:space="0"/>
              <w:left w:val="nil"/>
              <w:bottom w:val="single" w:color="548DD4" w:themeColor="text2" w:themeTint="99" w:sz="4" w:space="0"/>
              <w:right w:val="nil"/>
            </w:tcBorders>
            <w:shd w:val="clear" w:color="000000" w:fill="DDEBF7"/>
            <w:noWrap/>
            <w:vAlign w:val="center"/>
          </w:tcPr>
          <w:p w:rsidRPr="00533805" w:rsidR="00E37297" w:rsidP="00E37297" w:rsidRDefault="00E37297" w14:paraId="79103806" w14:textId="6F6DC1EB">
            <w:pPr>
              <w:spacing w:line="240" w:lineRule="auto"/>
              <w:jc w:val="right"/>
              <w:rPr>
                <w:rFonts w:ascii="Calibri" w:hAnsi="Calibri" w:cs="Calibri"/>
                <w:b/>
                <w:bCs/>
                <w:color w:val="000000"/>
                <w:sz w:val="22"/>
                <w:szCs w:val="22"/>
              </w:rPr>
            </w:pPr>
            <w:r>
              <w:rPr>
                <w:rFonts w:ascii="Calibri" w:hAnsi="Calibri" w:cs="Calibri"/>
                <w:b/>
                <w:bCs/>
                <w:color w:val="000000"/>
                <w:sz w:val="22"/>
                <w:szCs w:val="22"/>
              </w:rPr>
              <w:t>-</w:t>
            </w:r>
          </w:p>
        </w:tc>
        <w:tc>
          <w:tcPr>
            <w:tcW w:w="658" w:type="dxa"/>
            <w:tcBorders>
              <w:top w:val="single" w:color="548DD4" w:themeColor="text2" w:themeTint="99" w:sz="4" w:space="0"/>
              <w:left w:val="nil"/>
              <w:bottom w:val="single" w:color="548DD4" w:themeColor="text2" w:themeTint="99" w:sz="4" w:space="0"/>
              <w:right w:val="nil"/>
            </w:tcBorders>
            <w:shd w:val="clear" w:color="000000" w:fill="DDEBF7"/>
            <w:noWrap/>
            <w:vAlign w:val="center"/>
          </w:tcPr>
          <w:p w:rsidRPr="00533805" w:rsidR="00E37297" w:rsidP="00E37297" w:rsidRDefault="00E37297" w14:paraId="7E424246" w14:textId="26DDB43D">
            <w:pPr>
              <w:spacing w:line="240" w:lineRule="auto"/>
              <w:jc w:val="right"/>
              <w:rPr>
                <w:rFonts w:ascii="Calibri" w:hAnsi="Calibri" w:cs="Calibri"/>
                <w:b/>
                <w:bCs/>
                <w:color w:val="000000"/>
                <w:sz w:val="22"/>
                <w:szCs w:val="22"/>
              </w:rPr>
            </w:pPr>
            <w:r>
              <w:rPr>
                <w:rFonts w:ascii="Calibri" w:hAnsi="Calibri" w:cs="Calibri"/>
                <w:b/>
                <w:bCs/>
                <w:color w:val="000000"/>
                <w:sz w:val="22"/>
                <w:szCs w:val="22"/>
              </w:rPr>
              <w:t>-</w:t>
            </w:r>
          </w:p>
        </w:tc>
        <w:tc>
          <w:tcPr>
            <w:tcW w:w="658" w:type="dxa"/>
            <w:tcBorders>
              <w:top w:val="single" w:color="548DD4" w:themeColor="text2" w:themeTint="99" w:sz="4" w:space="0"/>
              <w:left w:val="nil"/>
              <w:bottom w:val="single" w:color="548DD4" w:themeColor="text2" w:themeTint="99" w:sz="4" w:space="0"/>
              <w:right w:val="nil"/>
            </w:tcBorders>
            <w:shd w:val="clear" w:color="000000" w:fill="DDEBF7"/>
            <w:noWrap/>
            <w:vAlign w:val="center"/>
          </w:tcPr>
          <w:p w:rsidRPr="00533805" w:rsidR="00E37297" w:rsidP="00E37297" w:rsidRDefault="00E37297" w14:paraId="4EF5809F" w14:textId="2E9E4642">
            <w:pPr>
              <w:spacing w:line="240" w:lineRule="auto"/>
              <w:jc w:val="right"/>
              <w:rPr>
                <w:rFonts w:ascii="Calibri" w:hAnsi="Calibri" w:cs="Calibri"/>
                <w:b/>
                <w:bCs/>
                <w:color w:val="000000"/>
                <w:sz w:val="22"/>
                <w:szCs w:val="22"/>
              </w:rPr>
            </w:pPr>
            <w:r>
              <w:rPr>
                <w:rFonts w:ascii="Calibri" w:hAnsi="Calibri" w:cs="Calibri"/>
                <w:b/>
                <w:bCs/>
                <w:color w:val="000000"/>
                <w:sz w:val="22"/>
                <w:szCs w:val="22"/>
              </w:rPr>
              <w:t>-</w:t>
            </w:r>
          </w:p>
        </w:tc>
        <w:tc>
          <w:tcPr>
            <w:tcW w:w="658" w:type="dxa"/>
            <w:tcBorders>
              <w:top w:val="single" w:color="548DD4" w:themeColor="text2" w:themeTint="99" w:sz="4" w:space="0"/>
              <w:left w:val="nil"/>
              <w:bottom w:val="single" w:color="548DD4" w:themeColor="text2" w:themeTint="99" w:sz="4" w:space="0"/>
              <w:right w:val="nil"/>
            </w:tcBorders>
            <w:shd w:val="clear" w:color="000000" w:fill="DDEBF7"/>
            <w:noWrap/>
            <w:vAlign w:val="center"/>
          </w:tcPr>
          <w:p w:rsidRPr="00533805" w:rsidR="00E37297" w:rsidP="00E37297" w:rsidRDefault="00E37297" w14:paraId="3B544414" w14:textId="7E6D39BE">
            <w:pPr>
              <w:spacing w:line="240" w:lineRule="auto"/>
              <w:jc w:val="right"/>
              <w:rPr>
                <w:rFonts w:ascii="Calibri" w:hAnsi="Calibri" w:cs="Calibri"/>
                <w:b/>
                <w:bCs/>
                <w:color w:val="000000"/>
                <w:sz w:val="22"/>
                <w:szCs w:val="22"/>
              </w:rPr>
            </w:pPr>
            <w:r>
              <w:rPr>
                <w:rFonts w:ascii="Calibri" w:hAnsi="Calibri" w:cs="Calibri"/>
                <w:b/>
                <w:bCs/>
                <w:color w:val="000000"/>
                <w:sz w:val="22"/>
                <w:szCs w:val="22"/>
              </w:rPr>
              <w:t>-</w:t>
            </w:r>
          </w:p>
        </w:tc>
        <w:tc>
          <w:tcPr>
            <w:tcW w:w="667" w:type="dxa"/>
            <w:tcBorders>
              <w:top w:val="single" w:color="548DD4" w:themeColor="text2" w:themeTint="99" w:sz="4" w:space="0"/>
              <w:left w:val="nil"/>
              <w:bottom w:val="single" w:color="548DD4" w:themeColor="text2" w:themeTint="99" w:sz="4" w:space="0"/>
              <w:right w:val="nil"/>
            </w:tcBorders>
            <w:shd w:val="clear" w:color="000000" w:fill="DDEBF7"/>
            <w:noWrap/>
            <w:vAlign w:val="center"/>
          </w:tcPr>
          <w:p w:rsidRPr="00533805" w:rsidR="00E37297" w:rsidP="00E37297" w:rsidRDefault="00E37297" w14:paraId="2AC497D2" w14:textId="10324A8A">
            <w:pPr>
              <w:spacing w:line="240" w:lineRule="auto"/>
              <w:jc w:val="right"/>
              <w:rPr>
                <w:rFonts w:ascii="Calibri" w:hAnsi="Calibri" w:cs="Calibri"/>
                <w:b/>
                <w:bCs/>
                <w:color w:val="000000"/>
                <w:sz w:val="22"/>
                <w:szCs w:val="22"/>
              </w:rPr>
            </w:pPr>
            <w:r>
              <w:rPr>
                <w:rFonts w:ascii="Calibri" w:hAnsi="Calibri" w:cs="Calibri"/>
                <w:b/>
                <w:bCs/>
                <w:color w:val="000000"/>
                <w:sz w:val="22"/>
                <w:szCs w:val="22"/>
              </w:rPr>
              <w:t>-</w:t>
            </w:r>
          </w:p>
        </w:tc>
        <w:tc>
          <w:tcPr>
            <w:tcW w:w="667" w:type="dxa"/>
            <w:tcBorders>
              <w:top w:val="single" w:color="548DD4" w:themeColor="text2" w:themeTint="99" w:sz="4" w:space="0"/>
              <w:left w:val="nil"/>
              <w:bottom w:val="single" w:color="548DD4" w:themeColor="text2" w:themeTint="99" w:sz="4" w:space="0"/>
              <w:right w:val="nil"/>
            </w:tcBorders>
            <w:shd w:val="clear" w:color="000000" w:fill="DDEBF7"/>
            <w:noWrap/>
            <w:vAlign w:val="center"/>
          </w:tcPr>
          <w:p w:rsidRPr="00533805" w:rsidR="00E37297" w:rsidP="00E37297" w:rsidRDefault="00E37297" w14:paraId="530123FC" w14:textId="7B3E0D05">
            <w:pPr>
              <w:spacing w:line="240" w:lineRule="auto"/>
              <w:jc w:val="right"/>
              <w:rPr>
                <w:rFonts w:ascii="Calibri" w:hAnsi="Calibri" w:cs="Calibri"/>
                <w:b/>
                <w:bCs/>
                <w:color w:val="000000"/>
                <w:sz w:val="22"/>
                <w:szCs w:val="22"/>
              </w:rPr>
            </w:pPr>
            <w:r>
              <w:rPr>
                <w:rFonts w:ascii="Calibri" w:hAnsi="Calibri" w:cs="Calibri"/>
                <w:b/>
                <w:bCs/>
                <w:color w:val="000000"/>
                <w:sz w:val="22"/>
                <w:szCs w:val="22"/>
              </w:rPr>
              <w:t>-457</w:t>
            </w:r>
          </w:p>
        </w:tc>
        <w:tc>
          <w:tcPr>
            <w:tcW w:w="667" w:type="dxa"/>
            <w:tcBorders>
              <w:top w:val="single" w:color="548DD4" w:themeColor="text2" w:themeTint="99" w:sz="4" w:space="0"/>
              <w:left w:val="nil"/>
              <w:bottom w:val="single" w:color="548DD4" w:themeColor="text2" w:themeTint="99" w:sz="4" w:space="0"/>
              <w:right w:val="nil"/>
            </w:tcBorders>
            <w:shd w:val="clear" w:color="000000" w:fill="DDEBF7"/>
            <w:noWrap/>
            <w:vAlign w:val="center"/>
          </w:tcPr>
          <w:p w:rsidRPr="00533805" w:rsidR="00E37297" w:rsidP="00E37297" w:rsidRDefault="00E37297" w14:paraId="6DCE6C6F" w14:textId="3CC9EA00">
            <w:pPr>
              <w:spacing w:line="240" w:lineRule="auto"/>
              <w:jc w:val="right"/>
              <w:rPr>
                <w:rFonts w:ascii="Calibri" w:hAnsi="Calibri" w:cs="Calibri"/>
                <w:b/>
                <w:bCs/>
                <w:color w:val="000000"/>
                <w:sz w:val="22"/>
                <w:szCs w:val="22"/>
              </w:rPr>
            </w:pPr>
            <w:r>
              <w:rPr>
                <w:rFonts w:ascii="Calibri" w:hAnsi="Calibri" w:cs="Calibri"/>
                <w:b/>
                <w:bCs/>
                <w:color w:val="000000"/>
                <w:sz w:val="22"/>
                <w:szCs w:val="22"/>
              </w:rPr>
              <w:t>-480</w:t>
            </w:r>
          </w:p>
        </w:tc>
        <w:tc>
          <w:tcPr>
            <w:tcW w:w="667" w:type="dxa"/>
            <w:tcBorders>
              <w:top w:val="single" w:color="548DD4" w:themeColor="text2" w:themeTint="99" w:sz="4" w:space="0"/>
              <w:left w:val="nil"/>
              <w:bottom w:val="single" w:color="548DD4" w:themeColor="text2" w:themeTint="99" w:sz="4" w:space="0"/>
              <w:right w:val="nil"/>
            </w:tcBorders>
            <w:shd w:val="clear" w:color="000000" w:fill="DDEBF7"/>
            <w:noWrap/>
            <w:vAlign w:val="center"/>
          </w:tcPr>
          <w:p w:rsidRPr="00533805" w:rsidR="00E37297" w:rsidP="00E37297" w:rsidRDefault="00E37297" w14:paraId="2322E220" w14:textId="37111308">
            <w:pPr>
              <w:spacing w:line="240" w:lineRule="auto"/>
              <w:jc w:val="right"/>
              <w:rPr>
                <w:rFonts w:ascii="Calibri" w:hAnsi="Calibri" w:cs="Calibri"/>
                <w:b/>
                <w:bCs/>
                <w:color w:val="000000"/>
                <w:sz w:val="22"/>
                <w:szCs w:val="22"/>
              </w:rPr>
            </w:pPr>
            <w:r>
              <w:rPr>
                <w:rFonts w:ascii="Calibri" w:hAnsi="Calibri" w:cs="Calibri"/>
                <w:b/>
                <w:bCs/>
                <w:color w:val="000000"/>
                <w:sz w:val="22"/>
                <w:szCs w:val="22"/>
              </w:rPr>
              <w:t>-614</w:t>
            </w:r>
          </w:p>
        </w:tc>
        <w:tc>
          <w:tcPr>
            <w:tcW w:w="667" w:type="dxa"/>
            <w:tcBorders>
              <w:top w:val="single" w:color="548DD4" w:themeColor="text2" w:themeTint="99" w:sz="4" w:space="0"/>
              <w:left w:val="single" w:color="4472C4" w:sz="4" w:space="0"/>
              <w:bottom w:val="nil"/>
              <w:right w:val="single" w:color="4472C4" w:sz="4" w:space="0"/>
            </w:tcBorders>
            <w:shd w:val="clear" w:color="000000" w:fill="DDEBF7"/>
            <w:noWrap/>
            <w:vAlign w:val="center"/>
          </w:tcPr>
          <w:p w:rsidRPr="00533805" w:rsidR="00E37297" w:rsidP="00E37297" w:rsidRDefault="00E37297" w14:paraId="0C49AC96" w14:textId="084CE5A4">
            <w:pPr>
              <w:spacing w:line="240" w:lineRule="auto"/>
              <w:jc w:val="right"/>
              <w:rPr>
                <w:rFonts w:ascii="Calibri" w:hAnsi="Calibri" w:cs="Calibri"/>
                <w:b/>
                <w:bCs/>
                <w:color w:val="000000"/>
                <w:sz w:val="22"/>
                <w:szCs w:val="22"/>
              </w:rPr>
            </w:pPr>
            <w:r>
              <w:rPr>
                <w:rFonts w:ascii="Calibri" w:hAnsi="Calibri" w:cs="Calibri"/>
                <w:b/>
                <w:bCs/>
                <w:color w:val="000000"/>
                <w:sz w:val="22"/>
                <w:szCs w:val="22"/>
              </w:rPr>
              <w:t>-614</w:t>
            </w:r>
          </w:p>
        </w:tc>
      </w:tr>
      <w:tr w:rsidRPr="00533805" w:rsidR="006A5C10" w:rsidTr="00FB2947" w14:paraId="3469DE42" w14:textId="77777777">
        <w:trPr>
          <w:trHeight w:val="416"/>
        </w:trPr>
        <w:tc>
          <w:tcPr>
            <w:tcW w:w="9602" w:type="dxa"/>
            <w:gridSpan w:val="13"/>
            <w:tcBorders>
              <w:top w:val="single" w:color="548DD4" w:themeColor="text2" w:themeTint="99" w:sz="4" w:space="0"/>
              <w:left w:val="nil"/>
              <w:bottom w:val="nil"/>
              <w:right w:val="single" w:color="4472C4" w:sz="4" w:space="0"/>
            </w:tcBorders>
            <w:shd w:val="clear" w:color="000000" w:fill="DDEBF7"/>
            <w:noWrap/>
            <w:vAlign w:val="bottom"/>
          </w:tcPr>
          <w:p w:rsidR="0087418A" w:rsidP="006A5C10" w:rsidRDefault="00FB2947" w14:paraId="75C502EE" w14:textId="6FDCF810">
            <w:pPr>
              <w:spacing w:line="240" w:lineRule="auto"/>
              <w:rPr>
                <w:rFonts w:ascii="Calibri" w:hAnsi="Calibri" w:cs="Calibri"/>
                <w:i/>
                <w:iCs/>
                <w:color w:val="000000"/>
                <w:sz w:val="22"/>
                <w:szCs w:val="22"/>
              </w:rPr>
            </w:pPr>
            <w:r>
              <w:rPr>
                <w:rFonts w:ascii="Calibri" w:hAnsi="Calibri" w:cs="Calibri"/>
                <w:i/>
                <w:iCs/>
                <w:color w:val="000000"/>
                <w:sz w:val="22"/>
                <w:szCs w:val="22"/>
              </w:rPr>
              <w:t>*</w:t>
            </w:r>
            <w:r w:rsidRPr="00F673E8" w:rsidR="00F673E8">
              <w:rPr>
                <w:rFonts w:ascii="Calibri" w:hAnsi="Calibri" w:cs="Calibri"/>
                <w:i/>
                <w:iCs/>
                <w:color w:val="000000"/>
                <w:sz w:val="22"/>
                <w:szCs w:val="22"/>
              </w:rPr>
              <w:t xml:space="preserve">De </w:t>
            </w:r>
            <w:proofErr w:type="spellStart"/>
            <w:r w:rsidRPr="00F673E8" w:rsidR="00F673E8">
              <w:rPr>
                <w:rFonts w:ascii="Calibri" w:hAnsi="Calibri" w:cs="Calibri"/>
                <w:i/>
                <w:iCs/>
                <w:color w:val="000000"/>
                <w:sz w:val="22"/>
                <w:szCs w:val="22"/>
              </w:rPr>
              <w:t>BoL</w:t>
            </w:r>
            <w:proofErr w:type="spellEnd"/>
            <w:r w:rsidRPr="00F673E8" w:rsidR="00F673E8">
              <w:rPr>
                <w:rFonts w:ascii="Calibri" w:hAnsi="Calibri" w:cs="Calibri"/>
                <w:i/>
                <w:iCs/>
                <w:color w:val="000000"/>
                <w:sz w:val="22"/>
                <w:szCs w:val="22"/>
              </w:rPr>
              <w:t xml:space="preserve"> maatregel betreft een stapsgewijze verhoging toewerkend naar afschaffing van het huidige heffingsplafond in de </w:t>
            </w:r>
            <w:proofErr w:type="spellStart"/>
            <w:r w:rsidRPr="00F673E8" w:rsidR="00F673E8">
              <w:rPr>
                <w:rFonts w:ascii="Calibri" w:hAnsi="Calibri" w:cs="Calibri"/>
                <w:i/>
                <w:iCs/>
                <w:color w:val="000000"/>
                <w:sz w:val="22"/>
                <w:szCs w:val="22"/>
              </w:rPr>
              <w:t>BoL</w:t>
            </w:r>
            <w:proofErr w:type="spellEnd"/>
            <w:r w:rsidR="00F673E8">
              <w:rPr>
                <w:rFonts w:ascii="Calibri" w:hAnsi="Calibri" w:cs="Calibri"/>
                <w:i/>
                <w:iCs/>
                <w:color w:val="000000"/>
                <w:sz w:val="22"/>
                <w:szCs w:val="22"/>
              </w:rPr>
              <w:t xml:space="preserve">. Deze maatregel leidt voor vrijwel alleen bedrijven tot een lastenstijging. De budgettaire opbrengst wordt in de eerste jaren ingezet ten behoeve van het autopakket. </w:t>
            </w:r>
          </w:p>
          <w:p w:rsidR="00FB2947" w:rsidP="006A5C10" w:rsidRDefault="00FB2947" w14:paraId="33227A1F" w14:textId="77777777">
            <w:pPr>
              <w:spacing w:line="240" w:lineRule="auto"/>
              <w:rPr>
                <w:rFonts w:ascii="Calibri" w:hAnsi="Calibri" w:cs="Calibri"/>
                <w:i/>
                <w:iCs/>
                <w:color w:val="000000"/>
                <w:sz w:val="22"/>
                <w:szCs w:val="22"/>
              </w:rPr>
            </w:pPr>
          </w:p>
          <w:p w:rsidRPr="006A5C10" w:rsidR="00E7287A" w:rsidP="006A5C10" w:rsidRDefault="00FB2947" w14:paraId="6ED31F6F" w14:textId="72A9777D">
            <w:pPr>
              <w:spacing w:line="240" w:lineRule="auto"/>
              <w:rPr>
                <w:rFonts w:ascii="Calibri" w:hAnsi="Calibri" w:cs="Calibri"/>
                <w:i/>
                <w:iCs/>
                <w:color w:val="000000"/>
                <w:sz w:val="22"/>
                <w:szCs w:val="22"/>
              </w:rPr>
            </w:pPr>
            <w:r>
              <w:rPr>
                <w:rFonts w:ascii="Calibri" w:hAnsi="Calibri" w:cs="Calibri"/>
                <w:i/>
                <w:iCs/>
                <w:color w:val="000000"/>
                <w:sz w:val="22"/>
                <w:szCs w:val="22"/>
              </w:rPr>
              <w:t>*</w:t>
            </w:r>
            <w:r w:rsidR="00E7287A">
              <w:rPr>
                <w:rFonts w:ascii="Calibri" w:hAnsi="Calibri" w:cs="Calibri"/>
                <w:i/>
                <w:iCs/>
                <w:color w:val="000000"/>
                <w:sz w:val="22"/>
                <w:szCs w:val="22"/>
              </w:rPr>
              <w:t>*</w:t>
            </w:r>
            <w:r w:rsidRPr="006A5C10" w:rsidR="006A5C10">
              <w:rPr>
                <w:rFonts w:ascii="Calibri" w:hAnsi="Calibri" w:cs="Calibri"/>
                <w:i/>
                <w:iCs/>
                <w:color w:val="000000"/>
                <w:sz w:val="22"/>
                <w:szCs w:val="22"/>
              </w:rPr>
              <w:t xml:space="preserve"> </w:t>
            </w:r>
            <w:r w:rsidRPr="00C800A2" w:rsidR="00C800A2">
              <w:rPr>
                <w:rFonts w:ascii="Calibri" w:hAnsi="Calibri" w:cs="Calibri"/>
                <w:i/>
                <w:iCs/>
                <w:color w:val="000000"/>
                <w:sz w:val="22"/>
                <w:szCs w:val="22"/>
              </w:rPr>
              <w:t>Het kabinet start na de besluitvorming over het voorjaarsnota pakket met de tweede fase van de hervorming autobelastingen gericht op het vinden van een oplossing voor het wegvallen van de accijnsopbrengsten ten gevolge van de ingroei van EV. Om de tweede fase van de hervorming budgettair te faciliteren wordt een budgettaire voorziening gevormd</w:t>
            </w:r>
          </w:p>
        </w:tc>
      </w:tr>
    </w:tbl>
    <w:p w:rsidR="007A6307" w:rsidP="007A6307" w:rsidRDefault="007A6307" w14:paraId="16B2C464" w14:textId="77777777"/>
    <w:p w:rsidRPr="003E09D6" w:rsidR="007A6307" w:rsidP="007A6307" w:rsidRDefault="003E09D6" w14:paraId="63250046" w14:textId="326F8A07">
      <w:pPr>
        <w:rPr>
          <w:b/>
          <w:bCs/>
        </w:rPr>
      </w:pPr>
      <w:r w:rsidRPr="003E09D6">
        <w:rPr>
          <w:b/>
          <w:bCs/>
        </w:rPr>
        <w:t>Toelichting:</w:t>
      </w:r>
    </w:p>
    <w:p w:rsidR="003E09D6" w:rsidP="003E09D6" w:rsidRDefault="003E09D6" w14:paraId="438D97D3" w14:textId="29BA9EF5">
      <w:pPr>
        <w:pStyle w:val="Lijstalinea"/>
        <w:numPr>
          <w:ilvl w:val="0"/>
          <w:numId w:val="10"/>
        </w:numPr>
      </w:pPr>
      <w:r>
        <w:t xml:space="preserve">De budgettaire reeks “totaal pakket autobelastingen” is het totale budgettaire effect van het autopakket. Er is 1 totaalreeks gepresenteerd, omdat de losse budgettaire effecten van de afzonderlijke maatregelen niet </w:t>
      </w:r>
      <w:proofErr w:type="spellStart"/>
      <w:r>
        <w:t>optelbaar</w:t>
      </w:r>
      <w:proofErr w:type="spellEnd"/>
      <w:r>
        <w:t xml:space="preserve"> zijn vanwege interactie-effecten. Onderliggend zijn de volgende budgettaire effecten zichtbaar:</w:t>
      </w:r>
    </w:p>
    <w:p w:rsidR="003E09D6" w:rsidP="003E09D6" w:rsidRDefault="003E09D6" w14:paraId="238CF27C" w14:textId="33B15D0A">
      <w:pPr>
        <w:pStyle w:val="Lijstalinea"/>
        <w:numPr>
          <w:ilvl w:val="1"/>
          <w:numId w:val="10"/>
        </w:numPr>
      </w:pPr>
      <w:r>
        <w:t xml:space="preserve">De normering leasemarkt via loonbelasting leidt tot een opbrengst van 100 – 200 mln. uit de loonbelasting, maar versnelt ook de grondslagerosie in de bpm en brandstofaccijnzen. Per saldo resteert een derving van enkele honderden miljoenen. </w:t>
      </w:r>
    </w:p>
    <w:p w:rsidR="003E09D6" w:rsidP="003E09D6" w:rsidRDefault="003E09D6" w14:paraId="67813711" w14:textId="200E6E1F">
      <w:pPr>
        <w:pStyle w:val="Lijstalinea"/>
        <w:numPr>
          <w:ilvl w:val="1"/>
          <w:numId w:val="10"/>
        </w:numPr>
      </w:pPr>
      <w:r>
        <w:t xml:space="preserve">De derving van de grondslagerosie wordt deels binnen het autodomein gedekt door de vaste voet in de bpm met 220 euro te verhogen en de motorrijtuigenbelasting vanaf 2028 progressiever te maken (meeropbrengst circa 100 mln.). </w:t>
      </w:r>
    </w:p>
    <w:p w:rsidR="003E09D6" w:rsidP="003E09D6" w:rsidRDefault="003E09D6" w14:paraId="22E52857" w14:textId="740A2986">
      <w:pPr>
        <w:pStyle w:val="Lijstalinea"/>
        <w:numPr>
          <w:ilvl w:val="1"/>
          <w:numId w:val="10"/>
        </w:numPr>
      </w:pPr>
      <w:r>
        <w:t xml:space="preserve">De hogere tariefkorting in de motorrijtuigenbelasting voor elektrische auto’s wordt gedekt door de dieseltoeslag met 20% te verhogen. </w:t>
      </w:r>
    </w:p>
    <w:p w:rsidR="00C800A2" w:rsidP="007A6307" w:rsidRDefault="00C800A2" w14:paraId="6D275C59" w14:textId="77777777"/>
    <w:p w:rsidR="00C800A2" w:rsidP="007A6307" w:rsidRDefault="00C800A2" w14:paraId="2BE1BD47" w14:textId="77777777"/>
    <w:p w:rsidR="00C800A2" w:rsidP="007A6307" w:rsidRDefault="00C800A2" w14:paraId="3723C4B8" w14:textId="77777777"/>
    <w:p w:rsidRPr="00AC2A93" w:rsidR="007A6307" w:rsidP="007A6307" w:rsidRDefault="007A6307" w14:paraId="67EFABAC" w14:textId="586A4A25">
      <w:pPr>
        <w:spacing w:after="160" w:line="259" w:lineRule="auto"/>
        <w:rPr>
          <w:b/>
          <w:bCs/>
          <w:u w:val="single"/>
        </w:rPr>
      </w:pPr>
      <w:r w:rsidRPr="00AC2A93">
        <w:rPr>
          <w:b/>
          <w:bCs/>
          <w:u w:val="single"/>
        </w:rPr>
        <w:lastRenderedPageBreak/>
        <w:t>Bijlage maatregelenpakket autobelastingen (overig)</w:t>
      </w:r>
    </w:p>
    <w:tbl>
      <w:tblPr>
        <w:tblpPr w:leftFromText="141" w:rightFromText="141" w:vertAnchor="page" w:horzAnchor="margin" w:tblpY="2209"/>
        <w:tblW w:w="9346" w:type="dxa"/>
        <w:tblCellMar>
          <w:left w:w="0" w:type="dxa"/>
          <w:right w:w="0" w:type="dxa"/>
        </w:tblCellMar>
        <w:tblLook w:val="0420" w:firstRow="1" w:lastRow="0" w:firstColumn="0" w:lastColumn="0" w:noHBand="0" w:noVBand="1"/>
      </w:tblPr>
      <w:tblGrid>
        <w:gridCol w:w="3114"/>
        <w:gridCol w:w="6232"/>
      </w:tblGrid>
      <w:tr w:rsidRPr="00B64F97" w:rsidR="007A6307" w:rsidTr="00622E76" w14:paraId="599D7329" w14:textId="77777777">
        <w:trPr>
          <w:trHeight w:val="24"/>
        </w:trPr>
        <w:tc>
          <w:tcPr>
            <w:tcW w:w="9346" w:type="dxa"/>
            <w:gridSpan w:val="2"/>
            <w:tcBorders>
              <w:top w:val="single" w:color="0070C0" w:sz="8" w:space="0"/>
              <w:left w:val="single" w:color="FFFFFF" w:sz="8" w:space="0"/>
              <w:bottom w:val="single" w:color="0070C0" w:sz="8" w:space="0"/>
              <w:right w:val="single" w:color="FFFFFF" w:sz="8" w:space="0"/>
            </w:tcBorders>
            <w:shd w:val="clear" w:color="auto" w:fill="0070C0"/>
            <w:tcMar>
              <w:top w:w="72" w:type="dxa"/>
              <w:left w:w="144" w:type="dxa"/>
              <w:bottom w:w="72" w:type="dxa"/>
              <w:right w:w="144" w:type="dxa"/>
            </w:tcMar>
            <w:hideMark/>
          </w:tcPr>
          <w:p w:rsidRPr="00AC2A93" w:rsidR="007A6307" w:rsidP="00622E76" w:rsidRDefault="007A6307" w14:paraId="7099DC18" w14:textId="77777777">
            <w:pPr>
              <w:rPr>
                <w:b/>
                <w:bCs/>
              </w:rPr>
            </w:pPr>
            <w:proofErr w:type="spellStart"/>
            <w:r w:rsidRPr="00AC2A93">
              <w:rPr>
                <w:b/>
                <w:bCs/>
                <w:color w:val="FFFFFF" w:themeColor="background1"/>
              </w:rPr>
              <w:t>Mrb</w:t>
            </w:r>
            <w:proofErr w:type="spellEnd"/>
            <w:r w:rsidRPr="00AC2A93">
              <w:rPr>
                <w:b/>
                <w:bCs/>
                <w:color w:val="FFFFFF" w:themeColor="background1"/>
              </w:rPr>
              <w:t>-korting voor bestelauto ondernemer</w:t>
            </w:r>
          </w:p>
        </w:tc>
      </w:tr>
      <w:tr w:rsidRPr="00B64F97" w:rsidR="007A6307" w:rsidTr="00622E76" w14:paraId="1383C7F0" w14:textId="77777777">
        <w:trPr>
          <w:trHeight w:val="432"/>
        </w:trPr>
        <w:tc>
          <w:tcPr>
            <w:tcW w:w="3114" w:type="dxa"/>
            <w:tcBorders>
              <w:top w:val="single" w:color="0070C0" w:sz="8" w:space="0"/>
              <w:left w:val="single" w:color="FFFFFF" w:sz="8" w:space="0"/>
              <w:bottom w:val="single" w:color="0070C0" w:sz="8" w:space="0"/>
              <w:right w:val="single" w:color="FFFFFF" w:sz="8" w:space="0"/>
            </w:tcBorders>
            <w:tcMar>
              <w:top w:w="72" w:type="dxa"/>
              <w:left w:w="144" w:type="dxa"/>
              <w:bottom w:w="72" w:type="dxa"/>
              <w:right w:w="144" w:type="dxa"/>
            </w:tcMar>
            <w:hideMark/>
          </w:tcPr>
          <w:p w:rsidRPr="00C800A2" w:rsidR="007A6307" w:rsidP="00C800A2" w:rsidRDefault="007A6307" w14:paraId="0857E236" w14:textId="77777777">
            <w:pPr>
              <w:spacing w:line="276" w:lineRule="auto"/>
            </w:pPr>
            <w:r w:rsidRPr="00C800A2">
              <w:t>Tariefkorting EV bestelauto ondernemer in de motorrijtuigenbelasting vanaf 2026</w:t>
            </w:r>
          </w:p>
        </w:tc>
        <w:tc>
          <w:tcPr>
            <w:tcW w:w="6232" w:type="dxa"/>
            <w:tcBorders>
              <w:top w:val="single" w:color="0070C0" w:sz="8" w:space="0"/>
              <w:left w:val="single" w:color="FFFFFF" w:sz="8" w:space="0"/>
              <w:bottom w:val="single" w:color="0070C0" w:sz="8" w:space="0"/>
              <w:right w:val="single" w:color="FFFFFF" w:sz="8" w:space="0"/>
            </w:tcBorders>
            <w:tcMar>
              <w:top w:w="72" w:type="dxa"/>
              <w:left w:w="144" w:type="dxa"/>
              <w:bottom w:w="72" w:type="dxa"/>
              <w:right w:w="144" w:type="dxa"/>
            </w:tcMar>
            <w:hideMark/>
          </w:tcPr>
          <w:p w:rsidR="007A6307" w:rsidP="00C800A2" w:rsidRDefault="007A6307" w14:paraId="3C551B94" w14:textId="77777777">
            <w:pPr>
              <w:spacing w:line="276" w:lineRule="auto"/>
            </w:pPr>
            <w:r w:rsidRPr="00C800A2">
              <w:t xml:space="preserve">Bij de tariefkorting wordt aangesloten op personenauto’s met een korting van 30% vanaf  2026. Hiermee zal een elektrische bestelauto ondernemer gelijk of gunstiger worden belast in de motorrijtuigenbelasting dan een vergelijke fossiele auto. Er wordt nog onderzocht of de bestelauto op termijn ook op de grondslag van voertuigoppervlakte kan overgaan, net als bij de personenauto. </w:t>
            </w:r>
          </w:p>
          <w:p w:rsidR="00C51741" w:rsidP="00C800A2" w:rsidRDefault="00C51741" w14:paraId="002BD584" w14:textId="77777777">
            <w:pPr>
              <w:spacing w:line="276" w:lineRule="auto"/>
            </w:pPr>
          </w:p>
          <w:p w:rsidRPr="00C800A2" w:rsidR="00C51741" w:rsidP="00C800A2" w:rsidRDefault="00C51741" w14:paraId="2E8DDDD4" w14:textId="340D17B3">
            <w:pPr>
              <w:spacing w:line="276" w:lineRule="auto"/>
            </w:pPr>
            <w:r>
              <w:t xml:space="preserve">De tariefkorting wordt gedekt door het verlaagd tarief van bestelauto’s ondernemers generiek te verhogen. </w:t>
            </w:r>
          </w:p>
        </w:tc>
      </w:tr>
      <w:tr w:rsidRPr="00B64F97" w:rsidR="007A6307" w:rsidTr="00622E76" w14:paraId="4CCB1166" w14:textId="77777777">
        <w:trPr>
          <w:trHeight w:val="24"/>
        </w:trPr>
        <w:tc>
          <w:tcPr>
            <w:tcW w:w="9346" w:type="dxa"/>
            <w:gridSpan w:val="2"/>
            <w:tcBorders>
              <w:top w:val="single" w:color="0070C0" w:sz="8" w:space="0"/>
              <w:left w:val="single" w:color="FFFFFF" w:sz="8" w:space="0"/>
              <w:bottom w:val="single" w:color="0070C0" w:sz="8" w:space="0"/>
              <w:right w:val="single" w:color="FFFFFF" w:sz="8" w:space="0"/>
            </w:tcBorders>
            <w:shd w:val="clear" w:color="auto" w:fill="0070C0"/>
            <w:tcMar>
              <w:top w:w="72" w:type="dxa"/>
              <w:left w:w="144" w:type="dxa"/>
              <w:bottom w:w="72" w:type="dxa"/>
              <w:right w:w="144" w:type="dxa"/>
            </w:tcMar>
            <w:hideMark/>
          </w:tcPr>
          <w:p w:rsidRPr="00B64F97" w:rsidR="007A6307" w:rsidP="00622E76" w:rsidRDefault="007A6307" w14:paraId="419A0553" w14:textId="77777777">
            <w:r>
              <w:rPr>
                <w:b/>
                <w:bCs/>
                <w:color w:val="FFFFFF" w:themeColor="background1"/>
              </w:rPr>
              <w:t xml:space="preserve">Bpm kortingen voor bijzondere voertuigen </w:t>
            </w:r>
            <w:r w:rsidRPr="00B64F97">
              <w:rPr>
                <w:b/>
                <w:bCs/>
                <w:color w:val="FFFFFF" w:themeColor="background1"/>
              </w:rPr>
              <w:t xml:space="preserve"> </w:t>
            </w:r>
          </w:p>
        </w:tc>
      </w:tr>
      <w:tr w:rsidRPr="00B64F97" w:rsidR="007A6307" w:rsidTr="00C800A2" w14:paraId="046D189C" w14:textId="77777777">
        <w:trPr>
          <w:trHeight w:val="432"/>
        </w:trPr>
        <w:tc>
          <w:tcPr>
            <w:tcW w:w="3114" w:type="dxa"/>
            <w:tcBorders>
              <w:top w:val="single" w:color="0070C0" w:sz="8" w:space="0"/>
              <w:left w:val="single" w:color="FFFFFF" w:sz="8" w:space="0"/>
              <w:bottom w:val="single" w:color="0070C0" w:sz="8" w:space="0"/>
              <w:right w:val="single" w:color="FFFFFF" w:sz="8" w:space="0"/>
            </w:tcBorders>
            <w:shd w:val="clear" w:color="auto" w:fill="auto"/>
            <w:tcMar>
              <w:top w:w="72" w:type="dxa"/>
              <w:left w:w="144" w:type="dxa"/>
              <w:bottom w:w="72" w:type="dxa"/>
              <w:right w:w="144" w:type="dxa"/>
            </w:tcMar>
            <w:hideMark/>
          </w:tcPr>
          <w:p w:rsidRPr="00C800A2" w:rsidR="007A6307" w:rsidP="00C800A2" w:rsidRDefault="007A6307" w14:paraId="25676480" w14:textId="77777777">
            <w:pPr>
              <w:spacing w:line="276" w:lineRule="auto"/>
            </w:pPr>
            <w:r w:rsidRPr="00C800A2">
              <w:t>Bpm korting voor emissievrije motorfietsen (alleen vaste voet van 200 euro)</w:t>
            </w:r>
          </w:p>
        </w:tc>
        <w:tc>
          <w:tcPr>
            <w:tcW w:w="6232" w:type="dxa"/>
            <w:tcBorders>
              <w:top w:val="single" w:color="0070C0" w:sz="8" w:space="0"/>
              <w:left w:val="single" w:color="FFFFFF" w:sz="8" w:space="0"/>
              <w:bottom w:val="single" w:color="0070C0" w:sz="8" w:space="0"/>
              <w:right w:val="single" w:color="FFFFFF" w:sz="8" w:space="0"/>
            </w:tcBorders>
            <w:shd w:val="clear" w:color="auto" w:fill="auto"/>
            <w:tcMar>
              <w:top w:w="72" w:type="dxa"/>
              <w:left w:w="144" w:type="dxa"/>
              <w:bottom w:w="72" w:type="dxa"/>
              <w:right w:w="144" w:type="dxa"/>
            </w:tcMar>
            <w:hideMark/>
          </w:tcPr>
          <w:p w:rsidRPr="00C800A2" w:rsidR="007A6307" w:rsidP="00C800A2" w:rsidRDefault="007A6307" w14:paraId="0A87524D" w14:textId="77777777">
            <w:pPr>
              <w:spacing w:line="276" w:lineRule="auto"/>
            </w:pPr>
            <w:r w:rsidRPr="00C800A2">
              <w:t>Momenteel betalen motorfietsen bpm o.b.v. de catalogusprijs. Door het om te zetten naar een vaste voet staat het nieuwe tarief in een uitlegbare verhouding tot de huidige bpm op een elektrische personenauto (vaste voet van € 667).</w:t>
            </w:r>
          </w:p>
        </w:tc>
      </w:tr>
      <w:tr w:rsidRPr="00B64F97" w:rsidR="007A6307" w:rsidTr="00C800A2" w14:paraId="79175015" w14:textId="77777777">
        <w:trPr>
          <w:trHeight w:val="432"/>
        </w:trPr>
        <w:tc>
          <w:tcPr>
            <w:tcW w:w="3114" w:type="dxa"/>
            <w:tcBorders>
              <w:top w:val="single" w:color="0070C0" w:sz="8" w:space="0"/>
              <w:left w:val="single" w:color="FFFFFF" w:sz="8" w:space="0"/>
              <w:bottom w:val="single" w:color="0070C0" w:sz="8" w:space="0"/>
              <w:right w:val="single" w:color="FFFFFF" w:sz="8" w:space="0"/>
            </w:tcBorders>
            <w:shd w:val="clear" w:color="auto" w:fill="auto"/>
            <w:tcMar>
              <w:top w:w="72" w:type="dxa"/>
              <w:left w:w="144" w:type="dxa"/>
              <w:bottom w:w="72" w:type="dxa"/>
              <w:right w:w="144" w:type="dxa"/>
            </w:tcMar>
          </w:tcPr>
          <w:p w:rsidRPr="00C800A2" w:rsidR="007A6307" w:rsidP="00C800A2" w:rsidRDefault="007A6307" w14:paraId="6855DAD5" w14:textId="77777777">
            <w:pPr>
              <w:spacing w:line="276" w:lineRule="auto"/>
            </w:pPr>
            <w:r w:rsidRPr="00C800A2">
              <w:t xml:space="preserve">Bpm korting voor emissievrije bijzondere personenauto’s (o.a. kampeerauto’s en rolstoelvervoer), alleen vaste voet van €667 </w:t>
            </w:r>
          </w:p>
        </w:tc>
        <w:tc>
          <w:tcPr>
            <w:tcW w:w="6232" w:type="dxa"/>
            <w:tcBorders>
              <w:top w:val="single" w:color="0070C0" w:sz="8" w:space="0"/>
              <w:left w:val="single" w:color="FFFFFF" w:sz="8" w:space="0"/>
              <w:bottom w:val="single" w:color="0070C0" w:sz="8" w:space="0"/>
              <w:right w:val="single" w:color="FFFFFF" w:sz="8" w:space="0"/>
            </w:tcBorders>
            <w:shd w:val="clear" w:color="auto" w:fill="auto"/>
            <w:tcMar>
              <w:top w:w="72" w:type="dxa"/>
              <w:left w:w="144" w:type="dxa"/>
              <w:bottom w:w="72" w:type="dxa"/>
              <w:right w:w="144" w:type="dxa"/>
            </w:tcMar>
          </w:tcPr>
          <w:p w:rsidRPr="00C800A2" w:rsidR="007A6307" w:rsidP="00C800A2" w:rsidRDefault="007A6307" w14:paraId="152CF748" w14:textId="08E8810F">
            <w:pPr>
              <w:spacing w:line="276" w:lineRule="auto"/>
            </w:pPr>
            <w:r w:rsidRPr="00C800A2">
              <w:t>Momenteel betalen kampeerauto’s en andere bijzondere personenauto’s bpm o.b.v. de catalogusprijs. Door het om te zetten naar alleen vaste</w:t>
            </w:r>
            <w:r w:rsidR="00C800A2">
              <w:t xml:space="preserve"> </w:t>
            </w:r>
            <w:r w:rsidRPr="00C800A2">
              <w:t>voet van € 667 komt het nieuwe tarief overeen met de huidige vaste</w:t>
            </w:r>
            <w:r w:rsidR="00C800A2">
              <w:t xml:space="preserve"> </w:t>
            </w:r>
            <w:r w:rsidRPr="00C800A2">
              <w:t xml:space="preserve">voet op </w:t>
            </w:r>
            <w:r w:rsidRPr="00C800A2">
              <w:rPr>
                <w:i/>
                <w:iCs/>
              </w:rPr>
              <w:t>gewone</w:t>
            </w:r>
            <w:r w:rsidRPr="00C800A2">
              <w:t xml:space="preserve"> personenauto’s van € 667. </w:t>
            </w:r>
          </w:p>
        </w:tc>
      </w:tr>
      <w:tr w:rsidRPr="00B64F97" w:rsidR="007A6307" w:rsidTr="00622E76" w14:paraId="4CD515EC" w14:textId="77777777">
        <w:trPr>
          <w:trHeight w:val="22"/>
        </w:trPr>
        <w:tc>
          <w:tcPr>
            <w:tcW w:w="9346" w:type="dxa"/>
            <w:gridSpan w:val="2"/>
            <w:tcBorders>
              <w:top w:val="single" w:color="FFFFFF" w:sz="8" w:space="0"/>
              <w:left w:val="single" w:color="FFFFFF" w:sz="8" w:space="0"/>
              <w:bottom w:val="single" w:color="0070C0" w:sz="8" w:space="0"/>
              <w:right w:val="single" w:color="FFFFFF" w:sz="8" w:space="0"/>
            </w:tcBorders>
            <w:shd w:val="clear" w:color="auto" w:fill="0070C0"/>
            <w:tcMar>
              <w:top w:w="72" w:type="dxa"/>
              <w:left w:w="144" w:type="dxa"/>
              <w:bottom w:w="72" w:type="dxa"/>
              <w:right w:w="144" w:type="dxa"/>
            </w:tcMar>
            <w:hideMark/>
          </w:tcPr>
          <w:p w:rsidRPr="00B64F97" w:rsidR="007A6307" w:rsidP="00622E76" w:rsidRDefault="007A6307" w14:paraId="0E68280C" w14:textId="77777777">
            <w:r w:rsidRPr="00B64F97">
              <w:rPr>
                <w:b/>
                <w:bCs/>
                <w:color w:val="FFFFFF" w:themeColor="background1"/>
              </w:rPr>
              <w:t>A</w:t>
            </w:r>
            <w:r>
              <w:rPr>
                <w:b/>
                <w:bCs/>
                <w:color w:val="FFFFFF" w:themeColor="background1"/>
              </w:rPr>
              <w:t>utonome vergroening</w:t>
            </w:r>
          </w:p>
        </w:tc>
      </w:tr>
      <w:tr w:rsidRPr="00B64F97" w:rsidR="007A6307" w:rsidTr="00622E76" w14:paraId="44E28088" w14:textId="77777777">
        <w:trPr>
          <w:trHeight w:val="496"/>
        </w:trPr>
        <w:tc>
          <w:tcPr>
            <w:tcW w:w="3114" w:type="dxa"/>
            <w:tcBorders>
              <w:top w:val="single" w:color="0070C0" w:sz="8" w:space="0"/>
              <w:left w:val="single" w:color="FFFFFF" w:sz="8" w:space="0"/>
              <w:bottom w:val="single" w:color="0070C0" w:sz="8" w:space="0"/>
              <w:right w:val="single" w:color="FFFFFF" w:sz="8" w:space="0"/>
            </w:tcBorders>
            <w:tcMar>
              <w:top w:w="72" w:type="dxa"/>
              <w:left w:w="144" w:type="dxa"/>
              <w:bottom w:w="72" w:type="dxa"/>
              <w:right w:w="144" w:type="dxa"/>
            </w:tcMar>
            <w:hideMark/>
          </w:tcPr>
          <w:p w:rsidRPr="00B64F97" w:rsidR="007A6307" w:rsidP="00C800A2" w:rsidRDefault="007A6307" w14:paraId="25B6D61A" w14:textId="77777777">
            <w:pPr>
              <w:spacing w:line="276" w:lineRule="auto"/>
            </w:pPr>
            <w:r>
              <w:t>Doorgaan met aanpassen CO2-schijven in de bpm om rekening te houden met autonome vergroening.</w:t>
            </w:r>
          </w:p>
        </w:tc>
        <w:tc>
          <w:tcPr>
            <w:tcW w:w="6232" w:type="dxa"/>
            <w:tcBorders>
              <w:top w:val="single" w:color="0070C0" w:sz="8" w:space="0"/>
              <w:left w:val="single" w:color="FFFFFF" w:sz="8" w:space="0"/>
              <w:bottom w:val="single" w:color="0070C0" w:sz="8" w:space="0"/>
              <w:right w:val="single" w:color="FFFFFF" w:sz="8" w:space="0"/>
            </w:tcBorders>
            <w:tcMar>
              <w:top w:w="72" w:type="dxa"/>
              <w:left w:w="144" w:type="dxa"/>
              <w:bottom w:w="72" w:type="dxa"/>
              <w:right w:w="144" w:type="dxa"/>
            </w:tcMar>
            <w:hideMark/>
          </w:tcPr>
          <w:p w:rsidR="007A6307" w:rsidP="00C800A2" w:rsidRDefault="007A6307" w14:paraId="72407557" w14:textId="795F007E">
            <w:pPr>
              <w:spacing w:line="276" w:lineRule="auto"/>
              <w:rPr>
                <w:szCs w:val="18"/>
              </w:rPr>
            </w:pPr>
            <w:r w:rsidRPr="00C66DE7">
              <w:rPr>
                <w:szCs w:val="18"/>
              </w:rPr>
              <w:t>Vanwege het jaarlijks CO</w:t>
            </w:r>
            <w:r w:rsidRPr="00C66DE7">
              <w:rPr>
                <w:szCs w:val="18"/>
                <w:vertAlign w:val="subscript"/>
              </w:rPr>
              <w:t>2</w:t>
            </w:r>
            <w:r w:rsidRPr="00C66DE7">
              <w:rPr>
                <w:szCs w:val="18"/>
              </w:rPr>
              <w:t xml:space="preserve">-zuiniger worden van nieuwe conventionele personenauto’s (autonome vergroening) vindt </w:t>
            </w:r>
            <w:r w:rsidR="00F16AF1">
              <w:rPr>
                <w:szCs w:val="18"/>
              </w:rPr>
              <w:t>sinds de BPM op CO2-uitstoot gebaseerd is,</w:t>
            </w:r>
            <w:r w:rsidRPr="00C66DE7">
              <w:rPr>
                <w:szCs w:val="18"/>
              </w:rPr>
              <w:t xml:space="preserve"> jaarlijkse aanscherping van de bpm plaats. De aanscherping is zodanig dat de bpm gemiddeld genomen gelijk blijft voor conventionele auto’s (</w:t>
            </w:r>
            <w:proofErr w:type="spellStart"/>
            <w:r w:rsidRPr="00C66DE7">
              <w:rPr>
                <w:szCs w:val="18"/>
              </w:rPr>
              <w:t>ceteris</w:t>
            </w:r>
            <w:proofErr w:type="spellEnd"/>
            <w:r w:rsidRPr="00C66DE7">
              <w:rPr>
                <w:szCs w:val="18"/>
              </w:rPr>
              <w:t xml:space="preserve"> </w:t>
            </w:r>
            <w:proofErr w:type="spellStart"/>
            <w:r w:rsidRPr="00C66DE7">
              <w:rPr>
                <w:szCs w:val="18"/>
              </w:rPr>
              <w:t>paribus</w:t>
            </w:r>
            <w:proofErr w:type="spellEnd"/>
            <w:r w:rsidRPr="00C66DE7">
              <w:rPr>
                <w:szCs w:val="18"/>
              </w:rPr>
              <w:t xml:space="preserve">). Daarmee wordt beoogd om een te voorziene erosie van de belastinggrondslag door autonome vergroening van conventionele personenauto’s te voorkomen. </w:t>
            </w:r>
          </w:p>
          <w:p w:rsidRPr="00C66DE7" w:rsidR="007A6307" w:rsidP="00C800A2" w:rsidRDefault="007A6307" w14:paraId="2DE278E7" w14:textId="77777777">
            <w:pPr>
              <w:spacing w:line="276" w:lineRule="auto"/>
              <w:rPr>
                <w:szCs w:val="18"/>
              </w:rPr>
            </w:pPr>
          </w:p>
          <w:p w:rsidRPr="00B64F97" w:rsidR="007A6307" w:rsidP="00C800A2" w:rsidRDefault="007A6307" w14:paraId="6444F7C7" w14:textId="77777777">
            <w:pPr>
              <w:spacing w:line="276" w:lineRule="auto"/>
            </w:pPr>
          </w:p>
        </w:tc>
      </w:tr>
    </w:tbl>
    <w:p w:rsidR="007D249B" w:rsidP="00C800A2" w:rsidRDefault="007D249B" w14:paraId="57AE8D4D" w14:textId="1952F56E">
      <w:pPr>
        <w:spacing w:line="240" w:lineRule="auto"/>
        <w:rPr>
          <w:b/>
          <w:bCs/>
        </w:rPr>
      </w:pPr>
    </w:p>
    <w:p w:rsidR="00E44268" w:rsidRDefault="00E44268" w14:paraId="327ACE25" w14:textId="77777777">
      <w:pPr>
        <w:spacing w:line="240" w:lineRule="auto"/>
        <w:rPr>
          <w:szCs w:val="18"/>
        </w:rPr>
      </w:pPr>
      <w:r>
        <w:rPr>
          <w:szCs w:val="18"/>
        </w:rPr>
        <w:br w:type="page"/>
      </w:r>
    </w:p>
    <w:p w:rsidRPr="001A16FF" w:rsidR="00B82691" w:rsidP="00535A9E" w:rsidRDefault="00E44268" w14:paraId="6D7BB92D" w14:textId="608F6192">
      <w:pPr>
        <w:spacing w:after="160" w:line="259" w:lineRule="auto"/>
        <w:rPr>
          <w:szCs w:val="18"/>
        </w:rPr>
      </w:pPr>
      <w:r w:rsidRPr="00E44268">
        <w:rPr>
          <w:b/>
          <w:bCs/>
        </w:rPr>
        <w:lastRenderedPageBreak/>
        <w:t>Bijlage Raffinageroute</w:t>
      </w:r>
      <w:r w:rsidR="00153822">
        <w:rPr>
          <w:b/>
          <w:bCs/>
        </w:rPr>
        <w:t xml:space="preserve"> </w:t>
      </w:r>
    </w:p>
    <w:p w:rsidR="00535A9E" w:rsidP="00535A9E" w:rsidRDefault="00535A9E" w14:paraId="6B72B7E7" w14:textId="77777777">
      <w:pPr>
        <w:pStyle w:val="Lijstalinea"/>
        <w:numPr>
          <w:ilvl w:val="0"/>
          <w:numId w:val="19"/>
        </w:numPr>
        <w:spacing w:after="160" w:line="259" w:lineRule="auto"/>
      </w:pPr>
      <w:r>
        <w:t>Een toelichting bij de opties:</w:t>
      </w:r>
    </w:p>
    <w:p w:rsidRPr="00BE75AD" w:rsidR="00535A9E" w:rsidP="00535A9E" w:rsidRDefault="00535A9E" w14:paraId="2B061B12" w14:textId="77777777">
      <w:pPr>
        <w:pStyle w:val="Lijstalinea"/>
        <w:numPr>
          <w:ilvl w:val="1"/>
          <w:numId w:val="19"/>
        </w:numPr>
        <w:spacing w:line="240" w:lineRule="auto"/>
        <w:rPr>
          <w:szCs w:val="18"/>
        </w:rPr>
      </w:pPr>
      <w:r w:rsidRPr="00BE75AD">
        <w:rPr>
          <w:szCs w:val="18"/>
        </w:rPr>
        <w:t xml:space="preserve">De resultaten van </w:t>
      </w:r>
      <w:r>
        <w:rPr>
          <w:szCs w:val="18"/>
        </w:rPr>
        <w:t>het TNO-onderzoek</w:t>
      </w:r>
      <w:r w:rsidRPr="00BE75AD">
        <w:rPr>
          <w:szCs w:val="18"/>
        </w:rPr>
        <w:t xml:space="preserve"> bevestigen dat 0,4 een te lage correctiefactor is </w:t>
      </w:r>
      <w:r>
        <w:rPr>
          <w:szCs w:val="18"/>
        </w:rPr>
        <w:t xml:space="preserve">voor elektrolyseprojecten </w:t>
      </w:r>
      <w:r w:rsidRPr="00BE75AD">
        <w:rPr>
          <w:szCs w:val="18"/>
        </w:rPr>
        <w:t xml:space="preserve">om op prijsverschil te kunnen concurreren met geïmporteerde e-methanol. Hiermee vormt </w:t>
      </w:r>
      <w:r>
        <w:rPr>
          <w:szCs w:val="18"/>
        </w:rPr>
        <w:t xml:space="preserve">het bijmengen van </w:t>
      </w:r>
      <w:r w:rsidRPr="00BE75AD">
        <w:rPr>
          <w:szCs w:val="18"/>
        </w:rPr>
        <w:t xml:space="preserve">e-methanol </w:t>
      </w:r>
      <w:r>
        <w:rPr>
          <w:szCs w:val="18"/>
        </w:rPr>
        <w:t xml:space="preserve">in benzine </w:t>
      </w:r>
      <w:r w:rsidRPr="00BE75AD">
        <w:rPr>
          <w:szCs w:val="18"/>
        </w:rPr>
        <w:t xml:space="preserve">een risico voor investeringen in elektrolyse. </w:t>
      </w:r>
    </w:p>
    <w:p w:rsidR="00535A9E" w:rsidP="00535A9E" w:rsidRDefault="00535A9E" w14:paraId="244948A6" w14:textId="77777777">
      <w:pPr>
        <w:pStyle w:val="Lijstalinea"/>
        <w:numPr>
          <w:ilvl w:val="1"/>
          <w:numId w:val="19"/>
        </w:numPr>
        <w:spacing w:line="240" w:lineRule="auto"/>
        <w:rPr>
          <w:szCs w:val="18"/>
        </w:rPr>
      </w:pPr>
      <w:r w:rsidRPr="00BE75AD">
        <w:rPr>
          <w:szCs w:val="18"/>
        </w:rPr>
        <w:t xml:space="preserve">Bij een correctiefactor 0,7 lijkt er o.b.v. prijs een gelijk speelveld te ontstaan tussen </w:t>
      </w:r>
      <w:r>
        <w:rPr>
          <w:szCs w:val="18"/>
        </w:rPr>
        <w:t xml:space="preserve">de raffinageroute en import e-methanol. </w:t>
      </w:r>
    </w:p>
    <w:p w:rsidR="00535A9E" w:rsidP="00535A9E" w:rsidRDefault="00535A9E" w14:paraId="2A74CA3E" w14:textId="2E1559C0">
      <w:pPr>
        <w:pStyle w:val="Lijstalinea"/>
        <w:spacing w:line="240" w:lineRule="auto"/>
        <w:ind w:left="1080"/>
        <w:rPr>
          <w:szCs w:val="18"/>
        </w:rPr>
      </w:pPr>
      <w:r>
        <w:rPr>
          <w:szCs w:val="18"/>
        </w:rPr>
        <w:t>Bij deze factor wordt</w:t>
      </w:r>
      <w:r w:rsidRPr="00BE75AD">
        <w:rPr>
          <w:szCs w:val="18"/>
        </w:rPr>
        <w:t xml:space="preserve"> de markt voor hernieuwbare waterstof</w:t>
      </w:r>
      <w:r>
        <w:rPr>
          <w:szCs w:val="18"/>
        </w:rPr>
        <w:t xml:space="preserve"> verkleind</w:t>
      </w:r>
      <w:r w:rsidRPr="00BE75AD">
        <w:rPr>
          <w:szCs w:val="18"/>
        </w:rPr>
        <w:t xml:space="preserve"> omdat er</w:t>
      </w:r>
      <w:r>
        <w:rPr>
          <w:szCs w:val="18"/>
        </w:rPr>
        <w:t xml:space="preserve"> minder </w:t>
      </w:r>
      <w:r w:rsidRPr="00BE75AD">
        <w:rPr>
          <w:szCs w:val="18"/>
        </w:rPr>
        <w:t xml:space="preserve">elektrolysecapaciteit nodig is en </w:t>
      </w:r>
      <w:r>
        <w:rPr>
          <w:szCs w:val="18"/>
        </w:rPr>
        <w:t xml:space="preserve">minder </w:t>
      </w:r>
      <w:r w:rsidRPr="00BE75AD">
        <w:rPr>
          <w:szCs w:val="18"/>
        </w:rPr>
        <w:t xml:space="preserve">projecten gebruik kunnen maken van de raffinageroute. </w:t>
      </w:r>
      <w:r w:rsidRPr="00E474D9">
        <w:rPr>
          <w:szCs w:val="18"/>
        </w:rPr>
        <w:t xml:space="preserve">Tegelijkertijd blijft er met een factor 0,7 een stimulans voor directe inzet van hernieuwbare waterstof  in de mobiliteit. </w:t>
      </w:r>
    </w:p>
    <w:p w:rsidRPr="00E474D9" w:rsidR="00535A9E" w:rsidP="00535A9E" w:rsidRDefault="00535A9E" w14:paraId="5D7F805E" w14:textId="0420F3D8">
      <w:pPr>
        <w:pStyle w:val="Lijstalinea"/>
        <w:numPr>
          <w:ilvl w:val="1"/>
          <w:numId w:val="19"/>
        </w:numPr>
        <w:rPr>
          <w:szCs w:val="18"/>
        </w:rPr>
      </w:pPr>
      <w:r w:rsidRPr="00E474D9">
        <w:rPr>
          <w:szCs w:val="18"/>
        </w:rPr>
        <w:t xml:space="preserve">Een correctiefactor 1 (ofwel geen correctiefactor) geeft van deze opties de meeste investeringszekerheid voor elektrolyse en de inzet van de raffinageroute. </w:t>
      </w:r>
      <w:r w:rsidR="00966E52">
        <w:rPr>
          <w:szCs w:val="18"/>
        </w:rPr>
        <w:t xml:space="preserve">Dit kan niet worden ingevoerd zonder verhoging van het subdoel. </w:t>
      </w:r>
      <w:r w:rsidRPr="00E474D9">
        <w:rPr>
          <w:szCs w:val="18"/>
        </w:rPr>
        <w:t>Een correctiefactor 1 verkleint de markt echter zodanig dat</w:t>
      </w:r>
      <w:r w:rsidR="00966E52">
        <w:rPr>
          <w:szCs w:val="18"/>
        </w:rPr>
        <w:t xml:space="preserve"> </w:t>
      </w:r>
      <w:r w:rsidRPr="00E474D9">
        <w:rPr>
          <w:szCs w:val="18"/>
        </w:rPr>
        <w:t>de hernieuwbare waterstof die nodig is voor het RFNBO-subdoel kan dan door één of twee projecten worden geleverd. Dit betekent dat er geen nieuwe investeringen in elektrolyseprojecten te verwachten zijn die willen leveren aan raffinaderijen.</w:t>
      </w:r>
      <w:r w:rsidR="00966E52">
        <w:rPr>
          <w:szCs w:val="18"/>
        </w:rPr>
        <w:t xml:space="preserve"> </w:t>
      </w:r>
      <w:r w:rsidRPr="009400AE" w:rsidR="00966E52">
        <w:rPr>
          <w:szCs w:val="18"/>
        </w:rPr>
        <w:t>Een dergelijke marktconcentratie kan</w:t>
      </w:r>
      <w:r w:rsidR="00966E52">
        <w:rPr>
          <w:szCs w:val="18"/>
        </w:rPr>
        <w:t xml:space="preserve"> juist leiden tot prijsverhoging aan de pomp.</w:t>
      </w:r>
      <w:r>
        <w:rPr>
          <w:szCs w:val="18"/>
        </w:rPr>
        <w:t xml:space="preserve"> </w:t>
      </w:r>
      <w:r w:rsidRPr="00E474D9">
        <w:rPr>
          <w:szCs w:val="18"/>
        </w:rPr>
        <w:t xml:space="preserve">Met een correctiefactor 1 zal de raffinageroute economisch veel aantrekkelijker zijn dan directe inzet. </w:t>
      </w:r>
      <w:r w:rsidR="00966E52">
        <w:rPr>
          <w:szCs w:val="18"/>
        </w:rPr>
        <w:t>De consequentie hiervan is dat waterstoftankstations een belangrijk deel van hun</w:t>
      </w:r>
      <w:r w:rsidRPr="009400AE" w:rsidR="00966E52">
        <w:rPr>
          <w:szCs w:val="18"/>
        </w:rPr>
        <w:t xml:space="preserve"> </w:t>
      </w:r>
      <w:r w:rsidR="00966E52">
        <w:rPr>
          <w:szCs w:val="18"/>
        </w:rPr>
        <w:t>business case zien verdwijnen. Directe inzet van waterstof in het wegvervoer wordt met deze maatregel niet langer gestimuleerd.</w:t>
      </w:r>
    </w:p>
    <w:p w:rsidRPr="00E474D9" w:rsidR="00535A9E" w:rsidP="00535A9E" w:rsidRDefault="00535A9E" w14:paraId="7F6C79CD" w14:textId="77777777">
      <w:pPr>
        <w:pStyle w:val="Lijstalinea"/>
        <w:numPr>
          <w:ilvl w:val="0"/>
          <w:numId w:val="19"/>
        </w:numPr>
        <w:spacing w:line="240" w:lineRule="auto"/>
        <w:rPr>
          <w:szCs w:val="18"/>
        </w:rPr>
      </w:pPr>
      <w:r w:rsidRPr="00E474D9">
        <w:rPr>
          <w:szCs w:val="18"/>
        </w:rPr>
        <w:t>Mogelijk mitigerende maatregelen</w:t>
      </w:r>
    </w:p>
    <w:p w:rsidR="00535A9E" w:rsidP="00535A9E" w:rsidRDefault="00535A9E" w14:paraId="7F899DA3" w14:textId="77777777">
      <w:pPr>
        <w:pStyle w:val="Lijstalinea"/>
        <w:numPr>
          <w:ilvl w:val="1"/>
          <w:numId w:val="19"/>
        </w:numPr>
        <w:spacing w:line="240" w:lineRule="auto"/>
        <w:rPr>
          <w:szCs w:val="18"/>
        </w:rPr>
      </w:pPr>
      <w:r w:rsidRPr="00BE75AD">
        <w:rPr>
          <w:szCs w:val="18"/>
        </w:rPr>
        <w:t xml:space="preserve">Het verhogen van het </w:t>
      </w:r>
      <w:r>
        <w:rPr>
          <w:szCs w:val="18"/>
        </w:rPr>
        <w:t>RFNBO-</w:t>
      </w:r>
      <w:r w:rsidRPr="00BE75AD">
        <w:rPr>
          <w:szCs w:val="18"/>
        </w:rPr>
        <w:t xml:space="preserve">subdoel </w:t>
      </w:r>
      <w:r>
        <w:rPr>
          <w:szCs w:val="18"/>
        </w:rPr>
        <w:t xml:space="preserve">zou </w:t>
      </w:r>
      <w:r w:rsidRPr="00BE75AD">
        <w:rPr>
          <w:szCs w:val="18"/>
        </w:rPr>
        <w:t xml:space="preserve">een oplossing </w:t>
      </w:r>
      <w:r>
        <w:rPr>
          <w:szCs w:val="18"/>
        </w:rPr>
        <w:t xml:space="preserve">kunnen bieden </w:t>
      </w:r>
      <w:r w:rsidRPr="00BE75AD">
        <w:rPr>
          <w:szCs w:val="18"/>
        </w:rPr>
        <w:t>voor de negatieve gevolgen van een hogere correctiefactor</w:t>
      </w:r>
      <w:r>
        <w:rPr>
          <w:szCs w:val="18"/>
        </w:rPr>
        <w:t xml:space="preserve"> op het volume aan elektrolyseprojecten, omdat de markt voor hernieuwbare waterstof vergroot wordt en er ruimte ontstaat voor realisatie van verschillende elektrolyseprojecten</w:t>
      </w:r>
      <w:r w:rsidRPr="00BE75AD">
        <w:rPr>
          <w:szCs w:val="18"/>
        </w:rPr>
        <w:t>.</w:t>
      </w:r>
      <w:r>
        <w:rPr>
          <w:szCs w:val="18"/>
        </w:rPr>
        <w:t xml:space="preserve"> </w:t>
      </w:r>
    </w:p>
    <w:p w:rsidR="00535A9E" w:rsidP="00535A9E" w:rsidRDefault="00535A9E" w14:paraId="5D717345" w14:textId="77777777">
      <w:pPr>
        <w:pStyle w:val="Lijstalinea"/>
        <w:numPr>
          <w:ilvl w:val="1"/>
          <w:numId w:val="19"/>
        </w:numPr>
        <w:spacing w:line="240" w:lineRule="auto"/>
        <w:rPr>
          <w:szCs w:val="18"/>
        </w:rPr>
      </w:pPr>
      <w:r w:rsidRPr="00BE75AD">
        <w:rPr>
          <w:szCs w:val="18"/>
        </w:rPr>
        <w:t xml:space="preserve">Indien er wordt besloten voor het verhogen van het RFNBO-subdoel moet de jaarverplichting </w:t>
      </w:r>
      <w:r>
        <w:rPr>
          <w:szCs w:val="18"/>
        </w:rPr>
        <w:t xml:space="preserve">energie vervoer </w:t>
      </w:r>
      <w:r w:rsidRPr="00BE75AD">
        <w:rPr>
          <w:szCs w:val="18"/>
        </w:rPr>
        <w:t>ook worden verhoogd in aanvulling op ophoging jaarverplichting op punt 2.</w:t>
      </w:r>
      <w:r>
        <w:rPr>
          <w:szCs w:val="18"/>
        </w:rPr>
        <w:t xml:space="preserve"> </w:t>
      </w:r>
    </w:p>
    <w:p w:rsidRPr="00650EF6" w:rsidR="00966E52" w:rsidP="00535A9E" w:rsidRDefault="00966E52" w14:paraId="1D9E2AD6" w14:textId="50384BB0">
      <w:pPr>
        <w:pStyle w:val="Lijstalinea"/>
        <w:numPr>
          <w:ilvl w:val="1"/>
          <w:numId w:val="19"/>
        </w:numPr>
        <w:spacing w:line="240" w:lineRule="auto"/>
        <w:rPr>
          <w:szCs w:val="18"/>
        </w:rPr>
      </w:pPr>
      <w:r>
        <w:rPr>
          <w:szCs w:val="18"/>
        </w:rPr>
        <w:t xml:space="preserve">Tot op zekere hoogte kan het RFNBO-subdoel worden verhoogd zonder een extra stijging van de kosten aan de pomp ten opzichte van het voorgenomen beleid: bij een factor 0,7 kan ruimte worden gecreëerd voor in totaal circa 3 projecten zonder aanvullende kosten ten </w:t>
      </w:r>
      <w:r w:rsidRPr="00650EF6">
        <w:rPr>
          <w:szCs w:val="18"/>
        </w:rPr>
        <w:t>opzichte van het bestaande voorstel</w:t>
      </w:r>
    </w:p>
    <w:p w:rsidRPr="00650EF6" w:rsidR="00966E52" w:rsidP="00535A9E" w:rsidRDefault="00966E52" w14:paraId="5AD49257" w14:textId="77777777">
      <w:pPr>
        <w:pStyle w:val="Lijstalinea"/>
        <w:numPr>
          <w:ilvl w:val="1"/>
          <w:numId w:val="19"/>
        </w:numPr>
        <w:rPr>
          <w:szCs w:val="18"/>
        </w:rPr>
      </w:pPr>
      <w:r w:rsidRPr="00650EF6">
        <w:rPr>
          <w:szCs w:val="18"/>
        </w:rPr>
        <w:t xml:space="preserve">Bij een factor 1,0 is deze verhoging mogelijk voor in totaal circa 3 tot 4 projecten, zoals gewenst door KGG, doordat er dan waarschijnlijk geen directe inzet zal plaatsvinden. Ophoging van de algehele jaarverplichting is hierbij wel nodig, wat leidt tot een stijging van de prijs aan de pomp met 0,19 cent (€0,0019) in 2030 ten opzichte van het huidige voorstel. </w:t>
      </w:r>
    </w:p>
    <w:p w:rsidR="00535A9E" w:rsidP="00535A9E" w:rsidRDefault="00966E52" w14:paraId="645FFE0C" w14:textId="32526E78">
      <w:pPr>
        <w:pStyle w:val="Lijstalinea"/>
        <w:numPr>
          <w:ilvl w:val="1"/>
          <w:numId w:val="19"/>
        </w:numPr>
        <w:rPr>
          <w:szCs w:val="18"/>
        </w:rPr>
      </w:pPr>
      <w:r w:rsidRPr="00650EF6">
        <w:rPr>
          <w:szCs w:val="18"/>
        </w:rPr>
        <w:t>Indien ruimte gecreëerd</w:t>
      </w:r>
      <w:r w:rsidRPr="005E1F68">
        <w:rPr>
          <w:szCs w:val="18"/>
        </w:rPr>
        <w:t xml:space="preserve"> wordt voor alle elektrolyseprojecten</w:t>
      </w:r>
      <w:r>
        <w:rPr>
          <w:szCs w:val="18"/>
        </w:rPr>
        <w:t xml:space="preserve"> bij een correctiefactor van 0,7 zou dit leiden tot</w:t>
      </w:r>
      <w:r w:rsidDel="00966E52">
        <w:rPr>
          <w:szCs w:val="18"/>
        </w:rPr>
        <w:t xml:space="preserve"> </w:t>
      </w:r>
      <w:r w:rsidR="00535A9E">
        <w:rPr>
          <w:szCs w:val="18"/>
        </w:rPr>
        <w:t>een stijging van de kosten aan de pomp</w:t>
      </w:r>
      <w:r>
        <w:rPr>
          <w:szCs w:val="18"/>
        </w:rPr>
        <w:t xml:space="preserve"> van 0 tot 0,7 cent/liter</w:t>
      </w:r>
      <w:r w:rsidR="00535A9E">
        <w:rPr>
          <w:szCs w:val="18"/>
        </w:rPr>
        <w:t>. ten opzichte van het huidige voorstel.</w:t>
      </w:r>
      <w:r>
        <w:rPr>
          <w:szCs w:val="18"/>
        </w:rPr>
        <w:t xml:space="preserve"> </w:t>
      </w:r>
      <w:r w:rsidRPr="005E1F68">
        <w:rPr>
          <w:szCs w:val="18"/>
        </w:rPr>
        <w:t xml:space="preserve">De totale kosten van waterstof in de mobiliteit veranderen niet; ze worden lager in zeevaart en binnenvaart, maar stijgen in de </w:t>
      </w:r>
      <w:r w:rsidRPr="005E1F68">
        <w:rPr>
          <w:szCs w:val="18"/>
        </w:rPr>
        <w:lastRenderedPageBreak/>
        <w:t>sector land</w:t>
      </w:r>
      <w:r>
        <w:rPr>
          <w:szCs w:val="18"/>
        </w:rPr>
        <w:t>.</w:t>
      </w:r>
      <w:r w:rsidR="00535A9E">
        <w:rPr>
          <w:szCs w:val="18"/>
        </w:rPr>
        <w:t xml:space="preserve"> In het huidige voorstel stijgen de kosten aan de pomp tussen </w:t>
      </w:r>
      <w:r>
        <w:rPr>
          <w:szCs w:val="18"/>
        </w:rPr>
        <w:t>1</w:t>
      </w:r>
      <w:r w:rsidR="00535A9E">
        <w:rPr>
          <w:szCs w:val="18"/>
        </w:rPr>
        <w:t>,</w:t>
      </w:r>
      <w:r>
        <w:rPr>
          <w:szCs w:val="18"/>
        </w:rPr>
        <w:t>2</w:t>
      </w:r>
      <w:r w:rsidR="00535A9E">
        <w:rPr>
          <w:szCs w:val="18"/>
        </w:rPr>
        <w:t xml:space="preserve"> en </w:t>
      </w:r>
      <w:r>
        <w:rPr>
          <w:szCs w:val="18"/>
        </w:rPr>
        <w:t>3</w:t>
      </w:r>
      <w:r w:rsidR="00535A9E">
        <w:rPr>
          <w:szCs w:val="18"/>
        </w:rPr>
        <w:t>,</w:t>
      </w:r>
      <w:r>
        <w:rPr>
          <w:szCs w:val="18"/>
        </w:rPr>
        <w:t>2</w:t>
      </w:r>
      <w:r w:rsidR="00535A9E">
        <w:rPr>
          <w:szCs w:val="18"/>
        </w:rPr>
        <w:t xml:space="preserve">cent/l. </w:t>
      </w:r>
    </w:p>
    <w:p w:rsidRPr="00CC0FEE" w:rsidR="00535A9E" w:rsidP="00535A9E" w:rsidRDefault="00DF7E43" w14:paraId="4FDA6510" w14:textId="27435692">
      <w:pPr>
        <w:pStyle w:val="Lijstalinea"/>
        <w:numPr>
          <w:ilvl w:val="0"/>
          <w:numId w:val="19"/>
        </w:numPr>
        <w:spacing w:line="240" w:lineRule="auto"/>
        <w:rPr>
          <w:szCs w:val="18"/>
        </w:rPr>
      </w:pPr>
      <w:r>
        <w:rPr>
          <w:szCs w:val="18"/>
        </w:rPr>
        <w:t xml:space="preserve">Een mogelijkheid om de aanvullende kostenstijging te mitigeren is het schuiven van de verwachte CO2-reductie door de wijzigingen in de raffinageroute. Door deze van het klimaatdoel mobiliteit af te trekken en bij het klimaatdoel voor industrie op te tellen, hoeven geen aanvullende kostenverhogende maatregelen in de mobiliteit te worden genomen. </w:t>
      </w:r>
      <w:r w:rsidRPr="00CC0FEE" w:rsidR="00535A9E">
        <w:rPr>
          <w:szCs w:val="18"/>
        </w:rPr>
        <w:t>Op basis van de verschillende opties moet er een belangenafweging gemaakt worden tussen enerzijds het opschalen van de hernieuwbare waterstofproductie in Nederland en CO</w:t>
      </w:r>
      <w:r w:rsidRPr="00CC0FEE" w:rsidR="00535A9E">
        <w:rPr>
          <w:szCs w:val="18"/>
          <w:vertAlign w:val="subscript"/>
        </w:rPr>
        <w:t>2</w:t>
      </w:r>
      <w:r w:rsidRPr="00CC0FEE" w:rsidR="00535A9E">
        <w:rPr>
          <w:szCs w:val="18"/>
        </w:rPr>
        <w:t xml:space="preserve">-reductie in de industrie, en anderzijds de stijgende kosten voor de automobilist door het mogelijk hogere hernieuwbare waterstofverbruik in raffinaderijen, en de positie van directe inzet van hernieuwbare waterstof  in de mobiliteit. </w:t>
      </w:r>
    </w:p>
    <w:p w:rsidRPr="000502E9" w:rsidR="003C4B59" w:rsidP="00E44268" w:rsidRDefault="003C4B59" w14:paraId="120599AF" w14:textId="5C64631C">
      <w:pPr>
        <w:pStyle w:val="Lijstalinea"/>
        <w:spacing w:after="160" w:line="259" w:lineRule="auto"/>
        <w:ind w:left="360"/>
      </w:pPr>
    </w:p>
    <w:p w:rsidR="0072749D" w:rsidP="007D249B" w:rsidRDefault="0072749D" w14:paraId="25DD6F56" w14:textId="0EF70CCE">
      <w:pPr>
        <w:rPr>
          <w:noProof/>
        </w:rPr>
      </w:pPr>
    </w:p>
    <w:p w:rsidR="00B53268" w:rsidP="007D249B" w:rsidRDefault="00B53268" w14:paraId="4BF06AAD" w14:textId="77777777">
      <w:pPr>
        <w:rPr>
          <w:noProof/>
        </w:rPr>
      </w:pPr>
    </w:p>
    <w:p w:rsidR="00B53268" w:rsidP="007D249B" w:rsidRDefault="00B53268" w14:paraId="7DEAD1C8" w14:textId="56039953">
      <w:pPr>
        <w:rPr>
          <w:noProof/>
        </w:rPr>
      </w:pPr>
    </w:p>
    <w:p w:rsidR="00B53268" w:rsidP="007D249B" w:rsidRDefault="00966E52" w14:paraId="08575D62" w14:textId="11C38285">
      <w:pPr>
        <w:rPr>
          <w:noProof/>
        </w:rPr>
      </w:pPr>
      <w:r>
        <w:rPr>
          <w:noProof/>
        </w:rPr>
        <w:drawing>
          <wp:inline distT="0" distB="0" distL="0" distR="0" wp14:anchorId="1472F439" wp14:editId="58A76091">
            <wp:extent cx="4780915" cy="5019675"/>
            <wp:effectExtent l="0" t="0" r="635" b="9525"/>
            <wp:docPr id="805362743"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5362743" name=""/>
                    <pic:cNvPicPr/>
                  </pic:nvPicPr>
                  <pic:blipFill>
                    <a:blip r:embed="rId7"/>
                    <a:stretch>
                      <a:fillRect/>
                    </a:stretch>
                  </pic:blipFill>
                  <pic:spPr>
                    <a:xfrm>
                      <a:off x="0" y="0"/>
                      <a:ext cx="4780915" cy="5019675"/>
                    </a:xfrm>
                    <a:prstGeom prst="rect">
                      <a:avLst/>
                    </a:prstGeom>
                  </pic:spPr>
                </pic:pic>
              </a:graphicData>
            </a:graphic>
          </wp:inline>
        </w:drawing>
      </w:r>
    </w:p>
    <w:p w:rsidRPr="007D249B" w:rsidR="00B53268" w:rsidP="007D249B" w:rsidRDefault="00B53268" w14:paraId="2EAEEDA7" w14:textId="65407915"/>
    <w:sectPr w:rsidRPr="007D249B" w:rsidR="00B53268" w:rsidSect="005C3F39">
      <w:headerReference w:type="default" r:id="rId8"/>
      <w:footerReference w:type="even" r:id="rId9"/>
      <w:footerReference w:type="default" r:id="rId10"/>
      <w:headerReference w:type="first" r:id="rId11"/>
      <w:footerReference w:type="first" r:id="rId12"/>
      <w:pgSz w:w="11906" w:h="16838" w:code="9"/>
      <w:pgMar w:top="2398" w:right="2818" w:bottom="1077" w:left="1559" w:header="2398" w:footer="561" w:gutter="0"/>
      <w:pgNumType w:start="1"/>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81C9D0" w14:textId="77777777" w:rsidR="00955A51" w:rsidRDefault="00955A51">
      <w:r>
        <w:separator/>
      </w:r>
    </w:p>
    <w:p w14:paraId="032822D5" w14:textId="77777777" w:rsidR="00955A51" w:rsidRDefault="00955A51"/>
  </w:endnote>
  <w:endnote w:type="continuationSeparator" w:id="0">
    <w:p w14:paraId="13797AFA" w14:textId="77777777" w:rsidR="00955A51" w:rsidRDefault="00955A51">
      <w:r>
        <w:continuationSeparator/>
      </w:r>
    </w:p>
    <w:p w14:paraId="366F8A9C" w14:textId="77777777" w:rsidR="00955A51" w:rsidRDefault="00955A51"/>
  </w:endnote>
  <w:endnote w:type="continuationNotice" w:id="1">
    <w:p w14:paraId="615E41A9" w14:textId="77777777" w:rsidR="00955A51" w:rsidRDefault="00955A5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DejaVu Sans">
    <w:altName w:val="Times New Roman"/>
    <w:charset w:val="00"/>
    <w:family w:val="swiss"/>
    <w:pitch w:val="variable"/>
    <w:sig w:usb0="E7002EFF" w:usb1="D200FDFF" w:usb2="0A246029" w:usb3="00000000" w:csb0="000001FF" w:csb1="00000000"/>
  </w:font>
  <w:font w:name="Lohit Hindi">
    <w:altName w:val="MS Gothic"/>
    <w:charset w:val="00"/>
    <w:family w:val="auto"/>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838B1D" w14:textId="77777777" w:rsidR="00C60224" w:rsidRDefault="00F5309F">
    <w:pPr>
      <w:pStyle w:val="Voettekst"/>
    </w:pPr>
    <w:r>
      <w:rPr>
        <w:noProof/>
      </w:rPr>
      <mc:AlternateContent>
        <mc:Choice Requires="wps">
          <w:drawing>
            <wp:anchor distT="0" distB="0" distL="0" distR="0" simplePos="0" relativeHeight="251658241" behindDoc="0" locked="0" layoutInCell="1" allowOverlap="1" wp14:anchorId="0AE4DDA7" wp14:editId="09181894">
              <wp:simplePos x="0" y="0"/>
              <wp:positionH relativeFrom="page">
                <wp:align>left</wp:align>
              </wp:positionH>
              <wp:positionV relativeFrom="page">
                <wp:align>bottom</wp:align>
              </wp:positionV>
              <wp:extent cx="443865" cy="443865"/>
              <wp:effectExtent l="0" t="0" r="4445" b="0"/>
              <wp:wrapNone/>
              <wp:docPr id="5" name="Tekstvak 5625"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8ABB92A" w14:textId="77777777" w:rsidR="00231E07" w:rsidRPr="00231E07" w:rsidRDefault="00F5309F" w:rsidP="00231E07">
                          <w:pPr>
                            <w:rPr>
                              <w:rFonts w:ascii="Calibri" w:eastAsia="Calibri" w:hAnsi="Calibri" w:cs="Calibri"/>
                              <w:noProof/>
                              <w:color w:val="000000"/>
                              <w:sz w:val="20"/>
                              <w:szCs w:val="20"/>
                            </w:rPr>
                          </w:pPr>
                          <w:r w:rsidRPr="00231E07">
                            <w:rPr>
                              <w:rFonts w:ascii="Calibri" w:eastAsia="Calibri" w:hAnsi="Calibri" w:cs="Calibri"/>
                              <w:noProof/>
                              <w:color w:val="000000"/>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AE4DDA7" id="_x0000_t202" coordsize="21600,21600" o:spt="202" path="m,l,21600r21600,l21600,xe">
              <v:stroke joinstyle="miter"/>
              <v:path gradientshapeok="t" o:connecttype="rect"/>
            </v:shapetype>
            <v:shape id="Tekstvak 5625" o:spid="_x0000_s1026" type="#_x0000_t202" alt="Intern gebruik" style="position:absolute;margin-left:0;margin-top:0;width:34.95pt;height:34.95pt;z-index:251658241;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87LCwIAABo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" filled="f" stroked="f">
              <v:textbox style="mso-fit-shape-to-text:t" inset="20pt,0,0,15pt">
                <w:txbxContent>
                  <w:p w14:paraId="28ABB92A" w14:textId="77777777" w:rsidR="00231E07" w:rsidRPr="00231E07" w:rsidRDefault="00F5309F" w:rsidP="00231E07">
                    <w:pPr>
                      <w:rPr>
                        <w:rFonts w:ascii="Calibri" w:eastAsia="Calibri" w:hAnsi="Calibri" w:cs="Calibri"/>
                        <w:noProof/>
                        <w:color w:val="000000"/>
                        <w:sz w:val="20"/>
                        <w:szCs w:val="20"/>
                      </w:rPr>
                    </w:pPr>
                    <w:r w:rsidRPr="00231E07">
                      <w:rPr>
                        <w:rFonts w:ascii="Calibri" w:eastAsia="Calibri" w:hAnsi="Calibri" w:cs="Calibri"/>
                        <w:noProof/>
                        <w:color w:val="000000"/>
                        <w:sz w:val="20"/>
                        <w:szCs w:val="20"/>
                      </w:rPr>
                      <w:t>Intern gebruik</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A4481" w14:textId="77777777" w:rsidR="00600B57" w:rsidRPr="00BC3B53" w:rsidRDefault="00F5309F" w:rsidP="008C356D">
    <w:pPr>
      <w:pStyle w:val="Voettekst"/>
      <w:spacing w:line="240" w:lineRule="auto"/>
      <w:rPr>
        <w:sz w:val="2"/>
        <w:szCs w:val="2"/>
      </w:rPr>
    </w:pPr>
    <w:r>
      <w:rPr>
        <w:noProof/>
        <w:sz w:val="2"/>
        <w:szCs w:val="2"/>
      </w:rPr>
      <mc:AlternateContent>
        <mc:Choice Requires="wps">
          <w:drawing>
            <wp:anchor distT="0" distB="0" distL="0" distR="0" simplePos="0" relativeHeight="251658242" behindDoc="0" locked="0" layoutInCell="1" allowOverlap="1" wp14:anchorId="7C738F1F" wp14:editId="7846A2A7">
              <wp:simplePos x="0" y="0"/>
              <wp:positionH relativeFrom="page">
                <wp:align>left</wp:align>
              </wp:positionH>
              <wp:positionV relativeFrom="page">
                <wp:align>bottom</wp:align>
              </wp:positionV>
              <wp:extent cx="443865" cy="443865"/>
              <wp:effectExtent l="0" t="0" r="4445" b="0"/>
              <wp:wrapNone/>
              <wp:docPr id="4" name="Tekstvak 5677"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16B969E" w14:textId="77777777" w:rsidR="00231E07" w:rsidRPr="00231E07" w:rsidRDefault="00F5309F" w:rsidP="00231E07">
                          <w:pPr>
                            <w:rPr>
                              <w:rFonts w:ascii="Calibri" w:eastAsia="Calibri" w:hAnsi="Calibri" w:cs="Calibri"/>
                              <w:noProof/>
                              <w:color w:val="000000"/>
                              <w:sz w:val="20"/>
                              <w:szCs w:val="20"/>
                            </w:rPr>
                          </w:pPr>
                          <w:r w:rsidRPr="00231E07">
                            <w:rPr>
                              <w:rFonts w:ascii="Calibri" w:eastAsia="Calibri" w:hAnsi="Calibri" w:cs="Calibri"/>
                              <w:noProof/>
                              <w:color w:val="000000"/>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C738F1F" id="_x0000_t202" coordsize="21600,21600" o:spt="202" path="m,l,21600r21600,l21600,xe">
              <v:stroke joinstyle="miter"/>
              <v:path gradientshapeok="t" o:connecttype="rect"/>
            </v:shapetype>
            <v:shape id="Tekstvak 5677" o:spid="_x0000_s1027" type="#_x0000_t202" alt="Intern gebruik" style="position:absolute;margin-left:0;margin-top:0;width:34.95pt;height:34.95pt;z-index:25165824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" filled="f" stroked="f">
              <v:textbox style="mso-fit-shape-to-text:t" inset="20pt,0,0,15pt">
                <w:txbxContent>
                  <w:p w14:paraId="016B969E" w14:textId="77777777" w:rsidR="00231E07" w:rsidRPr="00231E07" w:rsidRDefault="00F5309F" w:rsidP="00231E07">
                    <w:pPr>
                      <w:rPr>
                        <w:rFonts w:ascii="Calibri" w:eastAsia="Calibri" w:hAnsi="Calibri" w:cs="Calibri"/>
                        <w:noProof/>
                        <w:color w:val="000000"/>
                        <w:sz w:val="20"/>
                        <w:szCs w:val="20"/>
                      </w:rPr>
                    </w:pPr>
                    <w:r w:rsidRPr="00231E07">
                      <w:rPr>
                        <w:rFonts w:ascii="Calibri" w:eastAsia="Calibri" w:hAnsi="Calibri" w:cs="Calibri"/>
                        <w:noProof/>
                        <w:color w:val="000000"/>
                        <w:sz w:val="20"/>
                        <w:szCs w:val="20"/>
                      </w:rPr>
                      <w:t>Intern gebruik</w:t>
                    </w:r>
                  </w:p>
                </w:txbxContent>
              </v:textbox>
              <w10:wrap anchorx="page" anchory="page"/>
            </v:shape>
          </w:pict>
        </mc:Fallback>
      </mc:AlternateContent>
    </w:r>
  </w:p>
  <w:tbl>
    <w:tblPr>
      <w:tblW w:w="9757" w:type="dxa"/>
      <w:tblLayout w:type="fixed"/>
      <w:tblCellMar>
        <w:left w:w="0" w:type="dxa"/>
        <w:right w:w="0" w:type="dxa"/>
      </w:tblCellMar>
      <w:tblLook w:val="0000" w:firstRow="0" w:lastRow="0" w:firstColumn="0" w:lastColumn="0" w:noHBand="0" w:noVBand="0"/>
    </w:tblPr>
    <w:tblGrid>
      <w:gridCol w:w="7601"/>
      <w:gridCol w:w="2156"/>
    </w:tblGrid>
    <w:tr w:rsidR="001A0A43" w14:paraId="090EB430" w14:textId="77777777" w:rsidTr="001E4C6B">
      <w:trPr>
        <w:trHeight w:hRule="exact" w:val="240"/>
      </w:trPr>
      <w:tc>
        <w:tcPr>
          <w:tcW w:w="7601" w:type="dxa"/>
          <w:shd w:val="clear" w:color="auto" w:fill="auto"/>
        </w:tcPr>
        <w:p w14:paraId="7A22EDA3" w14:textId="77777777" w:rsidR="00600B57" w:rsidRDefault="00600B57" w:rsidP="003F1F6B">
          <w:pPr>
            <w:pStyle w:val="Huisstijl-Rubricering"/>
          </w:pPr>
        </w:p>
      </w:tc>
      <w:tc>
        <w:tcPr>
          <w:tcW w:w="2156" w:type="dxa"/>
        </w:tcPr>
        <w:p w14:paraId="29039242" w14:textId="2657A93A" w:rsidR="00600B57" w:rsidRPr="00236CFE" w:rsidRDefault="00F5309F" w:rsidP="003F1F6B">
          <w:pPr>
            <w:pStyle w:val="Huisstijl-Paginanummering"/>
          </w:pPr>
          <w:r w:rsidRPr="00CB7ABA">
            <w:t xml:space="preserve">Pagina </w:t>
          </w:r>
          <w:r w:rsidRPr="00CB7ABA">
            <w:fldChar w:fldCharType="begin"/>
          </w:r>
          <w:r w:rsidRPr="00CB7ABA">
            <w:instrText xml:space="preserve"> PAGE   \* MERGEFORMAT </w:instrText>
          </w:r>
          <w:r w:rsidRPr="00CB7ABA">
            <w:fldChar w:fldCharType="separate"/>
          </w:r>
          <w:r w:rsidR="005265D9">
            <w:t>2</w:t>
          </w:r>
          <w:r w:rsidRPr="00CB7ABA">
            <w:fldChar w:fldCharType="end"/>
          </w:r>
          <w:r w:rsidRPr="00CB7ABA">
            <w:t xml:space="preserve"> van </w:t>
          </w:r>
          <w:r w:rsidR="005265D9">
            <w:fldChar w:fldCharType="begin"/>
          </w:r>
          <w:r>
            <w:instrText xml:space="preserve"> SECTIONPAGES   \* MERGEFORMAT </w:instrText>
          </w:r>
          <w:r w:rsidR="005265D9">
            <w:fldChar w:fldCharType="separate"/>
          </w:r>
          <w:r w:rsidR="0048649E">
            <w:t>12</w:t>
          </w:r>
          <w:r w:rsidR="005265D9">
            <w:fldChar w:fldCharType="end"/>
          </w:r>
        </w:p>
      </w:tc>
    </w:tr>
  </w:tbl>
  <w:p w14:paraId="1423507C" w14:textId="77777777" w:rsidR="00600B57" w:rsidRPr="00BC3B53" w:rsidRDefault="00600B57" w:rsidP="00BC3B53">
    <w:pPr>
      <w:pStyle w:val="Voettekst"/>
      <w:spacing w:line="240" w:lineRule="auto"/>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1A0A43" w14:paraId="45E0FBEF" w14:textId="77777777" w:rsidTr="001E4C6B">
      <w:trPr>
        <w:trHeight w:hRule="exact" w:val="240"/>
      </w:trPr>
      <w:tc>
        <w:tcPr>
          <w:tcW w:w="7601" w:type="dxa"/>
          <w:shd w:val="clear" w:color="auto" w:fill="auto"/>
        </w:tcPr>
        <w:p w14:paraId="25C85FC7" w14:textId="77777777" w:rsidR="00600B57" w:rsidRDefault="00F5309F" w:rsidP="008C356D">
          <w:pPr>
            <w:pStyle w:val="Huisstijl-Rubricering"/>
          </w:pPr>
          <w:r>
            <mc:AlternateContent>
              <mc:Choice Requires="wps">
                <w:drawing>
                  <wp:anchor distT="0" distB="0" distL="0" distR="0" simplePos="0" relativeHeight="251658240" behindDoc="0" locked="0" layoutInCell="1" allowOverlap="1" wp14:anchorId="6F1648C5" wp14:editId="44F290D9">
                    <wp:simplePos x="0" y="0"/>
                    <wp:positionH relativeFrom="page">
                      <wp:align>left</wp:align>
                    </wp:positionH>
                    <wp:positionV relativeFrom="page">
                      <wp:align>bottom</wp:align>
                    </wp:positionV>
                    <wp:extent cx="443865" cy="443865"/>
                    <wp:effectExtent l="0" t="0" r="4445" b="0"/>
                    <wp:wrapNone/>
                    <wp:docPr id="6" name="Tekstvak 5573"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33AE4C8" w14:textId="77777777" w:rsidR="00231E07" w:rsidRPr="00231E07" w:rsidRDefault="00F5309F" w:rsidP="00231E07">
                                <w:pPr>
                                  <w:rPr>
                                    <w:rFonts w:ascii="Calibri" w:eastAsia="Calibri" w:hAnsi="Calibri" w:cs="Calibri"/>
                                    <w:noProof/>
                                    <w:color w:val="000000"/>
                                    <w:sz w:val="20"/>
                                    <w:szCs w:val="20"/>
                                  </w:rPr>
                                </w:pPr>
                                <w:r w:rsidRPr="00231E07">
                                  <w:rPr>
                                    <w:rFonts w:ascii="Calibri" w:eastAsia="Calibri" w:hAnsi="Calibri" w:cs="Calibri"/>
                                    <w:noProof/>
                                    <w:color w:val="000000"/>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F1648C5" id="_x0000_t202" coordsize="21600,21600" o:spt="202" path="m,l,21600r21600,l21600,xe">
                    <v:stroke joinstyle="miter"/>
                    <v:path gradientshapeok="t" o:connecttype="rect"/>
                  </v:shapetype>
                  <v:shape id="Tekstvak 5573" o:spid="_x0000_s1028" type="#_x0000_t202" alt="Intern gebruik" style="position:absolute;margin-left:0;margin-top:0;width:34.95pt;height:34.9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NP/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Wdj93uozjiUg37f3vJNg6W3zIcX5nDBOAeKNjzj&#10;IRW0JYUBUVKD+/E3e4xH3tFLSYuCKalBRVOivhncx2wxz/MosHRD4EawT2B6ly+i3xz1A6AWp/gs&#10;LE8wBgc1QulAv6Gm17EaupjhWLOk+xE+hF6++Ca4WK9TEGrJsrA1O8tj6shZJPS1e2PODqwHXNcT&#10;jJJixTvy+9j4p7frY8AVpM1Efns2B9pRh2m3w5uJQv/1nqKuL3v1Ew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JqDT/w8CAAAhBAAA&#10;DgAAAAAAAAAAAAAAAAAuAgAAZHJzL2Uyb0RvYy54bWxQSwECLQAUAAYACAAAACEA2G08/tcAAAAD&#10;AQAADwAAAAAAAAAAAAAAAABpBAAAZHJzL2Rvd25yZXYueG1sUEsFBgAAAAAEAAQA8wAAAG0FAAAA&#10;AA==&#10;" filled="f" stroked="f">
                    <v:textbox style="mso-fit-shape-to-text:t" inset="20pt,0,0,15pt">
                      <w:txbxContent>
                        <w:p w14:paraId="533AE4C8" w14:textId="77777777" w:rsidR="00231E07" w:rsidRPr="00231E07" w:rsidRDefault="00F5309F" w:rsidP="00231E07">
                          <w:pPr>
                            <w:rPr>
                              <w:rFonts w:ascii="Calibri" w:eastAsia="Calibri" w:hAnsi="Calibri" w:cs="Calibri"/>
                              <w:noProof/>
                              <w:color w:val="000000"/>
                              <w:sz w:val="20"/>
                              <w:szCs w:val="20"/>
                            </w:rPr>
                          </w:pPr>
                          <w:r w:rsidRPr="00231E07">
                            <w:rPr>
                              <w:rFonts w:ascii="Calibri" w:eastAsia="Calibri" w:hAnsi="Calibri" w:cs="Calibri"/>
                              <w:noProof/>
                              <w:color w:val="000000"/>
                              <w:sz w:val="20"/>
                              <w:szCs w:val="20"/>
                            </w:rPr>
                            <w:t>Intern gebruik</w:t>
                          </w:r>
                        </w:p>
                      </w:txbxContent>
                    </v:textbox>
                    <w10:wrap anchorx="page" anchory="page"/>
                  </v:shape>
                </w:pict>
              </mc:Fallback>
            </mc:AlternateContent>
          </w:r>
        </w:p>
      </w:tc>
      <w:tc>
        <w:tcPr>
          <w:tcW w:w="2170" w:type="dxa"/>
        </w:tcPr>
        <w:p w14:paraId="130F1D3A" w14:textId="6AA17E26" w:rsidR="00600B57" w:rsidRPr="00CB7ABA" w:rsidRDefault="00F5309F" w:rsidP="00CB7ABA">
          <w:pPr>
            <w:pStyle w:val="Huisstijl-Paginanummering"/>
          </w:pPr>
          <w:r w:rsidRPr="00CB7ABA">
            <w:t xml:space="preserve">Pagina </w:t>
          </w:r>
          <w:r w:rsidRPr="00CB7ABA">
            <w:fldChar w:fldCharType="begin"/>
          </w:r>
          <w:r w:rsidRPr="00CB7ABA">
            <w:instrText xml:space="preserve"> PAGE   \* MERGEFORMAT </w:instrText>
          </w:r>
          <w:r w:rsidRPr="00CB7ABA">
            <w:fldChar w:fldCharType="separate"/>
          </w:r>
          <w:r w:rsidR="00E650EA">
            <w:t>1</w:t>
          </w:r>
          <w:r w:rsidRPr="00CB7ABA">
            <w:fldChar w:fldCharType="end"/>
          </w:r>
          <w:r w:rsidRPr="00CB7ABA">
            <w:t xml:space="preserve"> van</w:t>
          </w:r>
          <w:r w:rsidRPr="00CB7ABA">
            <w:rPr>
              <w:rStyle w:val="Huisstijl-GegevenCharChar"/>
            </w:rPr>
            <w:t xml:space="preserve"> </w:t>
          </w:r>
          <w:fldSimple w:instr="SECTIONPAGES   \* MERGEFORMAT">
            <w:r w:rsidR="0048649E">
              <w:t>12</w:t>
            </w:r>
          </w:fldSimple>
        </w:p>
      </w:tc>
    </w:tr>
  </w:tbl>
  <w:p w14:paraId="632DCCB3" w14:textId="77777777" w:rsidR="00600B57" w:rsidRPr="00BC3B53" w:rsidRDefault="00600B57" w:rsidP="008C356D">
    <w:pPr>
      <w:pStyle w:val="Voettekst"/>
      <w:spacing w:line="240" w:lineRule="auto"/>
      <w:rPr>
        <w:sz w:val="2"/>
        <w:szCs w:val="2"/>
      </w:rPr>
    </w:pPr>
  </w:p>
  <w:p w14:paraId="6F12D6CD" w14:textId="77777777" w:rsidR="00600B57" w:rsidRPr="00BC3B53" w:rsidRDefault="00600B57"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CC4823" w14:textId="77777777" w:rsidR="00955A51" w:rsidRDefault="00955A51">
      <w:r>
        <w:separator/>
      </w:r>
    </w:p>
    <w:p w14:paraId="04F8286E" w14:textId="77777777" w:rsidR="00955A51" w:rsidRDefault="00955A51"/>
  </w:footnote>
  <w:footnote w:type="continuationSeparator" w:id="0">
    <w:p w14:paraId="3FC8E193" w14:textId="77777777" w:rsidR="00955A51" w:rsidRDefault="00955A51">
      <w:r>
        <w:continuationSeparator/>
      </w:r>
    </w:p>
    <w:p w14:paraId="18828D16" w14:textId="77777777" w:rsidR="00955A51" w:rsidRDefault="00955A51"/>
  </w:footnote>
  <w:footnote w:type="continuationNotice" w:id="1">
    <w:p w14:paraId="247BD898" w14:textId="77777777" w:rsidR="00955A51" w:rsidRDefault="00955A51">
      <w:pPr>
        <w:spacing w:line="240" w:lineRule="auto"/>
      </w:pPr>
    </w:p>
  </w:footnote>
  <w:footnote w:id="2">
    <w:p w14:paraId="0FC1D6E4" w14:textId="77777777" w:rsidR="001B3CA7" w:rsidRDefault="001B3CA7" w:rsidP="001B3CA7">
      <w:pPr>
        <w:pStyle w:val="Voetnoottekst"/>
      </w:pPr>
      <w:r>
        <w:rPr>
          <w:rStyle w:val="Voetnootmarkering"/>
        </w:rPr>
        <w:footnoteRef/>
      </w:r>
      <w:r>
        <w:t xml:space="preserve"> </w:t>
      </w:r>
      <w:r>
        <w:rPr>
          <w:sz w:val="16"/>
          <w:szCs w:val="16"/>
        </w:rPr>
        <w:t>De BoL maatregel betreft een stapsgewijze verhoging toewerkend naar afschaffing van het huidige heffingsplafond in de BoL. Dit heeft gevolgen voor de grotere verbruikers van meer dan 300 kuub leidingwater/jaar en is vrijwel gericht op bedrijven. Ter illustratie: een gemiddeld vierpersoonshuishouden gebruikt 164 kuub leidingwater/jaar (bron: CBS).</w:t>
      </w:r>
    </w:p>
    <w:p w14:paraId="1A5DADFD" w14:textId="77777777" w:rsidR="001B3CA7" w:rsidRDefault="001B3CA7" w:rsidP="001B3CA7">
      <w:pPr>
        <w:pStyle w:val="Voetnoottekst"/>
      </w:pPr>
    </w:p>
  </w:footnote>
  <w:footnote w:id="3">
    <w:p w14:paraId="02A7F42B" w14:textId="77777777" w:rsidR="00EF5B18" w:rsidRPr="007F6CE2" w:rsidRDefault="00EF5B18" w:rsidP="00EF5B18">
      <w:pPr>
        <w:pStyle w:val="Voetnoottekst"/>
        <w:rPr>
          <w:sz w:val="14"/>
          <w:szCs w:val="14"/>
        </w:rPr>
      </w:pPr>
      <w:r w:rsidRPr="007F6CE2">
        <w:rPr>
          <w:rStyle w:val="Voetnootmarkering"/>
          <w:sz w:val="14"/>
          <w:szCs w:val="14"/>
        </w:rPr>
        <w:footnoteRef/>
      </w:r>
      <w:r w:rsidRPr="007F6CE2">
        <w:rPr>
          <w:sz w:val="14"/>
          <w:szCs w:val="14"/>
        </w:rPr>
        <w:t xml:space="preserve"> Deze maatregel moet nog integraal doorgerekend worden. Budgettair beslag (zonder gedragseffecten en kruiselasticiteiten) is circa -€13 mln in 2026, oplopend tot -€50 mln. in 2030.  </w:t>
      </w:r>
    </w:p>
  </w:footnote>
  <w:footnote w:id="4">
    <w:p w14:paraId="004ED7F0" w14:textId="77777777" w:rsidR="00EF5B18" w:rsidRPr="00DD224D" w:rsidRDefault="00EF5B18" w:rsidP="00EF5B18">
      <w:pPr>
        <w:pStyle w:val="Voetnoottekst"/>
        <w:rPr>
          <w:sz w:val="14"/>
          <w:szCs w:val="14"/>
        </w:rPr>
      </w:pPr>
      <w:r w:rsidRPr="00DD224D">
        <w:rPr>
          <w:rStyle w:val="Voetnootmarkering"/>
          <w:sz w:val="14"/>
          <w:szCs w:val="14"/>
        </w:rPr>
        <w:footnoteRef/>
      </w:r>
      <w:r w:rsidRPr="00DD224D">
        <w:rPr>
          <w:sz w:val="14"/>
          <w:szCs w:val="14"/>
        </w:rPr>
        <w:t xml:space="preserve"> Dat zijn kampeerwagens, gepantserde voertuigen, ambulances, lijkwagens en voor rolstoelen toegankelijk voertuigen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E29879" w14:textId="77777777" w:rsidR="00600B57" w:rsidRDefault="00600B57" w:rsidP="008C356D">
    <w:pPr>
      <w:pStyle w:val="Koptekst"/>
      <w:rPr>
        <w:rFonts w:cs="Verdana-Bold"/>
        <w:b/>
        <w:bCs/>
        <w:smallCaps/>
        <w:szCs w:val="18"/>
      </w:rPr>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1A0A43" w14:paraId="1FB5896B" w14:textId="77777777" w:rsidTr="005558E0">
      <w:tc>
        <w:tcPr>
          <w:tcW w:w="2160" w:type="dxa"/>
          <w:shd w:val="clear" w:color="auto" w:fill="auto"/>
        </w:tcPr>
        <w:p w14:paraId="42004721" w14:textId="77777777" w:rsidR="00600B57" w:rsidRPr="00044613" w:rsidRDefault="00F5309F" w:rsidP="005558E0">
          <w:pPr>
            <w:pStyle w:val="Huisstijl-Adres"/>
          </w:pPr>
          <w:r>
            <w:rPr>
              <w:b/>
            </w:rPr>
            <w:t>Directoraat-generaal Klimaat en Energie</w:t>
          </w:r>
          <w:r>
            <w:rPr>
              <w:b/>
            </w:rPr>
            <w:br/>
          </w:r>
        </w:p>
      </w:tc>
    </w:tr>
    <w:tr w:rsidR="001A0A43" w14:paraId="5CB272E6" w14:textId="77777777" w:rsidTr="005558E0">
      <w:trPr>
        <w:trHeight w:hRule="exact" w:val="200"/>
      </w:trPr>
      <w:tc>
        <w:tcPr>
          <w:tcW w:w="2160" w:type="dxa"/>
          <w:shd w:val="clear" w:color="auto" w:fill="auto"/>
        </w:tcPr>
        <w:p w14:paraId="12658BD7" w14:textId="77777777" w:rsidR="00600B57" w:rsidRPr="005819CE" w:rsidRDefault="00600B57" w:rsidP="005558E0"/>
      </w:tc>
    </w:tr>
    <w:tr w:rsidR="001A0A43" w14:paraId="0BBCA74E" w14:textId="77777777" w:rsidTr="005558E0">
      <w:tc>
        <w:tcPr>
          <w:tcW w:w="2160" w:type="dxa"/>
          <w:shd w:val="clear" w:color="auto" w:fill="auto"/>
        </w:tcPr>
        <w:p w14:paraId="44EEB972" w14:textId="77777777" w:rsidR="00600B57" w:rsidRPr="005819CE" w:rsidRDefault="00F5309F" w:rsidP="005558E0">
          <w:pPr>
            <w:pStyle w:val="Huisstijl-Kopje"/>
          </w:pPr>
          <w:r>
            <w:t>Ons kenmerk</w:t>
          </w:r>
        </w:p>
        <w:p w14:paraId="154D26BB" w14:textId="77777777" w:rsidR="00600B57" w:rsidRDefault="00F5309F" w:rsidP="005558E0">
          <w:pPr>
            <w:pStyle w:val="Huisstijl-Gegeven"/>
          </w:pPr>
          <w:r>
            <w:t xml:space="preserve">DGKE / </w:t>
          </w:r>
        </w:p>
        <w:p w14:paraId="4BD37F04" w14:textId="77777777" w:rsidR="00600B57" w:rsidRPr="005819CE" w:rsidRDefault="00600B57" w:rsidP="005558E0">
          <w:pPr>
            <w:pStyle w:val="Huisstijl-Gegeven"/>
          </w:pPr>
        </w:p>
      </w:tc>
    </w:tr>
  </w:tbl>
  <w:p w14:paraId="07B808B6" w14:textId="77777777" w:rsidR="00600B57" w:rsidRDefault="00600B57" w:rsidP="004F44C2">
    <w:pPr>
      <w:pStyle w:val="Koptekst"/>
      <w:rPr>
        <w:rFonts w:cs="Verdana-Bold"/>
        <w:b/>
        <w:bCs/>
        <w:smallCaps/>
        <w:szCs w:val="18"/>
      </w:rPr>
    </w:pPr>
  </w:p>
  <w:p w14:paraId="3A32DBF9" w14:textId="77777777" w:rsidR="00600B57" w:rsidRDefault="00600B57" w:rsidP="004F44C2"/>
  <w:p w14:paraId="4C2DBF97" w14:textId="77777777" w:rsidR="00600B57" w:rsidRPr="00740712" w:rsidRDefault="00600B57" w:rsidP="004F44C2"/>
  <w:p w14:paraId="121BDF6C" w14:textId="77777777" w:rsidR="00600B57" w:rsidRPr="00217880" w:rsidRDefault="00600B57"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1A0A43" w14:paraId="632DF401" w14:textId="77777777" w:rsidTr="003B7675">
      <w:trPr>
        <w:trHeight w:val="2636"/>
      </w:trPr>
      <w:tc>
        <w:tcPr>
          <w:tcW w:w="737" w:type="dxa"/>
          <w:shd w:val="clear" w:color="auto" w:fill="auto"/>
        </w:tcPr>
        <w:p w14:paraId="2CBB558F" w14:textId="77777777" w:rsidR="00600B57" w:rsidRDefault="00F5309F" w:rsidP="00044613">
          <w:pPr>
            <w:framePr w:w="6340" w:h="2750" w:hRule="exact" w:hSpace="180" w:wrap="around" w:vAnchor="page" w:hAnchor="text" w:x="3873" w:y="-70"/>
            <w:spacing w:line="240" w:lineRule="auto"/>
          </w:pPr>
          <w:r>
            <w:rPr>
              <w:noProof/>
              <w:lang w:val="en-US" w:eastAsia="en-US"/>
            </w:rPr>
            <w:drawing>
              <wp:inline distT="0" distB="0" distL="0" distR="0" wp14:anchorId="48DACD64" wp14:editId="0D063E63">
                <wp:extent cx="466725" cy="1581150"/>
                <wp:effectExtent l="0" t="0" r="0" b="0"/>
                <wp:docPr id="1" name="Picture 9" descr="Rijkslint Zw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9" descr="Rijkslint Zwart"/>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466725" cy="1581150"/>
                        </a:xfrm>
                        <a:prstGeom prst="rect">
                          <a:avLst/>
                        </a:prstGeom>
                        <a:noFill/>
                        <a:ln>
                          <a:noFill/>
                        </a:ln>
                      </pic:spPr>
                    </pic:pic>
                  </a:graphicData>
                </a:graphic>
              </wp:inline>
            </w:drawing>
          </w:r>
        </w:p>
      </w:tc>
      <w:tc>
        <w:tcPr>
          <w:tcW w:w="5156" w:type="dxa"/>
          <w:shd w:val="clear" w:color="auto" w:fill="auto"/>
        </w:tcPr>
        <w:p w14:paraId="29CE1CA7" w14:textId="035BFA24" w:rsidR="00600B57" w:rsidRPr="00DB5138" w:rsidRDefault="00600B57" w:rsidP="00044613">
          <w:pPr>
            <w:framePr w:w="6340" w:h="2750" w:hRule="exact" w:hSpace="180" w:wrap="around" w:vAnchor="page" w:hAnchor="text" w:x="3873" w:y="-70"/>
            <w:spacing w:line="240" w:lineRule="auto"/>
          </w:pPr>
        </w:p>
      </w:tc>
    </w:tr>
  </w:tbl>
  <w:p w14:paraId="74F6B32F" w14:textId="77777777" w:rsidR="00600B57" w:rsidRDefault="00600B57" w:rsidP="00044613">
    <w:pPr>
      <w:framePr w:w="6340" w:h="2750" w:hRule="exact" w:hSpace="180" w:wrap="around" w:vAnchor="page" w:hAnchor="text" w:x="3873" w:y="-70"/>
    </w:pPr>
  </w:p>
  <w:p w14:paraId="374516B3" w14:textId="77777777" w:rsidR="00600B57" w:rsidRDefault="00600B57"/>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1A0A43" w:rsidRPr="00A35D4A" w14:paraId="2C22CE95" w14:textId="77777777" w:rsidTr="005558E0">
      <w:tc>
        <w:tcPr>
          <w:tcW w:w="2160" w:type="dxa"/>
          <w:shd w:val="clear" w:color="auto" w:fill="auto"/>
        </w:tcPr>
        <w:p w14:paraId="708497FB" w14:textId="77777777" w:rsidR="00600B57" w:rsidRPr="00F9751C" w:rsidRDefault="00F5309F" w:rsidP="005558E0">
          <w:pPr>
            <w:pStyle w:val="Huisstijl-Adres"/>
          </w:pPr>
          <w:r>
            <w:rPr>
              <w:b/>
            </w:rPr>
            <w:t>Directoraat-generaal Klimaat en Energie</w:t>
          </w:r>
          <w:r w:rsidRPr="00F9751C">
            <w:rPr>
              <w:b/>
            </w:rPr>
            <w:br/>
          </w:r>
          <w:r w:rsidR="008C46DF" w:rsidRPr="00F9751C">
            <w:t xml:space="preserve"> </w:t>
          </w:r>
        </w:p>
        <w:p w14:paraId="64765EE1" w14:textId="262ECAF4" w:rsidR="00600B57" w:rsidRPr="00A35D4A" w:rsidRDefault="00F5309F" w:rsidP="00A35D4A">
          <w:pPr>
            <w:pStyle w:val="Huisstijl-Adres"/>
          </w:pPr>
          <w:r>
            <w:rPr>
              <w:b/>
            </w:rPr>
            <w:t>Behandeld door</w:t>
          </w:r>
          <w:r w:rsidRPr="00F9751C">
            <w:rPr>
              <w:b/>
            </w:rPr>
            <w:br/>
          </w:r>
        </w:p>
      </w:tc>
    </w:tr>
    <w:tr w:rsidR="001A0A43" w:rsidRPr="00A35D4A" w14:paraId="387BF083" w14:textId="77777777" w:rsidTr="005558E0">
      <w:trPr>
        <w:trHeight w:hRule="exact" w:val="200"/>
      </w:trPr>
      <w:tc>
        <w:tcPr>
          <w:tcW w:w="2160" w:type="dxa"/>
          <w:shd w:val="clear" w:color="auto" w:fill="auto"/>
        </w:tcPr>
        <w:p w14:paraId="4E5BF2BC" w14:textId="77777777" w:rsidR="00600B57" w:rsidRPr="00A35D4A" w:rsidRDefault="00600B57" w:rsidP="005558E0"/>
      </w:tc>
    </w:tr>
    <w:tr w:rsidR="001A0A43" w14:paraId="5F040DE4" w14:textId="77777777" w:rsidTr="005558E0">
      <w:tc>
        <w:tcPr>
          <w:tcW w:w="2160" w:type="dxa"/>
          <w:shd w:val="clear" w:color="auto" w:fill="auto"/>
        </w:tcPr>
        <w:p w14:paraId="05C69FBE" w14:textId="77777777" w:rsidR="00600B57" w:rsidRPr="00F9751C" w:rsidRDefault="00F5309F" w:rsidP="005558E0">
          <w:pPr>
            <w:pStyle w:val="Huisstijl-Kopje"/>
          </w:pPr>
          <w:r>
            <w:t>Datum</w:t>
          </w:r>
        </w:p>
        <w:p w14:paraId="07651EB5" w14:textId="77777777" w:rsidR="00517735" w:rsidRDefault="00517735" w:rsidP="005558E0">
          <w:pPr>
            <w:pStyle w:val="Huisstijl-Kopje"/>
          </w:pPr>
        </w:p>
        <w:p w14:paraId="658AD54C" w14:textId="4523BF0D" w:rsidR="00600B57" w:rsidRPr="00F9751C" w:rsidRDefault="00F5309F" w:rsidP="005558E0">
          <w:pPr>
            <w:pStyle w:val="Huisstijl-Kopje"/>
          </w:pPr>
          <w:r>
            <w:t>Kenmerk</w:t>
          </w:r>
        </w:p>
        <w:p w14:paraId="49D687ED" w14:textId="77777777" w:rsidR="00517735" w:rsidRDefault="00517735" w:rsidP="005558E0">
          <w:pPr>
            <w:pStyle w:val="Huisstijl-Kopje"/>
          </w:pPr>
        </w:p>
        <w:p w14:paraId="313C47F1" w14:textId="60EEF269" w:rsidR="00600B57" w:rsidRPr="00F9751C" w:rsidRDefault="00F5309F" w:rsidP="005558E0">
          <w:pPr>
            <w:pStyle w:val="Huisstijl-Kopje"/>
          </w:pPr>
          <w:r w:rsidRPr="00F9751C">
            <w:t>Bijlage</w:t>
          </w:r>
          <w:r>
            <w:t>(</w:t>
          </w:r>
          <w:r w:rsidRPr="00F9751C">
            <w:t>n</w:t>
          </w:r>
          <w:r>
            <w:t>)</w:t>
          </w:r>
        </w:p>
        <w:p w14:paraId="70A0AC6F" w14:textId="77777777" w:rsidR="00600B57" w:rsidRPr="00F0379C" w:rsidRDefault="00600B57" w:rsidP="005558E0">
          <w:pPr>
            <w:pStyle w:val="Huisstijl-Gegeven"/>
          </w:pPr>
        </w:p>
      </w:tc>
    </w:tr>
  </w:tbl>
  <w:p w14:paraId="3995CF80" w14:textId="77777777" w:rsidR="00604CD1" w:rsidRPr="00604CD1" w:rsidRDefault="00604CD1" w:rsidP="00604CD1">
    <w:pPr>
      <w:rPr>
        <w:vanish/>
      </w:rPr>
    </w:pPr>
  </w:p>
  <w:tbl>
    <w:tblPr>
      <w:tblW w:w="7371" w:type="dxa"/>
      <w:tblLayout w:type="fixed"/>
      <w:tblCellMar>
        <w:left w:w="0" w:type="dxa"/>
        <w:right w:w="0" w:type="dxa"/>
      </w:tblCellMar>
      <w:tblLook w:val="0000" w:firstRow="0" w:lastRow="0" w:firstColumn="0" w:lastColumn="0" w:noHBand="0" w:noVBand="0"/>
    </w:tblPr>
    <w:tblGrid>
      <w:gridCol w:w="2176"/>
      <w:gridCol w:w="5195"/>
    </w:tblGrid>
    <w:tr w:rsidR="001A0A43" w14:paraId="7879291C" w14:textId="77777777" w:rsidTr="00A62791">
      <w:trPr>
        <w:trHeight w:val="400"/>
      </w:trPr>
      <w:tc>
        <w:tcPr>
          <w:tcW w:w="7371" w:type="dxa"/>
          <w:gridSpan w:val="2"/>
          <w:shd w:val="clear" w:color="auto" w:fill="auto"/>
        </w:tcPr>
        <w:p w14:paraId="43463C03" w14:textId="77777777" w:rsidR="00600B57" w:rsidRPr="00B349FA" w:rsidRDefault="00600B57" w:rsidP="009D5D50"/>
      </w:tc>
    </w:tr>
    <w:tr w:rsidR="001A0A43" w14:paraId="1F4C2E47" w14:textId="77777777" w:rsidTr="00A62791">
      <w:trPr>
        <w:trHeight w:hRule="exact" w:val="1880"/>
      </w:trPr>
      <w:tc>
        <w:tcPr>
          <w:tcW w:w="7371" w:type="dxa"/>
          <w:gridSpan w:val="2"/>
          <w:shd w:val="clear" w:color="auto" w:fill="auto"/>
        </w:tcPr>
        <w:p w14:paraId="5B2B1832" w14:textId="77777777" w:rsidR="00600B57" w:rsidRDefault="00600B57" w:rsidP="00925121">
          <w:pPr>
            <w:pStyle w:val="Huisstijl-NAW"/>
          </w:pPr>
        </w:p>
      </w:tc>
    </w:tr>
    <w:tr w:rsidR="001A0A43" w14:paraId="506BE589" w14:textId="77777777" w:rsidTr="00A62791">
      <w:trPr>
        <w:trHeight w:val="460"/>
      </w:trPr>
      <w:tc>
        <w:tcPr>
          <w:tcW w:w="2176" w:type="dxa"/>
          <w:vMerge w:val="restart"/>
          <w:shd w:val="clear" w:color="auto" w:fill="auto"/>
        </w:tcPr>
        <w:p w14:paraId="489813CA" w14:textId="77777777" w:rsidR="00600B57" w:rsidRDefault="00F5309F" w:rsidP="009D5D50">
          <w:r>
            <w:rPr>
              <w:noProof/>
              <w:lang w:val="en-US" w:eastAsia="en-US"/>
            </w:rPr>
            <w:drawing>
              <wp:inline distT="0" distB="0" distL="0" distR="0" wp14:anchorId="66D13205" wp14:editId="0278CB27">
                <wp:extent cx="1238250" cy="533400"/>
                <wp:effectExtent l="0" t="0" r="0" b="0"/>
                <wp:docPr id="3" name="Picture 38" descr="Agen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8" descr="Agenda"/>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238250" cy="533400"/>
                        </a:xfrm>
                        <a:prstGeom prst="rect">
                          <a:avLst/>
                        </a:prstGeom>
                        <a:noFill/>
                        <a:ln>
                          <a:noFill/>
                        </a:ln>
                      </pic:spPr>
                    </pic:pic>
                  </a:graphicData>
                </a:graphic>
              </wp:inline>
            </w:drawing>
          </w:r>
        </w:p>
      </w:tc>
      <w:tc>
        <w:tcPr>
          <w:tcW w:w="5195" w:type="dxa"/>
          <w:shd w:val="clear" w:color="auto" w:fill="auto"/>
        </w:tcPr>
        <w:p w14:paraId="0D3BF67E" w14:textId="77777777" w:rsidR="00600B57" w:rsidRDefault="00600B57" w:rsidP="009D5D50"/>
      </w:tc>
    </w:tr>
    <w:tr w:rsidR="001A0A43" w14:paraId="6085A6BE" w14:textId="77777777" w:rsidTr="00A62791">
      <w:trPr>
        <w:trHeight w:val="560"/>
      </w:trPr>
      <w:tc>
        <w:tcPr>
          <w:tcW w:w="2176" w:type="dxa"/>
          <w:vMerge/>
          <w:tcBorders>
            <w:bottom w:val="dotted" w:sz="4" w:space="0" w:color="auto"/>
          </w:tcBorders>
          <w:shd w:val="clear" w:color="auto" w:fill="auto"/>
        </w:tcPr>
        <w:p w14:paraId="5651A796" w14:textId="77777777" w:rsidR="00600B57" w:rsidRDefault="00600B57" w:rsidP="009D5D50"/>
      </w:tc>
      <w:tc>
        <w:tcPr>
          <w:tcW w:w="5195" w:type="dxa"/>
          <w:tcBorders>
            <w:bottom w:val="dotted" w:sz="4" w:space="0" w:color="auto"/>
          </w:tcBorders>
          <w:shd w:val="clear" w:color="auto" w:fill="auto"/>
        </w:tcPr>
        <w:p w14:paraId="15971823" w14:textId="77777777" w:rsidR="00600B57" w:rsidRPr="007402E0" w:rsidRDefault="00600B57" w:rsidP="009D5D50"/>
      </w:tc>
    </w:tr>
    <w:tr w:rsidR="001A0A43" w14:paraId="206C6D3C" w14:textId="77777777" w:rsidTr="00A62791">
      <w:trPr>
        <w:trHeight w:hRule="exact" w:val="238"/>
      </w:trPr>
      <w:tc>
        <w:tcPr>
          <w:tcW w:w="2176" w:type="dxa"/>
          <w:tcBorders>
            <w:top w:val="dotted" w:sz="4" w:space="0" w:color="auto"/>
          </w:tcBorders>
          <w:shd w:val="clear" w:color="auto" w:fill="auto"/>
        </w:tcPr>
        <w:p w14:paraId="025AB16D" w14:textId="77777777" w:rsidR="00863AA8" w:rsidRDefault="00863AA8" w:rsidP="00925121">
          <w:pPr>
            <w:pStyle w:val="Huisstijl-Gegeven"/>
            <w:rPr>
              <w:noProof w:val="0"/>
            </w:rPr>
          </w:pPr>
        </w:p>
      </w:tc>
      <w:tc>
        <w:tcPr>
          <w:tcW w:w="5195" w:type="dxa"/>
          <w:tcBorders>
            <w:top w:val="dotted" w:sz="4" w:space="0" w:color="auto"/>
          </w:tcBorders>
          <w:shd w:val="clear" w:color="auto" w:fill="auto"/>
        </w:tcPr>
        <w:p w14:paraId="6C555360" w14:textId="77777777" w:rsidR="00863AA8" w:rsidRPr="00863AA8" w:rsidRDefault="00863AA8" w:rsidP="00863AA8">
          <w:pPr>
            <w:spacing w:line="120" w:lineRule="exact"/>
            <w:rPr>
              <w:sz w:val="9"/>
              <w:szCs w:val="9"/>
            </w:rPr>
          </w:pPr>
        </w:p>
      </w:tc>
    </w:tr>
    <w:tr w:rsidR="001A0A43" w14:paraId="399A5640" w14:textId="77777777" w:rsidTr="00A62791">
      <w:trPr>
        <w:trHeight w:val="238"/>
      </w:trPr>
      <w:tc>
        <w:tcPr>
          <w:tcW w:w="2176" w:type="dxa"/>
          <w:shd w:val="clear" w:color="auto" w:fill="auto"/>
        </w:tcPr>
        <w:p w14:paraId="7AA75BCD" w14:textId="77777777" w:rsidR="00600B57" w:rsidRDefault="00F5309F" w:rsidP="00925121">
          <w:pPr>
            <w:pStyle w:val="Huisstijl-Gegeven"/>
            <w:rPr>
              <w:noProof w:val="0"/>
            </w:rPr>
          </w:pPr>
          <w:r>
            <w:rPr>
              <w:noProof w:val="0"/>
            </w:rPr>
            <w:t>Omschrijving</w:t>
          </w:r>
        </w:p>
      </w:tc>
      <w:tc>
        <w:tcPr>
          <w:tcW w:w="5195" w:type="dxa"/>
          <w:shd w:val="clear" w:color="auto" w:fill="auto"/>
        </w:tcPr>
        <w:p w14:paraId="0179D2D8" w14:textId="2D61081E" w:rsidR="00600B57" w:rsidRDefault="00A62791" w:rsidP="009D5D50">
          <w:r w:rsidRPr="00A62791">
            <w:t>Bespreken sectorale voorstellen klimaat</w:t>
          </w:r>
          <w:r w:rsidR="00402144">
            <w:t>-</w:t>
          </w:r>
          <w:r w:rsidRPr="00A62791">
            <w:t xml:space="preserve"> en energiemaatregelen </w:t>
          </w:r>
          <w:r w:rsidR="00402144">
            <w:t>m</w:t>
          </w:r>
          <w:r w:rsidR="00845A01">
            <w:t>obilite</w:t>
          </w:r>
          <w:r w:rsidR="00BE3C11">
            <w:t>i</w:t>
          </w:r>
          <w:r w:rsidR="00845A01">
            <w:t xml:space="preserve">t </w:t>
          </w:r>
          <w:r w:rsidRPr="00A62791">
            <w:t xml:space="preserve">met </w:t>
          </w:r>
          <w:r w:rsidR="00845A01">
            <w:t>SI&amp;W</w:t>
          </w:r>
          <w:r w:rsidRPr="00A62791">
            <w:t>,</w:t>
          </w:r>
          <w:r w:rsidR="00007994">
            <w:t xml:space="preserve"> </w:t>
          </w:r>
          <w:proofErr w:type="spellStart"/>
          <w:r w:rsidR="00007994">
            <w:t>MIenW</w:t>
          </w:r>
          <w:proofErr w:type="spellEnd"/>
          <w:r w:rsidR="00517735">
            <w:t>,</w:t>
          </w:r>
          <w:r w:rsidRPr="00A62791">
            <w:t xml:space="preserve"> SFIN</w:t>
          </w:r>
          <w:r w:rsidR="00402144">
            <w:t>,</w:t>
          </w:r>
          <w:r w:rsidRPr="00A62791">
            <w:t xml:space="preserve"> MKGG</w:t>
          </w:r>
          <w:r w:rsidR="00402144">
            <w:t xml:space="preserve"> en ambtelijk AZ</w:t>
          </w:r>
        </w:p>
      </w:tc>
    </w:tr>
    <w:tr w:rsidR="001A0A43" w14:paraId="6D420F66" w14:textId="77777777" w:rsidTr="00A62791">
      <w:trPr>
        <w:trHeight w:val="238"/>
      </w:trPr>
      <w:tc>
        <w:tcPr>
          <w:tcW w:w="2176" w:type="dxa"/>
          <w:shd w:val="clear" w:color="auto" w:fill="auto"/>
        </w:tcPr>
        <w:p w14:paraId="7AB1BB86" w14:textId="77777777" w:rsidR="00600B57" w:rsidRDefault="00F5309F" w:rsidP="00925121">
          <w:pPr>
            <w:pStyle w:val="Huisstijl-Gegeven"/>
            <w:rPr>
              <w:noProof w:val="0"/>
            </w:rPr>
          </w:pPr>
          <w:r>
            <w:rPr>
              <w:noProof w:val="0"/>
            </w:rPr>
            <w:t>Vergaderdatum en -tijd</w:t>
          </w:r>
        </w:p>
      </w:tc>
      <w:tc>
        <w:tcPr>
          <w:tcW w:w="5195" w:type="dxa"/>
          <w:shd w:val="clear" w:color="auto" w:fill="auto"/>
        </w:tcPr>
        <w:p w14:paraId="0F73EC6F" w14:textId="5A77628F" w:rsidR="00600B57" w:rsidRDefault="00402144" w:rsidP="009D5D50">
          <w:r>
            <w:t>Woensdag 19 maart van 16:30 tot 17:30 uur</w:t>
          </w:r>
        </w:p>
      </w:tc>
    </w:tr>
    <w:tr w:rsidR="001A0A43" w14:paraId="74D275DB" w14:textId="77777777" w:rsidTr="00A62791">
      <w:trPr>
        <w:trHeight w:val="238"/>
      </w:trPr>
      <w:tc>
        <w:tcPr>
          <w:tcW w:w="2176" w:type="dxa"/>
          <w:shd w:val="clear" w:color="auto" w:fill="auto"/>
        </w:tcPr>
        <w:p w14:paraId="1A55BB49" w14:textId="77777777" w:rsidR="00863AA8" w:rsidRPr="00E5008B" w:rsidRDefault="00F5309F" w:rsidP="00925121">
          <w:pPr>
            <w:pStyle w:val="Huisstijl-Gegeven"/>
            <w:rPr>
              <w:noProof w:val="0"/>
            </w:rPr>
          </w:pPr>
          <w:r w:rsidRPr="00E5008B">
            <w:rPr>
              <w:noProof w:val="0"/>
            </w:rPr>
            <w:t>Locatie</w:t>
          </w:r>
        </w:p>
      </w:tc>
      <w:tc>
        <w:tcPr>
          <w:tcW w:w="5195" w:type="dxa"/>
          <w:shd w:val="clear" w:color="auto" w:fill="auto"/>
        </w:tcPr>
        <w:p w14:paraId="65FEA37A" w14:textId="49BFDE5B" w:rsidR="00863AA8" w:rsidRPr="00E5008B" w:rsidRDefault="00402144" w:rsidP="009D5D50">
          <w:r w:rsidRPr="00E5008B">
            <w:t xml:space="preserve">Ministerie van KGG, </w:t>
          </w:r>
          <w:proofErr w:type="spellStart"/>
          <w:r w:rsidRPr="00E5008B">
            <w:t>Bezuidenhoutseweg</w:t>
          </w:r>
          <w:proofErr w:type="spellEnd"/>
          <w:r w:rsidRPr="00E5008B">
            <w:t xml:space="preserve"> 73</w:t>
          </w:r>
          <w:r w:rsidR="00E5008B" w:rsidRPr="00E5008B">
            <w:t xml:space="preserve"> (Blauwe Zaal)</w:t>
          </w:r>
        </w:p>
      </w:tc>
    </w:tr>
    <w:tr w:rsidR="001A0A43" w14:paraId="4BEADEEE" w14:textId="77777777" w:rsidTr="00A62791">
      <w:trPr>
        <w:trHeight w:hRule="exact" w:val="238"/>
      </w:trPr>
      <w:tc>
        <w:tcPr>
          <w:tcW w:w="2176" w:type="dxa"/>
          <w:tcBorders>
            <w:bottom w:val="dotted" w:sz="4" w:space="0" w:color="auto"/>
          </w:tcBorders>
          <w:shd w:val="clear" w:color="auto" w:fill="auto"/>
        </w:tcPr>
        <w:p w14:paraId="49003A09" w14:textId="77777777" w:rsidR="00600B57" w:rsidRDefault="00600B57" w:rsidP="00925121">
          <w:pPr>
            <w:pStyle w:val="Huisstijl-Gegeven"/>
            <w:rPr>
              <w:noProof w:val="0"/>
            </w:rPr>
          </w:pPr>
        </w:p>
      </w:tc>
      <w:tc>
        <w:tcPr>
          <w:tcW w:w="5195" w:type="dxa"/>
          <w:tcBorders>
            <w:bottom w:val="dotted" w:sz="4" w:space="0" w:color="auto"/>
          </w:tcBorders>
          <w:shd w:val="clear" w:color="auto" w:fill="auto"/>
        </w:tcPr>
        <w:p w14:paraId="28BF3F44" w14:textId="77777777" w:rsidR="00600B57" w:rsidRDefault="00600B57" w:rsidP="00863AA8">
          <w:pPr>
            <w:spacing w:line="240" w:lineRule="exact"/>
          </w:pPr>
        </w:p>
      </w:tc>
    </w:tr>
  </w:tbl>
  <w:p w14:paraId="0C773864" w14:textId="77777777" w:rsidR="00600B57" w:rsidRPr="00BC4AE3" w:rsidRDefault="00600B57" w:rsidP="0004461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95CBA"/>
    <w:multiLevelType w:val="multilevel"/>
    <w:tmpl w:val="1DF0DA74"/>
    <w:lvl w:ilvl="0">
      <w:start w:val="1"/>
      <w:numFmt w:val="bullet"/>
      <w:lvlText w:val=""/>
      <w:lvlJc w:val="left"/>
      <w:pPr>
        <w:tabs>
          <w:tab w:val="num" w:pos="1069"/>
        </w:tabs>
        <w:ind w:left="1069" w:hanging="360"/>
      </w:pPr>
      <w:rPr>
        <w:rFonts w:ascii="Symbol" w:hAnsi="Symbol" w:hint="default"/>
        <w:sz w:val="20"/>
      </w:rPr>
    </w:lvl>
    <w:lvl w:ilvl="1" w:tentative="1">
      <w:start w:val="1"/>
      <w:numFmt w:val="bullet"/>
      <w:lvlText w:val="o"/>
      <w:lvlJc w:val="left"/>
      <w:pPr>
        <w:tabs>
          <w:tab w:val="num" w:pos="1789"/>
        </w:tabs>
        <w:ind w:left="1789" w:hanging="360"/>
      </w:pPr>
      <w:rPr>
        <w:rFonts w:ascii="Courier New" w:hAnsi="Courier New" w:hint="default"/>
        <w:sz w:val="20"/>
      </w:rPr>
    </w:lvl>
    <w:lvl w:ilvl="2" w:tentative="1">
      <w:start w:val="1"/>
      <w:numFmt w:val="bullet"/>
      <w:lvlText w:val=""/>
      <w:lvlJc w:val="left"/>
      <w:pPr>
        <w:tabs>
          <w:tab w:val="num" w:pos="2509"/>
        </w:tabs>
        <w:ind w:left="2509" w:hanging="360"/>
      </w:pPr>
      <w:rPr>
        <w:rFonts w:ascii="Wingdings" w:hAnsi="Wingdings" w:hint="default"/>
        <w:sz w:val="20"/>
      </w:rPr>
    </w:lvl>
    <w:lvl w:ilvl="3" w:tentative="1">
      <w:start w:val="1"/>
      <w:numFmt w:val="bullet"/>
      <w:lvlText w:val=""/>
      <w:lvlJc w:val="left"/>
      <w:pPr>
        <w:tabs>
          <w:tab w:val="num" w:pos="3229"/>
        </w:tabs>
        <w:ind w:left="3229" w:hanging="360"/>
      </w:pPr>
      <w:rPr>
        <w:rFonts w:ascii="Wingdings" w:hAnsi="Wingdings" w:hint="default"/>
        <w:sz w:val="20"/>
      </w:rPr>
    </w:lvl>
    <w:lvl w:ilvl="4" w:tentative="1">
      <w:start w:val="1"/>
      <w:numFmt w:val="bullet"/>
      <w:lvlText w:val=""/>
      <w:lvlJc w:val="left"/>
      <w:pPr>
        <w:tabs>
          <w:tab w:val="num" w:pos="3949"/>
        </w:tabs>
        <w:ind w:left="3949" w:hanging="360"/>
      </w:pPr>
      <w:rPr>
        <w:rFonts w:ascii="Wingdings" w:hAnsi="Wingdings" w:hint="default"/>
        <w:sz w:val="20"/>
      </w:rPr>
    </w:lvl>
    <w:lvl w:ilvl="5" w:tentative="1">
      <w:start w:val="1"/>
      <w:numFmt w:val="bullet"/>
      <w:lvlText w:val=""/>
      <w:lvlJc w:val="left"/>
      <w:pPr>
        <w:tabs>
          <w:tab w:val="num" w:pos="4669"/>
        </w:tabs>
        <w:ind w:left="4669" w:hanging="360"/>
      </w:pPr>
      <w:rPr>
        <w:rFonts w:ascii="Wingdings" w:hAnsi="Wingdings" w:hint="default"/>
        <w:sz w:val="20"/>
      </w:rPr>
    </w:lvl>
    <w:lvl w:ilvl="6" w:tentative="1">
      <w:start w:val="1"/>
      <w:numFmt w:val="bullet"/>
      <w:lvlText w:val=""/>
      <w:lvlJc w:val="left"/>
      <w:pPr>
        <w:tabs>
          <w:tab w:val="num" w:pos="5389"/>
        </w:tabs>
        <w:ind w:left="5389" w:hanging="360"/>
      </w:pPr>
      <w:rPr>
        <w:rFonts w:ascii="Wingdings" w:hAnsi="Wingdings" w:hint="default"/>
        <w:sz w:val="20"/>
      </w:rPr>
    </w:lvl>
    <w:lvl w:ilvl="7" w:tentative="1">
      <w:start w:val="1"/>
      <w:numFmt w:val="bullet"/>
      <w:lvlText w:val=""/>
      <w:lvlJc w:val="left"/>
      <w:pPr>
        <w:tabs>
          <w:tab w:val="num" w:pos="6109"/>
        </w:tabs>
        <w:ind w:left="6109" w:hanging="360"/>
      </w:pPr>
      <w:rPr>
        <w:rFonts w:ascii="Wingdings" w:hAnsi="Wingdings" w:hint="default"/>
        <w:sz w:val="20"/>
      </w:rPr>
    </w:lvl>
    <w:lvl w:ilvl="8" w:tentative="1">
      <w:start w:val="1"/>
      <w:numFmt w:val="bullet"/>
      <w:lvlText w:val=""/>
      <w:lvlJc w:val="left"/>
      <w:pPr>
        <w:tabs>
          <w:tab w:val="num" w:pos="6829"/>
        </w:tabs>
        <w:ind w:left="6829" w:hanging="360"/>
      </w:pPr>
      <w:rPr>
        <w:rFonts w:ascii="Wingdings" w:hAnsi="Wingdings" w:hint="default"/>
        <w:sz w:val="20"/>
      </w:rPr>
    </w:lvl>
  </w:abstractNum>
  <w:abstractNum w:abstractNumId="1" w15:restartNumberingAfterBreak="0">
    <w:nsid w:val="0A4120A4"/>
    <w:multiLevelType w:val="hybridMultilevel"/>
    <w:tmpl w:val="1D8E1FCE"/>
    <w:lvl w:ilvl="0" w:tplc="400C9C64">
      <w:start w:val="1"/>
      <w:numFmt w:val="bullet"/>
      <w:pStyle w:val="Lijstopsomteken"/>
      <w:lvlText w:val="•"/>
      <w:lvlJc w:val="left"/>
      <w:pPr>
        <w:tabs>
          <w:tab w:val="num" w:pos="227"/>
        </w:tabs>
        <w:ind w:left="227" w:hanging="227"/>
      </w:pPr>
      <w:rPr>
        <w:rFonts w:ascii="Verdana" w:hAnsi="Verdana" w:hint="default"/>
        <w:sz w:val="18"/>
        <w:szCs w:val="18"/>
      </w:rPr>
    </w:lvl>
    <w:lvl w:ilvl="1" w:tplc="2BAE0A4C" w:tentative="1">
      <w:start w:val="1"/>
      <w:numFmt w:val="bullet"/>
      <w:lvlText w:val="o"/>
      <w:lvlJc w:val="left"/>
      <w:pPr>
        <w:tabs>
          <w:tab w:val="num" w:pos="1440"/>
        </w:tabs>
        <w:ind w:left="1440" w:hanging="360"/>
      </w:pPr>
      <w:rPr>
        <w:rFonts w:ascii="Courier New" w:hAnsi="Courier New" w:cs="Courier New" w:hint="default"/>
      </w:rPr>
    </w:lvl>
    <w:lvl w:ilvl="2" w:tplc="552625CE" w:tentative="1">
      <w:start w:val="1"/>
      <w:numFmt w:val="bullet"/>
      <w:lvlText w:val=""/>
      <w:lvlJc w:val="left"/>
      <w:pPr>
        <w:tabs>
          <w:tab w:val="num" w:pos="2160"/>
        </w:tabs>
        <w:ind w:left="2160" w:hanging="360"/>
      </w:pPr>
      <w:rPr>
        <w:rFonts w:ascii="Wingdings" w:hAnsi="Wingdings" w:hint="default"/>
      </w:rPr>
    </w:lvl>
    <w:lvl w:ilvl="3" w:tplc="B0B0C68A" w:tentative="1">
      <w:start w:val="1"/>
      <w:numFmt w:val="bullet"/>
      <w:lvlText w:val=""/>
      <w:lvlJc w:val="left"/>
      <w:pPr>
        <w:tabs>
          <w:tab w:val="num" w:pos="2880"/>
        </w:tabs>
        <w:ind w:left="2880" w:hanging="360"/>
      </w:pPr>
      <w:rPr>
        <w:rFonts w:ascii="Symbol" w:hAnsi="Symbol" w:hint="default"/>
      </w:rPr>
    </w:lvl>
    <w:lvl w:ilvl="4" w:tplc="29BA26F6" w:tentative="1">
      <w:start w:val="1"/>
      <w:numFmt w:val="bullet"/>
      <w:lvlText w:val="o"/>
      <w:lvlJc w:val="left"/>
      <w:pPr>
        <w:tabs>
          <w:tab w:val="num" w:pos="3600"/>
        </w:tabs>
        <w:ind w:left="3600" w:hanging="360"/>
      </w:pPr>
      <w:rPr>
        <w:rFonts w:ascii="Courier New" w:hAnsi="Courier New" w:cs="Courier New" w:hint="default"/>
      </w:rPr>
    </w:lvl>
    <w:lvl w:ilvl="5" w:tplc="0D3290AE" w:tentative="1">
      <w:start w:val="1"/>
      <w:numFmt w:val="bullet"/>
      <w:lvlText w:val=""/>
      <w:lvlJc w:val="left"/>
      <w:pPr>
        <w:tabs>
          <w:tab w:val="num" w:pos="4320"/>
        </w:tabs>
        <w:ind w:left="4320" w:hanging="360"/>
      </w:pPr>
      <w:rPr>
        <w:rFonts w:ascii="Wingdings" w:hAnsi="Wingdings" w:hint="default"/>
      </w:rPr>
    </w:lvl>
    <w:lvl w:ilvl="6" w:tplc="0FDE01A2" w:tentative="1">
      <w:start w:val="1"/>
      <w:numFmt w:val="bullet"/>
      <w:lvlText w:val=""/>
      <w:lvlJc w:val="left"/>
      <w:pPr>
        <w:tabs>
          <w:tab w:val="num" w:pos="5040"/>
        </w:tabs>
        <w:ind w:left="5040" w:hanging="360"/>
      </w:pPr>
      <w:rPr>
        <w:rFonts w:ascii="Symbol" w:hAnsi="Symbol" w:hint="default"/>
      </w:rPr>
    </w:lvl>
    <w:lvl w:ilvl="7" w:tplc="DEAC3066" w:tentative="1">
      <w:start w:val="1"/>
      <w:numFmt w:val="bullet"/>
      <w:lvlText w:val="o"/>
      <w:lvlJc w:val="left"/>
      <w:pPr>
        <w:tabs>
          <w:tab w:val="num" w:pos="5760"/>
        </w:tabs>
        <w:ind w:left="5760" w:hanging="360"/>
      </w:pPr>
      <w:rPr>
        <w:rFonts w:ascii="Courier New" w:hAnsi="Courier New" w:cs="Courier New" w:hint="default"/>
      </w:rPr>
    </w:lvl>
    <w:lvl w:ilvl="8" w:tplc="1916A648"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B155FA0"/>
    <w:multiLevelType w:val="hybridMultilevel"/>
    <w:tmpl w:val="7D3C020E"/>
    <w:lvl w:ilvl="0" w:tplc="04130001">
      <w:start w:val="1"/>
      <w:numFmt w:val="bullet"/>
      <w:lvlText w:val=""/>
      <w:lvlJc w:val="left"/>
      <w:pPr>
        <w:ind w:left="780" w:hanging="360"/>
      </w:pPr>
      <w:rPr>
        <w:rFonts w:ascii="Symbol" w:hAnsi="Symbol" w:hint="default"/>
      </w:rPr>
    </w:lvl>
    <w:lvl w:ilvl="1" w:tplc="04130003">
      <w:start w:val="1"/>
      <w:numFmt w:val="bullet"/>
      <w:lvlText w:val="o"/>
      <w:lvlJc w:val="left"/>
      <w:pPr>
        <w:ind w:left="1500" w:hanging="360"/>
      </w:pPr>
      <w:rPr>
        <w:rFonts w:ascii="Courier New" w:hAnsi="Courier New" w:cs="Courier New" w:hint="default"/>
      </w:rPr>
    </w:lvl>
    <w:lvl w:ilvl="2" w:tplc="04130005" w:tentative="1">
      <w:start w:val="1"/>
      <w:numFmt w:val="bullet"/>
      <w:lvlText w:val=""/>
      <w:lvlJc w:val="left"/>
      <w:pPr>
        <w:ind w:left="2220" w:hanging="360"/>
      </w:pPr>
      <w:rPr>
        <w:rFonts w:ascii="Wingdings" w:hAnsi="Wingdings" w:hint="default"/>
      </w:rPr>
    </w:lvl>
    <w:lvl w:ilvl="3" w:tplc="04130001" w:tentative="1">
      <w:start w:val="1"/>
      <w:numFmt w:val="bullet"/>
      <w:lvlText w:val=""/>
      <w:lvlJc w:val="left"/>
      <w:pPr>
        <w:ind w:left="2940" w:hanging="360"/>
      </w:pPr>
      <w:rPr>
        <w:rFonts w:ascii="Symbol" w:hAnsi="Symbol" w:hint="default"/>
      </w:rPr>
    </w:lvl>
    <w:lvl w:ilvl="4" w:tplc="04130003" w:tentative="1">
      <w:start w:val="1"/>
      <w:numFmt w:val="bullet"/>
      <w:lvlText w:val="o"/>
      <w:lvlJc w:val="left"/>
      <w:pPr>
        <w:ind w:left="3660" w:hanging="360"/>
      </w:pPr>
      <w:rPr>
        <w:rFonts w:ascii="Courier New" w:hAnsi="Courier New" w:cs="Courier New" w:hint="default"/>
      </w:rPr>
    </w:lvl>
    <w:lvl w:ilvl="5" w:tplc="04130005" w:tentative="1">
      <w:start w:val="1"/>
      <w:numFmt w:val="bullet"/>
      <w:lvlText w:val=""/>
      <w:lvlJc w:val="left"/>
      <w:pPr>
        <w:ind w:left="4380" w:hanging="360"/>
      </w:pPr>
      <w:rPr>
        <w:rFonts w:ascii="Wingdings" w:hAnsi="Wingdings" w:hint="default"/>
      </w:rPr>
    </w:lvl>
    <w:lvl w:ilvl="6" w:tplc="04130001" w:tentative="1">
      <w:start w:val="1"/>
      <w:numFmt w:val="bullet"/>
      <w:lvlText w:val=""/>
      <w:lvlJc w:val="left"/>
      <w:pPr>
        <w:ind w:left="5100" w:hanging="360"/>
      </w:pPr>
      <w:rPr>
        <w:rFonts w:ascii="Symbol" w:hAnsi="Symbol" w:hint="default"/>
      </w:rPr>
    </w:lvl>
    <w:lvl w:ilvl="7" w:tplc="04130003" w:tentative="1">
      <w:start w:val="1"/>
      <w:numFmt w:val="bullet"/>
      <w:lvlText w:val="o"/>
      <w:lvlJc w:val="left"/>
      <w:pPr>
        <w:ind w:left="5820" w:hanging="360"/>
      </w:pPr>
      <w:rPr>
        <w:rFonts w:ascii="Courier New" w:hAnsi="Courier New" w:cs="Courier New" w:hint="default"/>
      </w:rPr>
    </w:lvl>
    <w:lvl w:ilvl="8" w:tplc="04130005" w:tentative="1">
      <w:start w:val="1"/>
      <w:numFmt w:val="bullet"/>
      <w:lvlText w:val=""/>
      <w:lvlJc w:val="left"/>
      <w:pPr>
        <w:ind w:left="6540" w:hanging="360"/>
      </w:pPr>
      <w:rPr>
        <w:rFonts w:ascii="Wingdings" w:hAnsi="Wingdings" w:hint="default"/>
      </w:rPr>
    </w:lvl>
  </w:abstractNum>
  <w:abstractNum w:abstractNumId="3" w15:restartNumberingAfterBreak="0">
    <w:nsid w:val="0F706393"/>
    <w:multiLevelType w:val="multilevel"/>
    <w:tmpl w:val="EE4C9750"/>
    <w:styleLink w:val="Nummeringagenda"/>
    <w:lvl w:ilvl="0">
      <w:start w:val="1"/>
      <w:numFmt w:val="decimal"/>
      <w:lvlText w:val="%1."/>
      <w:lvlJc w:val="left"/>
      <w:pPr>
        <w:tabs>
          <w:tab w:val="num" w:pos="720"/>
        </w:tabs>
        <w:ind w:left="720" w:hanging="360"/>
      </w:pPr>
      <w:rPr>
        <w:rFonts w:ascii="Verdana" w:hAnsi="Verdana" w:cs="Times New Roman" w:hint="default"/>
        <w:sz w:val="18"/>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4" w15:restartNumberingAfterBreak="0">
    <w:nsid w:val="150504E0"/>
    <w:multiLevelType w:val="hybridMultilevel"/>
    <w:tmpl w:val="456E1892"/>
    <w:lvl w:ilvl="0" w:tplc="4470DAA0">
      <w:start w:val="2"/>
      <w:numFmt w:val="bullet"/>
      <w:lvlText w:val="-"/>
      <w:lvlJc w:val="left"/>
      <w:pPr>
        <w:ind w:left="360" w:hanging="360"/>
      </w:pPr>
      <w:rPr>
        <w:rFonts w:ascii="Verdana" w:eastAsia="Times New Roman" w:hAnsi="Verdana" w:cs="Times New Roman"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 w15:restartNumberingAfterBreak="0">
    <w:nsid w:val="1E334D62"/>
    <w:multiLevelType w:val="hybridMultilevel"/>
    <w:tmpl w:val="FD206C9C"/>
    <w:lvl w:ilvl="0" w:tplc="4470DAA0">
      <w:start w:val="2"/>
      <w:numFmt w:val="bullet"/>
      <w:lvlText w:val="-"/>
      <w:lvlJc w:val="left"/>
      <w:pPr>
        <w:ind w:left="360" w:hanging="360"/>
      </w:pPr>
      <w:rPr>
        <w:rFonts w:ascii="Verdana" w:eastAsia="Times New Roman" w:hAnsi="Verdana" w:cs="Times New Roman"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 w15:restartNumberingAfterBreak="0">
    <w:nsid w:val="1E555FEF"/>
    <w:multiLevelType w:val="hybridMultilevel"/>
    <w:tmpl w:val="50F0923E"/>
    <w:lvl w:ilvl="0" w:tplc="98FA31D2">
      <w:start w:val="1"/>
      <w:numFmt w:val="bullet"/>
      <w:pStyle w:val="Lijstopsomteken2"/>
      <w:lvlText w:val="–"/>
      <w:lvlJc w:val="left"/>
      <w:pPr>
        <w:tabs>
          <w:tab w:val="num" w:pos="227"/>
        </w:tabs>
        <w:ind w:left="227" w:firstLine="0"/>
      </w:pPr>
      <w:rPr>
        <w:rFonts w:ascii="Verdana" w:hAnsi="Verdana" w:hint="default"/>
      </w:rPr>
    </w:lvl>
    <w:lvl w:ilvl="1" w:tplc="D32CF4E8" w:tentative="1">
      <w:start w:val="1"/>
      <w:numFmt w:val="bullet"/>
      <w:lvlText w:val="o"/>
      <w:lvlJc w:val="left"/>
      <w:pPr>
        <w:tabs>
          <w:tab w:val="num" w:pos="1440"/>
        </w:tabs>
        <w:ind w:left="1440" w:hanging="360"/>
      </w:pPr>
      <w:rPr>
        <w:rFonts w:ascii="Courier New" w:hAnsi="Courier New" w:cs="Courier New" w:hint="default"/>
      </w:rPr>
    </w:lvl>
    <w:lvl w:ilvl="2" w:tplc="F128340C" w:tentative="1">
      <w:start w:val="1"/>
      <w:numFmt w:val="bullet"/>
      <w:lvlText w:val=""/>
      <w:lvlJc w:val="left"/>
      <w:pPr>
        <w:tabs>
          <w:tab w:val="num" w:pos="2160"/>
        </w:tabs>
        <w:ind w:left="2160" w:hanging="360"/>
      </w:pPr>
      <w:rPr>
        <w:rFonts w:ascii="Wingdings" w:hAnsi="Wingdings" w:hint="default"/>
      </w:rPr>
    </w:lvl>
    <w:lvl w:ilvl="3" w:tplc="0C5679EC" w:tentative="1">
      <w:start w:val="1"/>
      <w:numFmt w:val="bullet"/>
      <w:lvlText w:val=""/>
      <w:lvlJc w:val="left"/>
      <w:pPr>
        <w:tabs>
          <w:tab w:val="num" w:pos="2880"/>
        </w:tabs>
        <w:ind w:left="2880" w:hanging="360"/>
      </w:pPr>
      <w:rPr>
        <w:rFonts w:ascii="Symbol" w:hAnsi="Symbol" w:hint="default"/>
      </w:rPr>
    </w:lvl>
    <w:lvl w:ilvl="4" w:tplc="CCB01418" w:tentative="1">
      <w:start w:val="1"/>
      <w:numFmt w:val="bullet"/>
      <w:lvlText w:val="o"/>
      <w:lvlJc w:val="left"/>
      <w:pPr>
        <w:tabs>
          <w:tab w:val="num" w:pos="3600"/>
        </w:tabs>
        <w:ind w:left="3600" w:hanging="360"/>
      </w:pPr>
      <w:rPr>
        <w:rFonts w:ascii="Courier New" w:hAnsi="Courier New" w:cs="Courier New" w:hint="default"/>
      </w:rPr>
    </w:lvl>
    <w:lvl w:ilvl="5" w:tplc="56ECF750" w:tentative="1">
      <w:start w:val="1"/>
      <w:numFmt w:val="bullet"/>
      <w:lvlText w:val=""/>
      <w:lvlJc w:val="left"/>
      <w:pPr>
        <w:tabs>
          <w:tab w:val="num" w:pos="4320"/>
        </w:tabs>
        <w:ind w:left="4320" w:hanging="360"/>
      </w:pPr>
      <w:rPr>
        <w:rFonts w:ascii="Wingdings" w:hAnsi="Wingdings" w:hint="default"/>
      </w:rPr>
    </w:lvl>
    <w:lvl w:ilvl="6" w:tplc="75D61C2E" w:tentative="1">
      <w:start w:val="1"/>
      <w:numFmt w:val="bullet"/>
      <w:lvlText w:val=""/>
      <w:lvlJc w:val="left"/>
      <w:pPr>
        <w:tabs>
          <w:tab w:val="num" w:pos="5040"/>
        </w:tabs>
        <w:ind w:left="5040" w:hanging="360"/>
      </w:pPr>
      <w:rPr>
        <w:rFonts w:ascii="Symbol" w:hAnsi="Symbol" w:hint="default"/>
      </w:rPr>
    </w:lvl>
    <w:lvl w:ilvl="7" w:tplc="61F42EB8" w:tentative="1">
      <w:start w:val="1"/>
      <w:numFmt w:val="bullet"/>
      <w:lvlText w:val="o"/>
      <w:lvlJc w:val="left"/>
      <w:pPr>
        <w:tabs>
          <w:tab w:val="num" w:pos="5760"/>
        </w:tabs>
        <w:ind w:left="5760" w:hanging="360"/>
      </w:pPr>
      <w:rPr>
        <w:rFonts w:ascii="Courier New" w:hAnsi="Courier New" w:cs="Courier New" w:hint="default"/>
      </w:rPr>
    </w:lvl>
    <w:lvl w:ilvl="8" w:tplc="C5025400"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064639A"/>
    <w:multiLevelType w:val="hybridMultilevel"/>
    <w:tmpl w:val="BAC21E54"/>
    <w:lvl w:ilvl="0" w:tplc="7FF41F0E">
      <w:start w:val="1"/>
      <w:numFmt w:val="upperLetter"/>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20866F8D"/>
    <w:multiLevelType w:val="hybridMultilevel"/>
    <w:tmpl w:val="42F65514"/>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22095E4D"/>
    <w:multiLevelType w:val="hybridMultilevel"/>
    <w:tmpl w:val="DE7A8B8E"/>
    <w:lvl w:ilvl="0" w:tplc="0CF8E106">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10" w15:restartNumberingAfterBreak="0">
    <w:nsid w:val="24E75F6F"/>
    <w:multiLevelType w:val="hybridMultilevel"/>
    <w:tmpl w:val="AA32D718"/>
    <w:lvl w:ilvl="0" w:tplc="4470DAA0">
      <w:start w:val="2"/>
      <w:numFmt w:val="bullet"/>
      <w:lvlText w:val="-"/>
      <w:lvlJc w:val="left"/>
      <w:pPr>
        <w:ind w:left="360" w:hanging="360"/>
      </w:pPr>
      <w:rPr>
        <w:rFonts w:ascii="Verdana" w:eastAsia="Times New Roman" w:hAnsi="Verdana" w:cs="Times New Roman"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1" w15:restartNumberingAfterBreak="0">
    <w:nsid w:val="252F2F66"/>
    <w:multiLevelType w:val="hybridMultilevel"/>
    <w:tmpl w:val="1DFA4F1E"/>
    <w:lvl w:ilvl="0" w:tplc="4470DAA0">
      <w:start w:val="2"/>
      <w:numFmt w:val="bullet"/>
      <w:lvlText w:val="-"/>
      <w:lvlJc w:val="left"/>
      <w:pPr>
        <w:ind w:left="360" w:hanging="360"/>
      </w:pPr>
      <w:rPr>
        <w:rFonts w:ascii="Verdana" w:eastAsia="Times New Roman" w:hAnsi="Verdana" w:cs="Times New Roman"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2" w15:restartNumberingAfterBreak="0">
    <w:nsid w:val="2EDA1968"/>
    <w:multiLevelType w:val="hybridMultilevel"/>
    <w:tmpl w:val="9AE4B5C0"/>
    <w:lvl w:ilvl="0" w:tplc="4470DAA0">
      <w:start w:val="1"/>
      <w:numFmt w:val="bullet"/>
      <w:lvlText w:val="-"/>
      <w:lvlJc w:val="left"/>
      <w:pPr>
        <w:ind w:left="360" w:hanging="360"/>
      </w:pPr>
      <w:rPr>
        <w:rFonts w:ascii="Verdana" w:eastAsia="Times New Roman" w:hAnsi="Verdana"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3" w15:restartNumberingAfterBreak="0">
    <w:nsid w:val="314D0D02"/>
    <w:multiLevelType w:val="hybridMultilevel"/>
    <w:tmpl w:val="6B3C7C58"/>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4" w15:restartNumberingAfterBreak="0">
    <w:nsid w:val="39CF7B16"/>
    <w:multiLevelType w:val="hybridMultilevel"/>
    <w:tmpl w:val="CA6C2734"/>
    <w:lvl w:ilvl="0" w:tplc="943405CC">
      <w:start w:val="2"/>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3D744F03"/>
    <w:multiLevelType w:val="hybridMultilevel"/>
    <w:tmpl w:val="8CDC80BC"/>
    <w:lvl w:ilvl="0" w:tplc="0413000F">
      <w:start w:val="1"/>
      <w:numFmt w:val="decimal"/>
      <w:lvlText w:val="%1."/>
      <w:lvlJc w:val="left"/>
      <w:pPr>
        <w:ind w:left="720" w:hanging="360"/>
      </w:pPr>
      <w:rPr>
        <w:rFonts w:hint="default"/>
        <w:b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50744211"/>
    <w:multiLevelType w:val="hybridMultilevel"/>
    <w:tmpl w:val="1E40E61A"/>
    <w:lvl w:ilvl="0" w:tplc="11A09362">
      <w:start w:val="1"/>
      <w:numFmt w:val="upperLetter"/>
      <w:lvlText w:val="%1."/>
      <w:lvlJc w:val="left"/>
      <w:pPr>
        <w:ind w:left="720" w:hanging="360"/>
      </w:pPr>
      <w:rPr>
        <w:rFonts w:hint="default"/>
        <w:b/>
        <w:bCs/>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50E63CA5"/>
    <w:multiLevelType w:val="hybridMultilevel"/>
    <w:tmpl w:val="005E88FC"/>
    <w:lvl w:ilvl="0" w:tplc="FD52CEB0">
      <w:start w:val="3"/>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57A52FE3"/>
    <w:multiLevelType w:val="hybridMultilevel"/>
    <w:tmpl w:val="13DEAF74"/>
    <w:lvl w:ilvl="0" w:tplc="2E5867BC">
      <w:start w:val="1"/>
      <w:numFmt w:val="decimal"/>
      <w:lvlText w:val="%1."/>
      <w:lvlJc w:val="left"/>
      <w:pPr>
        <w:ind w:left="360" w:hanging="360"/>
      </w:pPr>
      <w:rPr>
        <w:rFonts w:hint="default"/>
        <w:b/>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9" w15:restartNumberingAfterBreak="0">
    <w:nsid w:val="5BB579DB"/>
    <w:multiLevelType w:val="hybridMultilevel"/>
    <w:tmpl w:val="1EE0008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0" w15:restartNumberingAfterBreak="0">
    <w:nsid w:val="62C03889"/>
    <w:multiLevelType w:val="hybridMultilevel"/>
    <w:tmpl w:val="5B58AE14"/>
    <w:lvl w:ilvl="0" w:tplc="4470DAA0">
      <w:start w:val="2"/>
      <w:numFmt w:val="bullet"/>
      <w:lvlText w:val="-"/>
      <w:lvlJc w:val="left"/>
      <w:pPr>
        <w:ind w:left="360" w:hanging="360"/>
      </w:pPr>
      <w:rPr>
        <w:rFonts w:ascii="Verdana" w:eastAsia="Times New Roman" w:hAnsi="Verdana" w:cs="Times New Roman" w:hint="default"/>
      </w:rPr>
    </w:lvl>
    <w:lvl w:ilvl="1" w:tplc="E98A010A">
      <w:start w:val="1"/>
      <w:numFmt w:val="decimal"/>
      <w:lvlText w:val="%2."/>
      <w:lvlJc w:val="left"/>
      <w:pPr>
        <w:ind w:left="785" w:hanging="360"/>
      </w:pPr>
      <w:rPr>
        <w:rFonts w:ascii="Verdana" w:eastAsia="Times New Roman" w:hAnsi="Verdana" w:cs="Times New Roman"/>
      </w:rPr>
    </w:lvl>
    <w:lvl w:ilvl="2" w:tplc="04130005">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1" w15:restartNumberingAfterBreak="0">
    <w:nsid w:val="6A3D0218"/>
    <w:multiLevelType w:val="hybridMultilevel"/>
    <w:tmpl w:val="898423CE"/>
    <w:lvl w:ilvl="0" w:tplc="04130017">
      <w:start w:val="1"/>
      <w:numFmt w:val="low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79003D3E"/>
    <w:multiLevelType w:val="hybridMultilevel"/>
    <w:tmpl w:val="38EC29C0"/>
    <w:lvl w:ilvl="0" w:tplc="4470DAA0">
      <w:start w:val="2"/>
      <w:numFmt w:val="bullet"/>
      <w:lvlText w:val="-"/>
      <w:lvlJc w:val="left"/>
      <w:pPr>
        <w:ind w:left="360" w:hanging="360"/>
      </w:pPr>
      <w:rPr>
        <w:rFonts w:ascii="Verdana" w:eastAsia="Times New Roman" w:hAnsi="Verdana" w:cs="Times New Roman"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num w:numId="1" w16cid:durableId="2062093097">
    <w:abstractNumId w:val="1"/>
  </w:num>
  <w:num w:numId="2" w16cid:durableId="731125888">
    <w:abstractNumId w:val="6"/>
  </w:num>
  <w:num w:numId="3" w16cid:durableId="2101903060">
    <w:abstractNumId w:val="3"/>
  </w:num>
  <w:num w:numId="4" w16cid:durableId="272640396">
    <w:abstractNumId w:val="20"/>
  </w:num>
  <w:num w:numId="5" w16cid:durableId="229971609">
    <w:abstractNumId w:val="16"/>
  </w:num>
  <w:num w:numId="6" w16cid:durableId="2062627380">
    <w:abstractNumId w:val="8"/>
  </w:num>
  <w:num w:numId="7" w16cid:durableId="1202207458">
    <w:abstractNumId w:val="7"/>
  </w:num>
  <w:num w:numId="8" w16cid:durableId="461732660">
    <w:abstractNumId w:val="19"/>
  </w:num>
  <w:num w:numId="9" w16cid:durableId="1006901501">
    <w:abstractNumId w:val="9"/>
  </w:num>
  <w:num w:numId="10" w16cid:durableId="813763554">
    <w:abstractNumId w:val="2"/>
  </w:num>
  <w:num w:numId="11" w16cid:durableId="2056153662">
    <w:abstractNumId w:val="11"/>
  </w:num>
  <w:num w:numId="12" w16cid:durableId="33117261">
    <w:abstractNumId w:val="14"/>
  </w:num>
  <w:num w:numId="13" w16cid:durableId="155151025">
    <w:abstractNumId w:val="15"/>
  </w:num>
  <w:num w:numId="14" w16cid:durableId="816842994">
    <w:abstractNumId w:val="12"/>
  </w:num>
  <w:num w:numId="15" w16cid:durableId="1122647284">
    <w:abstractNumId w:val="4"/>
  </w:num>
  <w:num w:numId="16" w16cid:durableId="1176771362">
    <w:abstractNumId w:val="18"/>
  </w:num>
  <w:num w:numId="17" w16cid:durableId="1065297829">
    <w:abstractNumId w:val="22"/>
  </w:num>
  <w:num w:numId="18" w16cid:durableId="1912040081">
    <w:abstractNumId w:val="5"/>
  </w:num>
  <w:num w:numId="19" w16cid:durableId="1862821953">
    <w:abstractNumId w:val="10"/>
  </w:num>
  <w:num w:numId="20" w16cid:durableId="232859898">
    <w:abstractNumId w:val="21"/>
  </w:num>
  <w:num w:numId="21" w16cid:durableId="108087953">
    <w:abstractNumId w:val="0"/>
  </w:num>
  <w:num w:numId="22" w16cid:durableId="1153914236">
    <w:abstractNumId w:val="13"/>
  </w:num>
  <w:num w:numId="23" w16cid:durableId="874074254">
    <w:abstractNumId w:val="20"/>
    <w:lvlOverride w:ilvl="0"/>
    <w:lvlOverride w:ilvl="1">
      <w:startOverride w:val="1"/>
    </w:lvlOverride>
    <w:lvlOverride w:ilvl="2"/>
    <w:lvlOverride w:ilvl="3"/>
    <w:lvlOverride w:ilvl="4"/>
    <w:lvlOverride w:ilvl="5"/>
    <w:lvlOverride w:ilvl="6"/>
    <w:lvlOverride w:ilvl="7"/>
    <w:lvlOverride w:ilvl="8"/>
  </w:num>
  <w:num w:numId="24" w16cid:durableId="751001138">
    <w:abstractNumId w:val="11"/>
  </w:num>
  <w:num w:numId="25" w16cid:durableId="1193231026">
    <w:abstractNumId w:val="10"/>
  </w:num>
  <w:num w:numId="26" w16cid:durableId="2143115630">
    <w:abstractNumId w:val="19"/>
  </w:num>
  <w:num w:numId="27" w16cid:durableId="1851291453">
    <w:abstractNumId w:val="1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removePersonalInformation/>
  <w:removeDateAndTim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3FD6"/>
    <w:rsid w:val="00000499"/>
    <w:rsid w:val="00003917"/>
    <w:rsid w:val="00007994"/>
    <w:rsid w:val="000100FD"/>
    <w:rsid w:val="000104C9"/>
    <w:rsid w:val="00011777"/>
    <w:rsid w:val="000117DD"/>
    <w:rsid w:val="000134C2"/>
    <w:rsid w:val="00013536"/>
    <w:rsid w:val="00013862"/>
    <w:rsid w:val="0001537C"/>
    <w:rsid w:val="00016012"/>
    <w:rsid w:val="000175BC"/>
    <w:rsid w:val="00020189"/>
    <w:rsid w:val="00020BA4"/>
    <w:rsid w:val="00020EE4"/>
    <w:rsid w:val="0002264B"/>
    <w:rsid w:val="00022984"/>
    <w:rsid w:val="00023E9A"/>
    <w:rsid w:val="0002405A"/>
    <w:rsid w:val="00024063"/>
    <w:rsid w:val="00024459"/>
    <w:rsid w:val="000248C2"/>
    <w:rsid w:val="00025E7A"/>
    <w:rsid w:val="00026302"/>
    <w:rsid w:val="00027DB2"/>
    <w:rsid w:val="00030723"/>
    <w:rsid w:val="0003304B"/>
    <w:rsid w:val="00034A84"/>
    <w:rsid w:val="0003586B"/>
    <w:rsid w:val="00035E67"/>
    <w:rsid w:val="000366F3"/>
    <w:rsid w:val="000376EC"/>
    <w:rsid w:val="0004048E"/>
    <w:rsid w:val="0004073E"/>
    <w:rsid w:val="000407F0"/>
    <w:rsid w:val="00040F68"/>
    <w:rsid w:val="000410CF"/>
    <w:rsid w:val="00043010"/>
    <w:rsid w:val="00044613"/>
    <w:rsid w:val="00044F2A"/>
    <w:rsid w:val="00045F23"/>
    <w:rsid w:val="000460DE"/>
    <w:rsid w:val="000502E9"/>
    <w:rsid w:val="000509F1"/>
    <w:rsid w:val="00050CAE"/>
    <w:rsid w:val="00052B64"/>
    <w:rsid w:val="00057ABA"/>
    <w:rsid w:val="00062D35"/>
    <w:rsid w:val="000657F3"/>
    <w:rsid w:val="00066006"/>
    <w:rsid w:val="00066564"/>
    <w:rsid w:val="00067D61"/>
    <w:rsid w:val="0007102F"/>
    <w:rsid w:val="00071667"/>
    <w:rsid w:val="00071F28"/>
    <w:rsid w:val="0007250C"/>
    <w:rsid w:val="00074079"/>
    <w:rsid w:val="000773F8"/>
    <w:rsid w:val="00083FC6"/>
    <w:rsid w:val="00085E0E"/>
    <w:rsid w:val="00087196"/>
    <w:rsid w:val="00092799"/>
    <w:rsid w:val="00092BA7"/>
    <w:rsid w:val="00092C5F"/>
    <w:rsid w:val="00093E16"/>
    <w:rsid w:val="00095CE3"/>
    <w:rsid w:val="00096680"/>
    <w:rsid w:val="000A0532"/>
    <w:rsid w:val="000A174A"/>
    <w:rsid w:val="000A1A50"/>
    <w:rsid w:val="000A3E0A"/>
    <w:rsid w:val="000A4666"/>
    <w:rsid w:val="000A4AD7"/>
    <w:rsid w:val="000A4ADA"/>
    <w:rsid w:val="000A4B95"/>
    <w:rsid w:val="000A65AC"/>
    <w:rsid w:val="000A6DD9"/>
    <w:rsid w:val="000A77C8"/>
    <w:rsid w:val="000A78D2"/>
    <w:rsid w:val="000B2698"/>
    <w:rsid w:val="000B446F"/>
    <w:rsid w:val="000B5F05"/>
    <w:rsid w:val="000B6379"/>
    <w:rsid w:val="000B664F"/>
    <w:rsid w:val="000B7281"/>
    <w:rsid w:val="000B7FAB"/>
    <w:rsid w:val="000C1448"/>
    <w:rsid w:val="000C27A5"/>
    <w:rsid w:val="000C3EA9"/>
    <w:rsid w:val="000C4E95"/>
    <w:rsid w:val="000D0225"/>
    <w:rsid w:val="000D04FD"/>
    <w:rsid w:val="000D0DA1"/>
    <w:rsid w:val="000D119D"/>
    <w:rsid w:val="000D129C"/>
    <w:rsid w:val="000E0F05"/>
    <w:rsid w:val="000E655B"/>
    <w:rsid w:val="000F018B"/>
    <w:rsid w:val="000F01E8"/>
    <w:rsid w:val="000F161D"/>
    <w:rsid w:val="000F2AE4"/>
    <w:rsid w:val="000F4BC6"/>
    <w:rsid w:val="000F51CD"/>
    <w:rsid w:val="000F7732"/>
    <w:rsid w:val="000F7A8F"/>
    <w:rsid w:val="001012C6"/>
    <w:rsid w:val="001064F3"/>
    <w:rsid w:val="00107EE9"/>
    <w:rsid w:val="00111F12"/>
    <w:rsid w:val="00113FDE"/>
    <w:rsid w:val="00116213"/>
    <w:rsid w:val="00116271"/>
    <w:rsid w:val="00120074"/>
    <w:rsid w:val="00121284"/>
    <w:rsid w:val="001235F0"/>
    <w:rsid w:val="00123704"/>
    <w:rsid w:val="00126562"/>
    <w:rsid w:val="001270C7"/>
    <w:rsid w:val="00127617"/>
    <w:rsid w:val="00130BA7"/>
    <w:rsid w:val="00132540"/>
    <w:rsid w:val="00132C6D"/>
    <w:rsid w:val="001337CE"/>
    <w:rsid w:val="001349DD"/>
    <w:rsid w:val="00134D95"/>
    <w:rsid w:val="001379E5"/>
    <w:rsid w:val="00142A3D"/>
    <w:rsid w:val="00144172"/>
    <w:rsid w:val="00144602"/>
    <w:rsid w:val="00145079"/>
    <w:rsid w:val="0014786A"/>
    <w:rsid w:val="0015038E"/>
    <w:rsid w:val="00150678"/>
    <w:rsid w:val="001516A4"/>
    <w:rsid w:val="00151E5F"/>
    <w:rsid w:val="00153000"/>
    <w:rsid w:val="00153822"/>
    <w:rsid w:val="0015468A"/>
    <w:rsid w:val="00154DE3"/>
    <w:rsid w:val="00156753"/>
    <w:rsid w:val="001569AB"/>
    <w:rsid w:val="00156F6F"/>
    <w:rsid w:val="00160BC1"/>
    <w:rsid w:val="001612F5"/>
    <w:rsid w:val="00161F5B"/>
    <w:rsid w:val="0016224B"/>
    <w:rsid w:val="001629FF"/>
    <w:rsid w:val="00164E1E"/>
    <w:rsid w:val="0016624A"/>
    <w:rsid w:val="00167528"/>
    <w:rsid w:val="001678FF"/>
    <w:rsid w:val="001726F3"/>
    <w:rsid w:val="00174AB7"/>
    <w:rsid w:val="00174CC2"/>
    <w:rsid w:val="00174D0E"/>
    <w:rsid w:val="00176CC6"/>
    <w:rsid w:val="00177130"/>
    <w:rsid w:val="001773B0"/>
    <w:rsid w:val="0018095C"/>
    <w:rsid w:val="00181BE4"/>
    <w:rsid w:val="0018439D"/>
    <w:rsid w:val="00184454"/>
    <w:rsid w:val="00184725"/>
    <w:rsid w:val="00185576"/>
    <w:rsid w:val="00185951"/>
    <w:rsid w:val="00185DCE"/>
    <w:rsid w:val="00185E38"/>
    <w:rsid w:val="001877F6"/>
    <w:rsid w:val="00192804"/>
    <w:rsid w:val="001937C1"/>
    <w:rsid w:val="00193F2A"/>
    <w:rsid w:val="00196439"/>
    <w:rsid w:val="00196B8B"/>
    <w:rsid w:val="00197241"/>
    <w:rsid w:val="001A0A43"/>
    <w:rsid w:val="001A2533"/>
    <w:rsid w:val="001A2BEA"/>
    <w:rsid w:val="001A380C"/>
    <w:rsid w:val="001A41C0"/>
    <w:rsid w:val="001A5DAD"/>
    <w:rsid w:val="001A5EBF"/>
    <w:rsid w:val="001A6B9A"/>
    <w:rsid w:val="001A6D93"/>
    <w:rsid w:val="001A73EB"/>
    <w:rsid w:val="001B107C"/>
    <w:rsid w:val="001B2A56"/>
    <w:rsid w:val="001B3CA7"/>
    <w:rsid w:val="001B3E90"/>
    <w:rsid w:val="001B3E9E"/>
    <w:rsid w:val="001B5500"/>
    <w:rsid w:val="001C0C72"/>
    <w:rsid w:val="001C32EC"/>
    <w:rsid w:val="001C4D5A"/>
    <w:rsid w:val="001C6250"/>
    <w:rsid w:val="001D69B0"/>
    <w:rsid w:val="001E0A39"/>
    <w:rsid w:val="001E0E77"/>
    <w:rsid w:val="001E17CF"/>
    <w:rsid w:val="001E1804"/>
    <w:rsid w:val="001E2F2A"/>
    <w:rsid w:val="001E34C6"/>
    <w:rsid w:val="001E4C6B"/>
    <w:rsid w:val="001E4F21"/>
    <w:rsid w:val="001E5581"/>
    <w:rsid w:val="001E5B8B"/>
    <w:rsid w:val="001E65C9"/>
    <w:rsid w:val="001F0D91"/>
    <w:rsid w:val="001F0DEC"/>
    <w:rsid w:val="001F1769"/>
    <w:rsid w:val="001F1E66"/>
    <w:rsid w:val="001F20CD"/>
    <w:rsid w:val="001F2A3F"/>
    <w:rsid w:val="001F2CDB"/>
    <w:rsid w:val="001F3212"/>
    <w:rsid w:val="001F3A46"/>
    <w:rsid w:val="001F3C70"/>
    <w:rsid w:val="001F523B"/>
    <w:rsid w:val="001F790D"/>
    <w:rsid w:val="00200D88"/>
    <w:rsid w:val="00201F68"/>
    <w:rsid w:val="0020736F"/>
    <w:rsid w:val="00207A64"/>
    <w:rsid w:val="0021116F"/>
    <w:rsid w:val="00212356"/>
    <w:rsid w:val="00212E6D"/>
    <w:rsid w:val="00212F2A"/>
    <w:rsid w:val="002134BF"/>
    <w:rsid w:val="002141CF"/>
    <w:rsid w:val="00214F2B"/>
    <w:rsid w:val="0021528B"/>
    <w:rsid w:val="00216BC2"/>
    <w:rsid w:val="00217880"/>
    <w:rsid w:val="0022263F"/>
    <w:rsid w:val="002227DA"/>
    <w:rsid w:val="00222F79"/>
    <w:rsid w:val="00225088"/>
    <w:rsid w:val="0022560D"/>
    <w:rsid w:val="00225F9C"/>
    <w:rsid w:val="00226372"/>
    <w:rsid w:val="00226511"/>
    <w:rsid w:val="002309A8"/>
    <w:rsid w:val="00231D93"/>
    <w:rsid w:val="00231E07"/>
    <w:rsid w:val="00232455"/>
    <w:rsid w:val="00235E46"/>
    <w:rsid w:val="00236A03"/>
    <w:rsid w:val="00236CFE"/>
    <w:rsid w:val="00237C0C"/>
    <w:rsid w:val="00240B90"/>
    <w:rsid w:val="00241498"/>
    <w:rsid w:val="002419EC"/>
    <w:rsid w:val="002428E3"/>
    <w:rsid w:val="0024588C"/>
    <w:rsid w:val="00246ECD"/>
    <w:rsid w:val="0024759F"/>
    <w:rsid w:val="002504AC"/>
    <w:rsid w:val="00250958"/>
    <w:rsid w:val="002538E0"/>
    <w:rsid w:val="00257BAB"/>
    <w:rsid w:val="00260BAF"/>
    <w:rsid w:val="002619FB"/>
    <w:rsid w:val="00261FEC"/>
    <w:rsid w:val="0026208B"/>
    <w:rsid w:val="0026395E"/>
    <w:rsid w:val="002642F4"/>
    <w:rsid w:val="002643FD"/>
    <w:rsid w:val="002650F7"/>
    <w:rsid w:val="00271AC6"/>
    <w:rsid w:val="00273F3B"/>
    <w:rsid w:val="00274BAD"/>
    <w:rsid w:val="00274DB7"/>
    <w:rsid w:val="00275984"/>
    <w:rsid w:val="00275D88"/>
    <w:rsid w:val="00277E51"/>
    <w:rsid w:val="002806E5"/>
    <w:rsid w:val="00280CCE"/>
    <w:rsid w:val="00280F74"/>
    <w:rsid w:val="002848DF"/>
    <w:rsid w:val="0028628B"/>
    <w:rsid w:val="00286998"/>
    <w:rsid w:val="00291AB7"/>
    <w:rsid w:val="00291E83"/>
    <w:rsid w:val="00292C95"/>
    <w:rsid w:val="0029422B"/>
    <w:rsid w:val="002948A5"/>
    <w:rsid w:val="002A0384"/>
    <w:rsid w:val="002A0B89"/>
    <w:rsid w:val="002A4561"/>
    <w:rsid w:val="002A4E76"/>
    <w:rsid w:val="002A6AE7"/>
    <w:rsid w:val="002B153C"/>
    <w:rsid w:val="002B426A"/>
    <w:rsid w:val="002B52D0"/>
    <w:rsid w:val="002B7731"/>
    <w:rsid w:val="002B78B7"/>
    <w:rsid w:val="002C1102"/>
    <w:rsid w:val="002C1738"/>
    <w:rsid w:val="002C2830"/>
    <w:rsid w:val="002C533C"/>
    <w:rsid w:val="002C5BD7"/>
    <w:rsid w:val="002C6965"/>
    <w:rsid w:val="002C7D6A"/>
    <w:rsid w:val="002D001A"/>
    <w:rsid w:val="002D1F77"/>
    <w:rsid w:val="002D2989"/>
    <w:rsid w:val="002D3141"/>
    <w:rsid w:val="002D317B"/>
    <w:rsid w:val="002D3587"/>
    <w:rsid w:val="002D3AF7"/>
    <w:rsid w:val="002D502D"/>
    <w:rsid w:val="002D7060"/>
    <w:rsid w:val="002D71E2"/>
    <w:rsid w:val="002D74D6"/>
    <w:rsid w:val="002E01C5"/>
    <w:rsid w:val="002E0F69"/>
    <w:rsid w:val="002E1A63"/>
    <w:rsid w:val="002E2A43"/>
    <w:rsid w:val="002E37C7"/>
    <w:rsid w:val="002E3F14"/>
    <w:rsid w:val="002E57E9"/>
    <w:rsid w:val="002E6DCD"/>
    <w:rsid w:val="002F0CDB"/>
    <w:rsid w:val="002F298E"/>
    <w:rsid w:val="002F39A6"/>
    <w:rsid w:val="002F4976"/>
    <w:rsid w:val="002F5147"/>
    <w:rsid w:val="002F590E"/>
    <w:rsid w:val="002F69E3"/>
    <w:rsid w:val="002F6A9D"/>
    <w:rsid w:val="002F7084"/>
    <w:rsid w:val="00300A1B"/>
    <w:rsid w:val="00303E82"/>
    <w:rsid w:val="0030478C"/>
    <w:rsid w:val="00304795"/>
    <w:rsid w:val="00304E19"/>
    <w:rsid w:val="00305C8E"/>
    <w:rsid w:val="0030643D"/>
    <w:rsid w:val="00306F8D"/>
    <w:rsid w:val="00310C4A"/>
    <w:rsid w:val="00312597"/>
    <w:rsid w:val="00313C77"/>
    <w:rsid w:val="00313F94"/>
    <w:rsid w:val="00314870"/>
    <w:rsid w:val="00314D99"/>
    <w:rsid w:val="003211AD"/>
    <w:rsid w:val="00322AE0"/>
    <w:rsid w:val="00323E72"/>
    <w:rsid w:val="00325386"/>
    <w:rsid w:val="00325649"/>
    <w:rsid w:val="00331B60"/>
    <w:rsid w:val="00334154"/>
    <w:rsid w:val="00334E10"/>
    <w:rsid w:val="00334F55"/>
    <w:rsid w:val="00336AA2"/>
    <w:rsid w:val="0034029F"/>
    <w:rsid w:val="00340687"/>
    <w:rsid w:val="00341FA0"/>
    <w:rsid w:val="0034225F"/>
    <w:rsid w:val="00343048"/>
    <w:rsid w:val="00344509"/>
    <w:rsid w:val="00352497"/>
    <w:rsid w:val="00352BCF"/>
    <w:rsid w:val="00353932"/>
    <w:rsid w:val="0035464B"/>
    <w:rsid w:val="00355BE9"/>
    <w:rsid w:val="00356B39"/>
    <w:rsid w:val="0036252A"/>
    <w:rsid w:val="00363968"/>
    <w:rsid w:val="003645EC"/>
    <w:rsid w:val="00364D9D"/>
    <w:rsid w:val="00365420"/>
    <w:rsid w:val="003671F3"/>
    <w:rsid w:val="00367454"/>
    <w:rsid w:val="0037085F"/>
    <w:rsid w:val="003709A1"/>
    <w:rsid w:val="003710E3"/>
    <w:rsid w:val="00372701"/>
    <w:rsid w:val="0037421D"/>
    <w:rsid w:val="0037435B"/>
    <w:rsid w:val="00376752"/>
    <w:rsid w:val="00376F32"/>
    <w:rsid w:val="00377E56"/>
    <w:rsid w:val="003823F8"/>
    <w:rsid w:val="00383DA1"/>
    <w:rsid w:val="0039019F"/>
    <w:rsid w:val="00390BF2"/>
    <w:rsid w:val="003910C5"/>
    <w:rsid w:val="0039212E"/>
    <w:rsid w:val="00392477"/>
    <w:rsid w:val="00393389"/>
    <w:rsid w:val="003934F3"/>
    <w:rsid w:val="0039361F"/>
    <w:rsid w:val="00393963"/>
    <w:rsid w:val="00395303"/>
    <w:rsid w:val="00395575"/>
    <w:rsid w:val="00395672"/>
    <w:rsid w:val="003974A0"/>
    <w:rsid w:val="00397984"/>
    <w:rsid w:val="003A06C8"/>
    <w:rsid w:val="003A0D7C"/>
    <w:rsid w:val="003A487F"/>
    <w:rsid w:val="003A5288"/>
    <w:rsid w:val="003A6B66"/>
    <w:rsid w:val="003A7E61"/>
    <w:rsid w:val="003B02CD"/>
    <w:rsid w:val="003B0722"/>
    <w:rsid w:val="003B0F53"/>
    <w:rsid w:val="003B1B00"/>
    <w:rsid w:val="003B2ACF"/>
    <w:rsid w:val="003B596E"/>
    <w:rsid w:val="003B7675"/>
    <w:rsid w:val="003B7EE7"/>
    <w:rsid w:val="003C0B26"/>
    <w:rsid w:val="003C23D6"/>
    <w:rsid w:val="003C2CCB"/>
    <w:rsid w:val="003C4B59"/>
    <w:rsid w:val="003C6804"/>
    <w:rsid w:val="003D0AFF"/>
    <w:rsid w:val="003D2A38"/>
    <w:rsid w:val="003D339C"/>
    <w:rsid w:val="003D3585"/>
    <w:rsid w:val="003D39EC"/>
    <w:rsid w:val="003D4F04"/>
    <w:rsid w:val="003D4F38"/>
    <w:rsid w:val="003D75C8"/>
    <w:rsid w:val="003E09D6"/>
    <w:rsid w:val="003E1B58"/>
    <w:rsid w:val="003E3DD5"/>
    <w:rsid w:val="003E5840"/>
    <w:rsid w:val="003E65AD"/>
    <w:rsid w:val="003E6877"/>
    <w:rsid w:val="003E7339"/>
    <w:rsid w:val="003F07C6"/>
    <w:rsid w:val="003F1F6B"/>
    <w:rsid w:val="003F2512"/>
    <w:rsid w:val="003F25F7"/>
    <w:rsid w:val="003F2BCE"/>
    <w:rsid w:val="003F3757"/>
    <w:rsid w:val="003F44B7"/>
    <w:rsid w:val="003F6262"/>
    <w:rsid w:val="003F6572"/>
    <w:rsid w:val="004014FD"/>
    <w:rsid w:val="0040181E"/>
    <w:rsid w:val="00401C22"/>
    <w:rsid w:val="00402144"/>
    <w:rsid w:val="0040329B"/>
    <w:rsid w:val="00403A16"/>
    <w:rsid w:val="00405441"/>
    <w:rsid w:val="00405D60"/>
    <w:rsid w:val="00410419"/>
    <w:rsid w:val="00413D48"/>
    <w:rsid w:val="00415DC2"/>
    <w:rsid w:val="00416959"/>
    <w:rsid w:val="00416DFA"/>
    <w:rsid w:val="00417E7D"/>
    <w:rsid w:val="004204D6"/>
    <w:rsid w:val="004209C2"/>
    <w:rsid w:val="00420F27"/>
    <w:rsid w:val="00422227"/>
    <w:rsid w:val="004268E9"/>
    <w:rsid w:val="00426962"/>
    <w:rsid w:val="0043414B"/>
    <w:rsid w:val="004348A6"/>
    <w:rsid w:val="00437C9E"/>
    <w:rsid w:val="00441AC2"/>
    <w:rsid w:val="00442315"/>
    <w:rsid w:val="0044249B"/>
    <w:rsid w:val="00443AC6"/>
    <w:rsid w:val="004445EC"/>
    <w:rsid w:val="00445243"/>
    <w:rsid w:val="00445915"/>
    <w:rsid w:val="0045023C"/>
    <w:rsid w:val="00451A5B"/>
    <w:rsid w:val="00452BCD"/>
    <w:rsid w:val="00452CEA"/>
    <w:rsid w:val="004555DC"/>
    <w:rsid w:val="00465B52"/>
    <w:rsid w:val="00467046"/>
    <w:rsid w:val="0046708E"/>
    <w:rsid w:val="00473208"/>
    <w:rsid w:val="00474463"/>
    <w:rsid w:val="00474531"/>
    <w:rsid w:val="00474B75"/>
    <w:rsid w:val="00474E76"/>
    <w:rsid w:val="00474E86"/>
    <w:rsid w:val="004754ED"/>
    <w:rsid w:val="0048010C"/>
    <w:rsid w:val="00480C1A"/>
    <w:rsid w:val="00482283"/>
    <w:rsid w:val="00483F0B"/>
    <w:rsid w:val="004846FE"/>
    <w:rsid w:val="00484957"/>
    <w:rsid w:val="00485395"/>
    <w:rsid w:val="0048649E"/>
    <w:rsid w:val="0048691C"/>
    <w:rsid w:val="004869B2"/>
    <w:rsid w:val="0049377B"/>
    <w:rsid w:val="00494106"/>
    <w:rsid w:val="004943DE"/>
    <w:rsid w:val="0049442C"/>
    <w:rsid w:val="00494BC7"/>
    <w:rsid w:val="004956B3"/>
    <w:rsid w:val="00495B87"/>
    <w:rsid w:val="00496319"/>
    <w:rsid w:val="0049643A"/>
    <w:rsid w:val="004A3CB0"/>
    <w:rsid w:val="004A4E77"/>
    <w:rsid w:val="004A52B1"/>
    <w:rsid w:val="004A5CF3"/>
    <w:rsid w:val="004B0C27"/>
    <w:rsid w:val="004B276F"/>
    <w:rsid w:val="004B406D"/>
    <w:rsid w:val="004B5465"/>
    <w:rsid w:val="004B6DD9"/>
    <w:rsid w:val="004C2ACE"/>
    <w:rsid w:val="004C2B66"/>
    <w:rsid w:val="004C2EF7"/>
    <w:rsid w:val="004C5B3A"/>
    <w:rsid w:val="004C5FEA"/>
    <w:rsid w:val="004C6633"/>
    <w:rsid w:val="004C686B"/>
    <w:rsid w:val="004C71C5"/>
    <w:rsid w:val="004D05AD"/>
    <w:rsid w:val="004D145D"/>
    <w:rsid w:val="004D505E"/>
    <w:rsid w:val="004D6679"/>
    <w:rsid w:val="004D686D"/>
    <w:rsid w:val="004D72CA"/>
    <w:rsid w:val="004D77CF"/>
    <w:rsid w:val="004E101E"/>
    <w:rsid w:val="004E2242"/>
    <w:rsid w:val="004E3B3A"/>
    <w:rsid w:val="004E3E57"/>
    <w:rsid w:val="004E3F81"/>
    <w:rsid w:val="004E46F1"/>
    <w:rsid w:val="004E552A"/>
    <w:rsid w:val="004E5B4C"/>
    <w:rsid w:val="004E7CD2"/>
    <w:rsid w:val="004F02DF"/>
    <w:rsid w:val="004F031E"/>
    <w:rsid w:val="004F077D"/>
    <w:rsid w:val="004F0877"/>
    <w:rsid w:val="004F13C7"/>
    <w:rsid w:val="004F20E7"/>
    <w:rsid w:val="004F42FF"/>
    <w:rsid w:val="004F44C2"/>
    <w:rsid w:val="004F528F"/>
    <w:rsid w:val="00500049"/>
    <w:rsid w:val="0050269E"/>
    <w:rsid w:val="00503770"/>
    <w:rsid w:val="00505874"/>
    <w:rsid w:val="00507306"/>
    <w:rsid w:val="00507E34"/>
    <w:rsid w:val="005101B0"/>
    <w:rsid w:val="0051085D"/>
    <w:rsid w:val="005116BC"/>
    <w:rsid w:val="005122B5"/>
    <w:rsid w:val="00516022"/>
    <w:rsid w:val="00517406"/>
    <w:rsid w:val="0051741D"/>
    <w:rsid w:val="00517735"/>
    <w:rsid w:val="0052059B"/>
    <w:rsid w:val="00521271"/>
    <w:rsid w:val="00521CEE"/>
    <w:rsid w:val="00522371"/>
    <w:rsid w:val="00522C5C"/>
    <w:rsid w:val="00523692"/>
    <w:rsid w:val="00523F46"/>
    <w:rsid w:val="00524789"/>
    <w:rsid w:val="0052634E"/>
    <w:rsid w:val="005265D9"/>
    <w:rsid w:val="0052765D"/>
    <w:rsid w:val="00530679"/>
    <w:rsid w:val="005306D3"/>
    <w:rsid w:val="00530A94"/>
    <w:rsid w:val="00530EB5"/>
    <w:rsid w:val="005314DF"/>
    <w:rsid w:val="00531F31"/>
    <w:rsid w:val="00531FAA"/>
    <w:rsid w:val="00533FB9"/>
    <w:rsid w:val="00534D57"/>
    <w:rsid w:val="005354E8"/>
    <w:rsid w:val="00535953"/>
    <w:rsid w:val="00535A9E"/>
    <w:rsid w:val="0054126A"/>
    <w:rsid w:val="00541FBD"/>
    <w:rsid w:val="00541FE7"/>
    <w:rsid w:val="005429DC"/>
    <w:rsid w:val="00544550"/>
    <w:rsid w:val="00550032"/>
    <w:rsid w:val="00550C40"/>
    <w:rsid w:val="00551C3A"/>
    <w:rsid w:val="00553990"/>
    <w:rsid w:val="00553BA6"/>
    <w:rsid w:val="00554E13"/>
    <w:rsid w:val="005556FC"/>
    <w:rsid w:val="005558E0"/>
    <w:rsid w:val="005604A4"/>
    <w:rsid w:val="005614CD"/>
    <w:rsid w:val="0056224D"/>
    <w:rsid w:val="00562FC3"/>
    <w:rsid w:val="00563E27"/>
    <w:rsid w:val="00565D69"/>
    <w:rsid w:val="00565F0F"/>
    <w:rsid w:val="00573041"/>
    <w:rsid w:val="0057381D"/>
    <w:rsid w:val="00574E0A"/>
    <w:rsid w:val="00575B80"/>
    <w:rsid w:val="00580510"/>
    <w:rsid w:val="005808FB"/>
    <w:rsid w:val="0058130B"/>
    <w:rsid w:val="005819CE"/>
    <w:rsid w:val="0058298D"/>
    <w:rsid w:val="00582DF2"/>
    <w:rsid w:val="005845A6"/>
    <w:rsid w:val="0058501A"/>
    <w:rsid w:val="005867DB"/>
    <w:rsid w:val="00587A18"/>
    <w:rsid w:val="0059071D"/>
    <w:rsid w:val="0059136E"/>
    <w:rsid w:val="00591CA3"/>
    <w:rsid w:val="0059214D"/>
    <w:rsid w:val="005929BC"/>
    <w:rsid w:val="00592F9F"/>
    <w:rsid w:val="00593BD6"/>
    <w:rsid w:val="00593C2B"/>
    <w:rsid w:val="00594739"/>
    <w:rsid w:val="0059482B"/>
    <w:rsid w:val="00594EB3"/>
    <w:rsid w:val="00596166"/>
    <w:rsid w:val="005A12AB"/>
    <w:rsid w:val="005A1BBD"/>
    <w:rsid w:val="005A1D94"/>
    <w:rsid w:val="005A422E"/>
    <w:rsid w:val="005A47D3"/>
    <w:rsid w:val="005A66B4"/>
    <w:rsid w:val="005A7AD2"/>
    <w:rsid w:val="005B2502"/>
    <w:rsid w:val="005B3FC5"/>
    <w:rsid w:val="005B411B"/>
    <w:rsid w:val="005B47CC"/>
    <w:rsid w:val="005B4C90"/>
    <w:rsid w:val="005B5AA1"/>
    <w:rsid w:val="005B71B7"/>
    <w:rsid w:val="005B7306"/>
    <w:rsid w:val="005C0E85"/>
    <w:rsid w:val="005C1154"/>
    <w:rsid w:val="005C2417"/>
    <w:rsid w:val="005C3F39"/>
    <w:rsid w:val="005C3FE0"/>
    <w:rsid w:val="005C4A05"/>
    <w:rsid w:val="005C6F3C"/>
    <w:rsid w:val="005C740C"/>
    <w:rsid w:val="005D1C31"/>
    <w:rsid w:val="005D2E9E"/>
    <w:rsid w:val="005D625B"/>
    <w:rsid w:val="005D6AB1"/>
    <w:rsid w:val="005E27A3"/>
    <w:rsid w:val="005E4228"/>
    <w:rsid w:val="005E5187"/>
    <w:rsid w:val="005E5A78"/>
    <w:rsid w:val="005F0C06"/>
    <w:rsid w:val="005F1DBC"/>
    <w:rsid w:val="005F2507"/>
    <w:rsid w:val="005F3CE7"/>
    <w:rsid w:val="005F462D"/>
    <w:rsid w:val="005F47AE"/>
    <w:rsid w:val="005F664B"/>
    <w:rsid w:val="005F6805"/>
    <w:rsid w:val="005F6D11"/>
    <w:rsid w:val="00600B57"/>
    <w:rsid w:val="00600CF0"/>
    <w:rsid w:val="006022BA"/>
    <w:rsid w:val="00602F6C"/>
    <w:rsid w:val="0060423D"/>
    <w:rsid w:val="006048F4"/>
    <w:rsid w:val="00604CD1"/>
    <w:rsid w:val="00605288"/>
    <w:rsid w:val="0060660A"/>
    <w:rsid w:val="00606646"/>
    <w:rsid w:val="0060733A"/>
    <w:rsid w:val="00607C11"/>
    <w:rsid w:val="00607DDB"/>
    <w:rsid w:val="0061064A"/>
    <w:rsid w:val="00611CB2"/>
    <w:rsid w:val="00611E55"/>
    <w:rsid w:val="00612F45"/>
    <w:rsid w:val="00615D4D"/>
    <w:rsid w:val="006169CB"/>
    <w:rsid w:val="00617A44"/>
    <w:rsid w:val="00617BDD"/>
    <w:rsid w:val="006202B6"/>
    <w:rsid w:val="00622291"/>
    <w:rsid w:val="00625CD0"/>
    <w:rsid w:val="00627432"/>
    <w:rsid w:val="00630C40"/>
    <w:rsid w:val="00631090"/>
    <w:rsid w:val="00632E80"/>
    <w:rsid w:val="0063350C"/>
    <w:rsid w:val="00635C18"/>
    <w:rsid w:val="00640730"/>
    <w:rsid w:val="006425CB"/>
    <w:rsid w:val="00643931"/>
    <w:rsid w:val="006448E4"/>
    <w:rsid w:val="00644D9E"/>
    <w:rsid w:val="0064752B"/>
    <w:rsid w:val="0064767E"/>
    <w:rsid w:val="0065066C"/>
    <w:rsid w:val="00650EF6"/>
    <w:rsid w:val="00650F01"/>
    <w:rsid w:val="00651164"/>
    <w:rsid w:val="00651843"/>
    <w:rsid w:val="00653606"/>
    <w:rsid w:val="0065387C"/>
    <w:rsid w:val="00654179"/>
    <w:rsid w:val="0065654C"/>
    <w:rsid w:val="006574CA"/>
    <w:rsid w:val="00661591"/>
    <w:rsid w:val="0066195F"/>
    <w:rsid w:val="006627E9"/>
    <w:rsid w:val="0066317C"/>
    <w:rsid w:val="006641FE"/>
    <w:rsid w:val="00664254"/>
    <w:rsid w:val="006656FD"/>
    <w:rsid w:val="00665801"/>
    <w:rsid w:val="0066632F"/>
    <w:rsid w:val="006665FB"/>
    <w:rsid w:val="00666696"/>
    <w:rsid w:val="00673DC0"/>
    <w:rsid w:val="00674A89"/>
    <w:rsid w:val="00674ED9"/>
    <w:rsid w:val="00676426"/>
    <w:rsid w:val="00677352"/>
    <w:rsid w:val="00677908"/>
    <w:rsid w:val="00681D11"/>
    <w:rsid w:val="00683F66"/>
    <w:rsid w:val="00685545"/>
    <w:rsid w:val="006864B3"/>
    <w:rsid w:val="00686B33"/>
    <w:rsid w:val="00690624"/>
    <w:rsid w:val="00690A7E"/>
    <w:rsid w:val="006930D8"/>
    <w:rsid w:val="0069334D"/>
    <w:rsid w:val="00694BEB"/>
    <w:rsid w:val="00697011"/>
    <w:rsid w:val="006A06F6"/>
    <w:rsid w:val="006A07A1"/>
    <w:rsid w:val="006A10F8"/>
    <w:rsid w:val="006A2100"/>
    <w:rsid w:val="006A3981"/>
    <w:rsid w:val="006A5C10"/>
    <w:rsid w:val="006A67AC"/>
    <w:rsid w:val="006A6A24"/>
    <w:rsid w:val="006A7295"/>
    <w:rsid w:val="006B0209"/>
    <w:rsid w:val="006B0BF3"/>
    <w:rsid w:val="006B1D6E"/>
    <w:rsid w:val="006B1E4B"/>
    <w:rsid w:val="006B2862"/>
    <w:rsid w:val="006B3C79"/>
    <w:rsid w:val="006B6FDF"/>
    <w:rsid w:val="006B775E"/>
    <w:rsid w:val="006C079E"/>
    <w:rsid w:val="006C2535"/>
    <w:rsid w:val="006C37DA"/>
    <w:rsid w:val="006C4125"/>
    <w:rsid w:val="006C441E"/>
    <w:rsid w:val="006C4B90"/>
    <w:rsid w:val="006C713E"/>
    <w:rsid w:val="006D0423"/>
    <w:rsid w:val="006D0FC7"/>
    <w:rsid w:val="006D1016"/>
    <w:rsid w:val="006D17F2"/>
    <w:rsid w:val="006D1877"/>
    <w:rsid w:val="006D1A26"/>
    <w:rsid w:val="006D24C8"/>
    <w:rsid w:val="006D2659"/>
    <w:rsid w:val="006D2BAE"/>
    <w:rsid w:val="006D3AB9"/>
    <w:rsid w:val="006D61DD"/>
    <w:rsid w:val="006D6C94"/>
    <w:rsid w:val="006E096F"/>
    <w:rsid w:val="006E2F1D"/>
    <w:rsid w:val="006E3257"/>
    <w:rsid w:val="006E3546"/>
    <w:rsid w:val="006E3F8B"/>
    <w:rsid w:val="006E3FA9"/>
    <w:rsid w:val="006E597F"/>
    <w:rsid w:val="006E6E6B"/>
    <w:rsid w:val="006E71B4"/>
    <w:rsid w:val="006E7601"/>
    <w:rsid w:val="006E7A44"/>
    <w:rsid w:val="006E7D82"/>
    <w:rsid w:val="006F0B9E"/>
    <w:rsid w:val="006F0F93"/>
    <w:rsid w:val="006F18BF"/>
    <w:rsid w:val="006F31F2"/>
    <w:rsid w:val="006F4347"/>
    <w:rsid w:val="006F5E35"/>
    <w:rsid w:val="006F6E36"/>
    <w:rsid w:val="00700C54"/>
    <w:rsid w:val="00703B23"/>
    <w:rsid w:val="00703FD6"/>
    <w:rsid w:val="00704C1E"/>
    <w:rsid w:val="007111DD"/>
    <w:rsid w:val="00711DF6"/>
    <w:rsid w:val="00713579"/>
    <w:rsid w:val="00714DC5"/>
    <w:rsid w:val="00715237"/>
    <w:rsid w:val="0072232C"/>
    <w:rsid w:val="00722CA6"/>
    <w:rsid w:val="00724E25"/>
    <w:rsid w:val="007254A5"/>
    <w:rsid w:val="00725748"/>
    <w:rsid w:val="007265AD"/>
    <w:rsid w:val="007269C3"/>
    <w:rsid w:val="0072749D"/>
    <w:rsid w:val="00731282"/>
    <w:rsid w:val="00731689"/>
    <w:rsid w:val="00732028"/>
    <w:rsid w:val="0073502D"/>
    <w:rsid w:val="00735D88"/>
    <w:rsid w:val="0073631A"/>
    <w:rsid w:val="0073703B"/>
    <w:rsid w:val="0073720D"/>
    <w:rsid w:val="00737507"/>
    <w:rsid w:val="00737F4C"/>
    <w:rsid w:val="007402E0"/>
    <w:rsid w:val="00740712"/>
    <w:rsid w:val="00740EBC"/>
    <w:rsid w:val="0074247B"/>
    <w:rsid w:val="00742AB9"/>
    <w:rsid w:val="00743023"/>
    <w:rsid w:val="007431A0"/>
    <w:rsid w:val="007434D8"/>
    <w:rsid w:val="007454D4"/>
    <w:rsid w:val="007454E5"/>
    <w:rsid w:val="00745A43"/>
    <w:rsid w:val="00745AC1"/>
    <w:rsid w:val="00745B82"/>
    <w:rsid w:val="00746233"/>
    <w:rsid w:val="0075174C"/>
    <w:rsid w:val="00752363"/>
    <w:rsid w:val="0075450D"/>
    <w:rsid w:val="00754851"/>
    <w:rsid w:val="00754FBF"/>
    <w:rsid w:val="00755F69"/>
    <w:rsid w:val="0075648C"/>
    <w:rsid w:val="00757292"/>
    <w:rsid w:val="007602C3"/>
    <w:rsid w:val="00761538"/>
    <w:rsid w:val="00764366"/>
    <w:rsid w:val="00764A5C"/>
    <w:rsid w:val="007659BC"/>
    <w:rsid w:val="00766607"/>
    <w:rsid w:val="00766E8E"/>
    <w:rsid w:val="0077006F"/>
    <w:rsid w:val="007709EF"/>
    <w:rsid w:val="007723CB"/>
    <w:rsid w:val="007730F8"/>
    <w:rsid w:val="00773B81"/>
    <w:rsid w:val="007748E8"/>
    <w:rsid w:val="00775E3C"/>
    <w:rsid w:val="00776558"/>
    <w:rsid w:val="00780D4A"/>
    <w:rsid w:val="00781134"/>
    <w:rsid w:val="0078333E"/>
    <w:rsid w:val="00783559"/>
    <w:rsid w:val="0078669A"/>
    <w:rsid w:val="007878D4"/>
    <w:rsid w:val="00790928"/>
    <w:rsid w:val="007949F0"/>
    <w:rsid w:val="007952D9"/>
    <w:rsid w:val="00797385"/>
    <w:rsid w:val="00797AA5"/>
    <w:rsid w:val="00797F60"/>
    <w:rsid w:val="007A207E"/>
    <w:rsid w:val="007A35A6"/>
    <w:rsid w:val="007A4105"/>
    <w:rsid w:val="007A477C"/>
    <w:rsid w:val="007A53EB"/>
    <w:rsid w:val="007A6307"/>
    <w:rsid w:val="007A7089"/>
    <w:rsid w:val="007A7DA3"/>
    <w:rsid w:val="007A7F28"/>
    <w:rsid w:val="007B0398"/>
    <w:rsid w:val="007B06D0"/>
    <w:rsid w:val="007B16BE"/>
    <w:rsid w:val="007B231C"/>
    <w:rsid w:val="007B2B81"/>
    <w:rsid w:val="007B2FD2"/>
    <w:rsid w:val="007B3CE1"/>
    <w:rsid w:val="007B429C"/>
    <w:rsid w:val="007B4503"/>
    <w:rsid w:val="007B4D7F"/>
    <w:rsid w:val="007B64A9"/>
    <w:rsid w:val="007B692F"/>
    <w:rsid w:val="007B7B40"/>
    <w:rsid w:val="007C02AF"/>
    <w:rsid w:val="007C2029"/>
    <w:rsid w:val="007C20BA"/>
    <w:rsid w:val="007C406E"/>
    <w:rsid w:val="007C5074"/>
    <w:rsid w:val="007C5183"/>
    <w:rsid w:val="007C59A1"/>
    <w:rsid w:val="007C5B38"/>
    <w:rsid w:val="007C67B3"/>
    <w:rsid w:val="007C7DD6"/>
    <w:rsid w:val="007C7E74"/>
    <w:rsid w:val="007D0050"/>
    <w:rsid w:val="007D0A6B"/>
    <w:rsid w:val="007D0F54"/>
    <w:rsid w:val="007D1311"/>
    <w:rsid w:val="007D21B7"/>
    <w:rsid w:val="007D249B"/>
    <w:rsid w:val="007D3352"/>
    <w:rsid w:val="007D385C"/>
    <w:rsid w:val="007D4A8D"/>
    <w:rsid w:val="007D4A8E"/>
    <w:rsid w:val="007D524A"/>
    <w:rsid w:val="007D529C"/>
    <w:rsid w:val="007D5D08"/>
    <w:rsid w:val="007D7B85"/>
    <w:rsid w:val="007E15D3"/>
    <w:rsid w:val="007E175D"/>
    <w:rsid w:val="007E2123"/>
    <w:rsid w:val="007E2343"/>
    <w:rsid w:val="007E2B20"/>
    <w:rsid w:val="007E380D"/>
    <w:rsid w:val="007E4395"/>
    <w:rsid w:val="007E50CF"/>
    <w:rsid w:val="007E6CD4"/>
    <w:rsid w:val="007E7E96"/>
    <w:rsid w:val="007F0827"/>
    <w:rsid w:val="007F21D4"/>
    <w:rsid w:val="007F2868"/>
    <w:rsid w:val="007F287C"/>
    <w:rsid w:val="007F3C2D"/>
    <w:rsid w:val="007F4437"/>
    <w:rsid w:val="007F5331"/>
    <w:rsid w:val="007F60A7"/>
    <w:rsid w:val="007F7E17"/>
    <w:rsid w:val="008001DA"/>
    <w:rsid w:val="00800CCA"/>
    <w:rsid w:val="00802763"/>
    <w:rsid w:val="00806120"/>
    <w:rsid w:val="00810AC0"/>
    <w:rsid w:val="00812028"/>
    <w:rsid w:val="0081249C"/>
    <w:rsid w:val="00813082"/>
    <w:rsid w:val="00813F42"/>
    <w:rsid w:val="00814D03"/>
    <w:rsid w:val="0081547C"/>
    <w:rsid w:val="00816D33"/>
    <w:rsid w:val="00822285"/>
    <w:rsid w:val="00822B1E"/>
    <w:rsid w:val="00822C15"/>
    <w:rsid w:val="00823A61"/>
    <w:rsid w:val="00823AE2"/>
    <w:rsid w:val="0082448C"/>
    <w:rsid w:val="0082658D"/>
    <w:rsid w:val="00827E03"/>
    <w:rsid w:val="008309F2"/>
    <w:rsid w:val="00830FAC"/>
    <w:rsid w:val="0083178B"/>
    <w:rsid w:val="0083236B"/>
    <w:rsid w:val="00833246"/>
    <w:rsid w:val="00833399"/>
    <w:rsid w:val="00833695"/>
    <w:rsid w:val="008336B7"/>
    <w:rsid w:val="00833872"/>
    <w:rsid w:val="00833A8E"/>
    <w:rsid w:val="00834CAD"/>
    <w:rsid w:val="0083582A"/>
    <w:rsid w:val="008413E5"/>
    <w:rsid w:val="008426EA"/>
    <w:rsid w:val="00842CD8"/>
    <w:rsid w:val="008431FA"/>
    <w:rsid w:val="00844FF5"/>
    <w:rsid w:val="00845A01"/>
    <w:rsid w:val="00850856"/>
    <w:rsid w:val="00851F72"/>
    <w:rsid w:val="0085262B"/>
    <w:rsid w:val="00853234"/>
    <w:rsid w:val="00854008"/>
    <w:rsid w:val="00854039"/>
    <w:rsid w:val="008547BA"/>
    <w:rsid w:val="008553C7"/>
    <w:rsid w:val="0085568B"/>
    <w:rsid w:val="008561B7"/>
    <w:rsid w:val="00857786"/>
    <w:rsid w:val="008579D2"/>
    <w:rsid w:val="00857ABA"/>
    <w:rsid w:val="00857B7C"/>
    <w:rsid w:val="00857FEB"/>
    <w:rsid w:val="008601AF"/>
    <w:rsid w:val="00861833"/>
    <w:rsid w:val="00862CC6"/>
    <w:rsid w:val="00862F27"/>
    <w:rsid w:val="00863AA8"/>
    <w:rsid w:val="00864102"/>
    <w:rsid w:val="00865E42"/>
    <w:rsid w:val="008701E3"/>
    <w:rsid w:val="008714D7"/>
    <w:rsid w:val="00872271"/>
    <w:rsid w:val="0087418A"/>
    <w:rsid w:val="00877A33"/>
    <w:rsid w:val="00881F19"/>
    <w:rsid w:val="00882623"/>
    <w:rsid w:val="00882B46"/>
    <w:rsid w:val="00883098"/>
    <w:rsid w:val="00886486"/>
    <w:rsid w:val="00890FB6"/>
    <w:rsid w:val="0089120A"/>
    <w:rsid w:val="00894C67"/>
    <w:rsid w:val="0089713E"/>
    <w:rsid w:val="00897481"/>
    <w:rsid w:val="008A190D"/>
    <w:rsid w:val="008A28F5"/>
    <w:rsid w:val="008A2D2C"/>
    <w:rsid w:val="008A52D1"/>
    <w:rsid w:val="008A5932"/>
    <w:rsid w:val="008A6515"/>
    <w:rsid w:val="008B0AEB"/>
    <w:rsid w:val="008B31D7"/>
    <w:rsid w:val="008B35D7"/>
    <w:rsid w:val="008B3880"/>
    <w:rsid w:val="008B3929"/>
    <w:rsid w:val="008B3DCF"/>
    <w:rsid w:val="008B4C87"/>
    <w:rsid w:val="008B4CB3"/>
    <w:rsid w:val="008B67C1"/>
    <w:rsid w:val="008B7B24"/>
    <w:rsid w:val="008C2DA6"/>
    <w:rsid w:val="008C356D"/>
    <w:rsid w:val="008C46DF"/>
    <w:rsid w:val="008C638C"/>
    <w:rsid w:val="008C76B6"/>
    <w:rsid w:val="008D15A5"/>
    <w:rsid w:val="008D345F"/>
    <w:rsid w:val="008D3A7D"/>
    <w:rsid w:val="008D4E4A"/>
    <w:rsid w:val="008D6C99"/>
    <w:rsid w:val="008D77CF"/>
    <w:rsid w:val="008E06E9"/>
    <w:rsid w:val="008E077D"/>
    <w:rsid w:val="008E19CC"/>
    <w:rsid w:val="008E3A73"/>
    <w:rsid w:val="008E3B63"/>
    <w:rsid w:val="008E3E9B"/>
    <w:rsid w:val="008E49AD"/>
    <w:rsid w:val="008E602E"/>
    <w:rsid w:val="008F18B1"/>
    <w:rsid w:val="008F2731"/>
    <w:rsid w:val="008F3246"/>
    <w:rsid w:val="008F3C1B"/>
    <w:rsid w:val="008F41D7"/>
    <w:rsid w:val="008F508C"/>
    <w:rsid w:val="008F5662"/>
    <w:rsid w:val="008F78B3"/>
    <w:rsid w:val="0090271B"/>
    <w:rsid w:val="00906290"/>
    <w:rsid w:val="00906C8C"/>
    <w:rsid w:val="00910642"/>
    <w:rsid w:val="00910DDF"/>
    <w:rsid w:val="00912B49"/>
    <w:rsid w:val="009133BB"/>
    <w:rsid w:val="0091596F"/>
    <w:rsid w:val="00915D7E"/>
    <w:rsid w:val="00916B2E"/>
    <w:rsid w:val="0091767B"/>
    <w:rsid w:val="00920308"/>
    <w:rsid w:val="00920E46"/>
    <w:rsid w:val="00923932"/>
    <w:rsid w:val="00925121"/>
    <w:rsid w:val="009260C3"/>
    <w:rsid w:val="009311C8"/>
    <w:rsid w:val="00932636"/>
    <w:rsid w:val="00933376"/>
    <w:rsid w:val="00933A2F"/>
    <w:rsid w:val="0093469A"/>
    <w:rsid w:val="00934AD5"/>
    <w:rsid w:val="00937AE3"/>
    <w:rsid w:val="00942809"/>
    <w:rsid w:val="00943CEA"/>
    <w:rsid w:val="00943D63"/>
    <w:rsid w:val="00943EDE"/>
    <w:rsid w:val="0094429A"/>
    <w:rsid w:val="009442C4"/>
    <w:rsid w:val="00947664"/>
    <w:rsid w:val="009517CD"/>
    <w:rsid w:val="009526AD"/>
    <w:rsid w:val="00955A51"/>
    <w:rsid w:val="00955DB1"/>
    <w:rsid w:val="00957A73"/>
    <w:rsid w:val="009625B9"/>
    <w:rsid w:val="00965A0E"/>
    <w:rsid w:val="00966E52"/>
    <w:rsid w:val="009708F6"/>
    <w:rsid w:val="009718F9"/>
    <w:rsid w:val="0097285A"/>
    <w:rsid w:val="00972FB9"/>
    <w:rsid w:val="00973411"/>
    <w:rsid w:val="00973727"/>
    <w:rsid w:val="00975112"/>
    <w:rsid w:val="0097598D"/>
    <w:rsid w:val="00976069"/>
    <w:rsid w:val="00976454"/>
    <w:rsid w:val="009809C0"/>
    <w:rsid w:val="00981768"/>
    <w:rsid w:val="00981D0E"/>
    <w:rsid w:val="00982AEE"/>
    <w:rsid w:val="00982E8F"/>
    <w:rsid w:val="009839D2"/>
    <w:rsid w:val="00983E8F"/>
    <w:rsid w:val="00987C51"/>
    <w:rsid w:val="00994384"/>
    <w:rsid w:val="00994494"/>
    <w:rsid w:val="00994FDA"/>
    <w:rsid w:val="00996B30"/>
    <w:rsid w:val="009A2586"/>
    <w:rsid w:val="009A28E6"/>
    <w:rsid w:val="009A2CA8"/>
    <w:rsid w:val="009A2FD7"/>
    <w:rsid w:val="009A3B71"/>
    <w:rsid w:val="009A44A4"/>
    <w:rsid w:val="009A61BC"/>
    <w:rsid w:val="009A6A78"/>
    <w:rsid w:val="009A7016"/>
    <w:rsid w:val="009A7818"/>
    <w:rsid w:val="009A7EFC"/>
    <w:rsid w:val="009B0138"/>
    <w:rsid w:val="009B03A9"/>
    <w:rsid w:val="009B0DE2"/>
    <w:rsid w:val="009B0FE9"/>
    <w:rsid w:val="009B14C6"/>
    <w:rsid w:val="009B2187"/>
    <w:rsid w:val="009B49A1"/>
    <w:rsid w:val="009C0972"/>
    <w:rsid w:val="009C1090"/>
    <w:rsid w:val="009C136B"/>
    <w:rsid w:val="009C22CA"/>
    <w:rsid w:val="009C3F20"/>
    <w:rsid w:val="009C4FEE"/>
    <w:rsid w:val="009C5731"/>
    <w:rsid w:val="009C7CA1"/>
    <w:rsid w:val="009C7DD6"/>
    <w:rsid w:val="009D0339"/>
    <w:rsid w:val="009D043D"/>
    <w:rsid w:val="009D279A"/>
    <w:rsid w:val="009D58AC"/>
    <w:rsid w:val="009D5D50"/>
    <w:rsid w:val="009E0CF6"/>
    <w:rsid w:val="009E1B60"/>
    <w:rsid w:val="009E3436"/>
    <w:rsid w:val="009E4C5D"/>
    <w:rsid w:val="009E5E49"/>
    <w:rsid w:val="009E62E5"/>
    <w:rsid w:val="009F06F6"/>
    <w:rsid w:val="009F0860"/>
    <w:rsid w:val="009F0CCC"/>
    <w:rsid w:val="009F0F65"/>
    <w:rsid w:val="009F2B3A"/>
    <w:rsid w:val="009F3259"/>
    <w:rsid w:val="009F4087"/>
    <w:rsid w:val="009F5C87"/>
    <w:rsid w:val="009F7A24"/>
    <w:rsid w:val="00A002D7"/>
    <w:rsid w:val="00A0295A"/>
    <w:rsid w:val="00A0581A"/>
    <w:rsid w:val="00A0659F"/>
    <w:rsid w:val="00A078B1"/>
    <w:rsid w:val="00A07F55"/>
    <w:rsid w:val="00A128AD"/>
    <w:rsid w:val="00A149E2"/>
    <w:rsid w:val="00A15D93"/>
    <w:rsid w:val="00A165F6"/>
    <w:rsid w:val="00A16996"/>
    <w:rsid w:val="00A21934"/>
    <w:rsid w:val="00A21E76"/>
    <w:rsid w:val="00A22FA9"/>
    <w:rsid w:val="00A2333E"/>
    <w:rsid w:val="00A23BC8"/>
    <w:rsid w:val="00A2457A"/>
    <w:rsid w:val="00A24E34"/>
    <w:rsid w:val="00A24F15"/>
    <w:rsid w:val="00A25378"/>
    <w:rsid w:val="00A25C2A"/>
    <w:rsid w:val="00A26277"/>
    <w:rsid w:val="00A26B3D"/>
    <w:rsid w:val="00A27CE4"/>
    <w:rsid w:val="00A30D54"/>
    <w:rsid w:val="00A30E68"/>
    <w:rsid w:val="00A31933"/>
    <w:rsid w:val="00A33238"/>
    <w:rsid w:val="00A34AA0"/>
    <w:rsid w:val="00A34B31"/>
    <w:rsid w:val="00A35D4A"/>
    <w:rsid w:val="00A379B6"/>
    <w:rsid w:val="00A37A7E"/>
    <w:rsid w:val="00A41FE2"/>
    <w:rsid w:val="00A429FB"/>
    <w:rsid w:val="00A44820"/>
    <w:rsid w:val="00A473FF"/>
    <w:rsid w:val="00A47948"/>
    <w:rsid w:val="00A50824"/>
    <w:rsid w:val="00A547F6"/>
    <w:rsid w:val="00A54891"/>
    <w:rsid w:val="00A55876"/>
    <w:rsid w:val="00A5624B"/>
    <w:rsid w:val="00A56946"/>
    <w:rsid w:val="00A56C66"/>
    <w:rsid w:val="00A57E78"/>
    <w:rsid w:val="00A61931"/>
    <w:rsid w:val="00A62403"/>
    <w:rsid w:val="00A62791"/>
    <w:rsid w:val="00A63B8C"/>
    <w:rsid w:val="00A63E0F"/>
    <w:rsid w:val="00A66086"/>
    <w:rsid w:val="00A70360"/>
    <w:rsid w:val="00A71056"/>
    <w:rsid w:val="00A76080"/>
    <w:rsid w:val="00A76E7E"/>
    <w:rsid w:val="00A77F6F"/>
    <w:rsid w:val="00A80A50"/>
    <w:rsid w:val="00A82C69"/>
    <w:rsid w:val="00A831FD"/>
    <w:rsid w:val="00A84435"/>
    <w:rsid w:val="00A84AA7"/>
    <w:rsid w:val="00A85D2B"/>
    <w:rsid w:val="00A9016E"/>
    <w:rsid w:val="00A918E1"/>
    <w:rsid w:val="00A919EE"/>
    <w:rsid w:val="00A91FA3"/>
    <w:rsid w:val="00A92260"/>
    <w:rsid w:val="00A96EFF"/>
    <w:rsid w:val="00A96F03"/>
    <w:rsid w:val="00AA17DD"/>
    <w:rsid w:val="00AA3DE9"/>
    <w:rsid w:val="00AA411E"/>
    <w:rsid w:val="00AA5091"/>
    <w:rsid w:val="00AA7AA4"/>
    <w:rsid w:val="00AA7FC9"/>
    <w:rsid w:val="00AB02E7"/>
    <w:rsid w:val="00AB050C"/>
    <w:rsid w:val="00AB17D2"/>
    <w:rsid w:val="00AB237D"/>
    <w:rsid w:val="00AB2C5B"/>
    <w:rsid w:val="00AB2DD6"/>
    <w:rsid w:val="00AB34C4"/>
    <w:rsid w:val="00AB4949"/>
    <w:rsid w:val="00AB51BA"/>
    <w:rsid w:val="00AB5933"/>
    <w:rsid w:val="00AB5C4A"/>
    <w:rsid w:val="00AB6015"/>
    <w:rsid w:val="00AB76E4"/>
    <w:rsid w:val="00AC4C67"/>
    <w:rsid w:val="00AC6C80"/>
    <w:rsid w:val="00AC7296"/>
    <w:rsid w:val="00AD0425"/>
    <w:rsid w:val="00AD284A"/>
    <w:rsid w:val="00AD2AA3"/>
    <w:rsid w:val="00AD7341"/>
    <w:rsid w:val="00AE013D"/>
    <w:rsid w:val="00AE0D4B"/>
    <w:rsid w:val="00AE11B7"/>
    <w:rsid w:val="00AE122F"/>
    <w:rsid w:val="00AE2171"/>
    <w:rsid w:val="00AE2E3E"/>
    <w:rsid w:val="00AE339B"/>
    <w:rsid w:val="00AF070B"/>
    <w:rsid w:val="00AF13DA"/>
    <w:rsid w:val="00AF331A"/>
    <w:rsid w:val="00AF52F6"/>
    <w:rsid w:val="00AF7237"/>
    <w:rsid w:val="00AF78B4"/>
    <w:rsid w:val="00B0043A"/>
    <w:rsid w:val="00B00D75"/>
    <w:rsid w:val="00B03C09"/>
    <w:rsid w:val="00B05FCD"/>
    <w:rsid w:val="00B070CB"/>
    <w:rsid w:val="00B1021F"/>
    <w:rsid w:val="00B10EF0"/>
    <w:rsid w:val="00B12B38"/>
    <w:rsid w:val="00B131B8"/>
    <w:rsid w:val="00B13453"/>
    <w:rsid w:val="00B146CA"/>
    <w:rsid w:val="00B14EF1"/>
    <w:rsid w:val="00B16F3D"/>
    <w:rsid w:val="00B22152"/>
    <w:rsid w:val="00B231DE"/>
    <w:rsid w:val="00B2325C"/>
    <w:rsid w:val="00B23E3A"/>
    <w:rsid w:val="00B23F20"/>
    <w:rsid w:val="00B24F64"/>
    <w:rsid w:val="00B259C8"/>
    <w:rsid w:val="00B26B51"/>
    <w:rsid w:val="00B26CCF"/>
    <w:rsid w:val="00B30ED6"/>
    <w:rsid w:val="00B33402"/>
    <w:rsid w:val="00B34487"/>
    <w:rsid w:val="00B349FA"/>
    <w:rsid w:val="00B34C10"/>
    <w:rsid w:val="00B35829"/>
    <w:rsid w:val="00B37E93"/>
    <w:rsid w:val="00B421C6"/>
    <w:rsid w:val="00B425F0"/>
    <w:rsid w:val="00B42CCA"/>
    <w:rsid w:val="00B42DFA"/>
    <w:rsid w:val="00B44934"/>
    <w:rsid w:val="00B44A0A"/>
    <w:rsid w:val="00B44B5F"/>
    <w:rsid w:val="00B504E4"/>
    <w:rsid w:val="00B50FAD"/>
    <w:rsid w:val="00B51B00"/>
    <w:rsid w:val="00B52F43"/>
    <w:rsid w:val="00B531DD"/>
    <w:rsid w:val="00B53268"/>
    <w:rsid w:val="00B55014"/>
    <w:rsid w:val="00B564FD"/>
    <w:rsid w:val="00B57CF5"/>
    <w:rsid w:val="00B6054A"/>
    <w:rsid w:val="00B6143E"/>
    <w:rsid w:val="00B62232"/>
    <w:rsid w:val="00B6704F"/>
    <w:rsid w:val="00B707E5"/>
    <w:rsid w:val="00B71684"/>
    <w:rsid w:val="00B71DC2"/>
    <w:rsid w:val="00B73FA7"/>
    <w:rsid w:val="00B75357"/>
    <w:rsid w:val="00B82691"/>
    <w:rsid w:val="00B8378B"/>
    <w:rsid w:val="00B8421F"/>
    <w:rsid w:val="00B92128"/>
    <w:rsid w:val="00B92977"/>
    <w:rsid w:val="00B93893"/>
    <w:rsid w:val="00B95BDB"/>
    <w:rsid w:val="00B96734"/>
    <w:rsid w:val="00B96D2C"/>
    <w:rsid w:val="00B97EE0"/>
    <w:rsid w:val="00BA0846"/>
    <w:rsid w:val="00BA1B77"/>
    <w:rsid w:val="00BA1DE9"/>
    <w:rsid w:val="00BA28E0"/>
    <w:rsid w:val="00BA3037"/>
    <w:rsid w:val="00BA38DD"/>
    <w:rsid w:val="00BA4B3D"/>
    <w:rsid w:val="00BA4DD0"/>
    <w:rsid w:val="00BA5903"/>
    <w:rsid w:val="00BA700F"/>
    <w:rsid w:val="00BA7756"/>
    <w:rsid w:val="00BB034E"/>
    <w:rsid w:val="00BB3DD1"/>
    <w:rsid w:val="00BB4BB0"/>
    <w:rsid w:val="00BB6B1B"/>
    <w:rsid w:val="00BC013F"/>
    <w:rsid w:val="00BC164E"/>
    <w:rsid w:val="00BC3B53"/>
    <w:rsid w:val="00BC3B96"/>
    <w:rsid w:val="00BC4AE3"/>
    <w:rsid w:val="00BD3849"/>
    <w:rsid w:val="00BD58A1"/>
    <w:rsid w:val="00BD65B4"/>
    <w:rsid w:val="00BD7656"/>
    <w:rsid w:val="00BD770F"/>
    <w:rsid w:val="00BE0698"/>
    <w:rsid w:val="00BE1A98"/>
    <w:rsid w:val="00BE3C11"/>
    <w:rsid w:val="00BE3F88"/>
    <w:rsid w:val="00BE4756"/>
    <w:rsid w:val="00BE5ED9"/>
    <w:rsid w:val="00BE75CB"/>
    <w:rsid w:val="00BE77D3"/>
    <w:rsid w:val="00BE7B41"/>
    <w:rsid w:val="00BF071C"/>
    <w:rsid w:val="00BF142D"/>
    <w:rsid w:val="00BF5EAE"/>
    <w:rsid w:val="00C01882"/>
    <w:rsid w:val="00C0228C"/>
    <w:rsid w:val="00C04938"/>
    <w:rsid w:val="00C0621D"/>
    <w:rsid w:val="00C06B73"/>
    <w:rsid w:val="00C10275"/>
    <w:rsid w:val="00C1212C"/>
    <w:rsid w:val="00C12717"/>
    <w:rsid w:val="00C13D8F"/>
    <w:rsid w:val="00C1606A"/>
    <w:rsid w:val="00C16F85"/>
    <w:rsid w:val="00C1792E"/>
    <w:rsid w:val="00C17F9D"/>
    <w:rsid w:val="00C17FF0"/>
    <w:rsid w:val="00C20596"/>
    <w:rsid w:val="00C206F1"/>
    <w:rsid w:val="00C20B57"/>
    <w:rsid w:val="00C217E1"/>
    <w:rsid w:val="00C23013"/>
    <w:rsid w:val="00C24DE9"/>
    <w:rsid w:val="00C27699"/>
    <w:rsid w:val="00C32A2A"/>
    <w:rsid w:val="00C32AE9"/>
    <w:rsid w:val="00C345FB"/>
    <w:rsid w:val="00C34717"/>
    <w:rsid w:val="00C36C54"/>
    <w:rsid w:val="00C40C60"/>
    <w:rsid w:val="00C43100"/>
    <w:rsid w:val="00C43DBF"/>
    <w:rsid w:val="00C43DF7"/>
    <w:rsid w:val="00C44A14"/>
    <w:rsid w:val="00C47047"/>
    <w:rsid w:val="00C478DF"/>
    <w:rsid w:val="00C50B53"/>
    <w:rsid w:val="00C50EA1"/>
    <w:rsid w:val="00C511F1"/>
    <w:rsid w:val="00C51370"/>
    <w:rsid w:val="00C51741"/>
    <w:rsid w:val="00C5258E"/>
    <w:rsid w:val="00C5274C"/>
    <w:rsid w:val="00C52F79"/>
    <w:rsid w:val="00C5601C"/>
    <w:rsid w:val="00C56CC2"/>
    <w:rsid w:val="00C60224"/>
    <w:rsid w:val="00C6102C"/>
    <w:rsid w:val="00C62034"/>
    <w:rsid w:val="00C62213"/>
    <w:rsid w:val="00C64711"/>
    <w:rsid w:val="00C64D59"/>
    <w:rsid w:val="00C64DAD"/>
    <w:rsid w:val="00C65717"/>
    <w:rsid w:val="00C65E12"/>
    <w:rsid w:val="00C67E76"/>
    <w:rsid w:val="00C72038"/>
    <w:rsid w:val="00C72265"/>
    <w:rsid w:val="00C76D5D"/>
    <w:rsid w:val="00C77348"/>
    <w:rsid w:val="00C800A2"/>
    <w:rsid w:val="00C82E2A"/>
    <w:rsid w:val="00C830BD"/>
    <w:rsid w:val="00C85281"/>
    <w:rsid w:val="00C8654F"/>
    <w:rsid w:val="00C865E8"/>
    <w:rsid w:val="00C877F6"/>
    <w:rsid w:val="00C92010"/>
    <w:rsid w:val="00C9206B"/>
    <w:rsid w:val="00C92F22"/>
    <w:rsid w:val="00C938DF"/>
    <w:rsid w:val="00C9474D"/>
    <w:rsid w:val="00C96127"/>
    <w:rsid w:val="00C97C80"/>
    <w:rsid w:val="00CA1736"/>
    <w:rsid w:val="00CA2E4C"/>
    <w:rsid w:val="00CA47D3"/>
    <w:rsid w:val="00CA5524"/>
    <w:rsid w:val="00CA61B8"/>
    <w:rsid w:val="00CA6A3F"/>
    <w:rsid w:val="00CA7C99"/>
    <w:rsid w:val="00CB3FEA"/>
    <w:rsid w:val="00CB584F"/>
    <w:rsid w:val="00CB7ABA"/>
    <w:rsid w:val="00CC0FEE"/>
    <w:rsid w:val="00CC1F06"/>
    <w:rsid w:val="00CC660A"/>
    <w:rsid w:val="00CD362D"/>
    <w:rsid w:val="00CD6935"/>
    <w:rsid w:val="00CE1C84"/>
    <w:rsid w:val="00CE2D09"/>
    <w:rsid w:val="00CE2FC6"/>
    <w:rsid w:val="00CE618C"/>
    <w:rsid w:val="00CE64B7"/>
    <w:rsid w:val="00CF053F"/>
    <w:rsid w:val="00CF0F20"/>
    <w:rsid w:val="00CF2777"/>
    <w:rsid w:val="00CF4534"/>
    <w:rsid w:val="00CF5F9C"/>
    <w:rsid w:val="00CF65A7"/>
    <w:rsid w:val="00D00CB9"/>
    <w:rsid w:val="00D0234C"/>
    <w:rsid w:val="00D03088"/>
    <w:rsid w:val="00D03C35"/>
    <w:rsid w:val="00D041D5"/>
    <w:rsid w:val="00D05617"/>
    <w:rsid w:val="00D0609E"/>
    <w:rsid w:val="00D075F0"/>
    <w:rsid w:val="00D078E1"/>
    <w:rsid w:val="00D100E9"/>
    <w:rsid w:val="00D14502"/>
    <w:rsid w:val="00D16218"/>
    <w:rsid w:val="00D16248"/>
    <w:rsid w:val="00D16DFE"/>
    <w:rsid w:val="00D17C4B"/>
    <w:rsid w:val="00D20438"/>
    <w:rsid w:val="00D20CA1"/>
    <w:rsid w:val="00D20ED7"/>
    <w:rsid w:val="00D21340"/>
    <w:rsid w:val="00D2160C"/>
    <w:rsid w:val="00D21CF6"/>
    <w:rsid w:val="00D21E4B"/>
    <w:rsid w:val="00D22324"/>
    <w:rsid w:val="00D223F7"/>
    <w:rsid w:val="00D23522"/>
    <w:rsid w:val="00D23F0F"/>
    <w:rsid w:val="00D253A3"/>
    <w:rsid w:val="00D264D6"/>
    <w:rsid w:val="00D26BBC"/>
    <w:rsid w:val="00D27125"/>
    <w:rsid w:val="00D27356"/>
    <w:rsid w:val="00D27A8B"/>
    <w:rsid w:val="00D27C6A"/>
    <w:rsid w:val="00D32FDC"/>
    <w:rsid w:val="00D33BF0"/>
    <w:rsid w:val="00D34BD6"/>
    <w:rsid w:val="00D351AF"/>
    <w:rsid w:val="00D36075"/>
    <w:rsid w:val="00D37A96"/>
    <w:rsid w:val="00D405A5"/>
    <w:rsid w:val="00D43685"/>
    <w:rsid w:val="00D43770"/>
    <w:rsid w:val="00D43B7E"/>
    <w:rsid w:val="00D474A5"/>
    <w:rsid w:val="00D516BE"/>
    <w:rsid w:val="00D520D0"/>
    <w:rsid w:val="00D5423B"/>
    <w:rsid w:val="00D54F08"/>
    <w:rsid w:val="00D54F4E"/>
    <w:rsid w:val="00D604B3"/>
    <w:rsid w:val="00D60BA4"/>
    <w:rsid w:val="00D61287"/>
    <w:rsid w:val="00D61E8C"/>
    <w:rsid w:val="00D62419"/>
    <w:rsid w:val="00D62E8B"/>
    <w:rsid w:val="00D634AA"/>
    <w:rsid w:val="00D6428D"/>
    <w:rsid w:val="00D65A9F"/>
    <w:rsid w:val="00D7184B"/>
    <w:rsid w:val="00D73AAC"/>
    <w:rsid w:val="00D77870"/>
    <w:rsid w:val="00D77BAB"/>
    <w:rsid w:val="00D80776"/>
    <w:rsid w:val="00D80CCE"/>
    <w:rsid w:val="00D81A01"/>
    <w:rsid w:val="00D82FE6"/>
    <w:rsid w:val="00D85938"/>
    <w:rsid w:val="00D86527"/>
    <w:rsid w:val="00D87D03"/>
    <w:rsid w:val="00D90376"/>
    <w:rsid w:val="00D93BC2"/>
    <w:rsid w:val="00D94C93"/>
    <w:rsid w:val="00D95C88"/>
    <w:rsid w:val="00D95FA7"/>
    <w:rsid w:val="00D96747"/>
    <w:rsid w:val="00D969EB"/>
    <w:rsid w:val="00D97B2E"/>
    <w:rsid w:val="00DA18FA"/>
    <w:rsid w:val="00DA3E33"/>
    <w:rsid w:val="00DA44C5"/>
    <w:rsid w:val="00DA5449"/>
    <w:rsid w:val="00DA5708"/>
    <w:rsid w:val="00DA65D0"/>
    <w:rsid w:val="00DA689F"/>
    <w:rsid w:val="00DB06C5"/>
    <w:rsid w:val="00DB0B38"/>
    <w:rsid w:val="00DB1DC0"/>
    <w:rsid w:val="00DB36FE"/>
    <w:rsid w:val="00DB3929"/>
    <w:rsid w:val="00DB5138"/>
    <w:rsid w:val="00DB533A"/>
    <w:rsid w:val="00DC3622"/>
    <w:rsid w:val="00DC42F9"/>
    <w:rsid w:val="00DD2C28"/>
    <w:rsid w:val="00DD49A8"/>
    <w:rsid w:val="00DD66F2"/>
    <w:rsid w:val="00DE19B8"/>
    <w:rsid w:val="00DE2348"/>
    <w:rsid w:val="00DE2A24"/>
    <w:rsid w:val="00DE3FE0"/>
    <w:rsid w:val="00DE578A"/>
    <w:rsid w:val="00DE6290"/>
    <w:rsid w:val="00DF0028"/>
    <w:rsid w:val="00DF0240"/>
    <w:rsid w:val="00DF032A"/>
    <w:rsid w:val="00DF05E1"/>
    <w:rsid w:val="00DF07BB"/>
    <w:rsid w:val="00DF1CEE"/>
    <w:rsid w:val="00DF2583"/>
    <w:rsid w:val="00DF2D40"/>
    <w:rsid w:val="00DF33EA"/>
    <w:rsid w:val="00DF4096"/>
    <w:rsid w:val="00DF5450"/>
    <w:rsid w:val="00DF54D9"/>
    <w:rsid w:val="00DF5C05"/>
    <w:rsid w:val="00DF681B"/>
    <w:rsid w:val="00DF7E43"/>
    <w:rsid w:val="00E01A59"/>
    <w:rsid w:val="00E02AF0"/>
    <w:rsid w:val="00E0392C"/>
    <w:rsid w:val="00E04AB8"/>
    <w:rsid w:val="00E0640A"/>
    <w:rsid w:val="00E10154"/>
    <w:rsid w:val="00E1081F"/>
    <w:rsid w:val="00E10DC6"/>
    <w:rsid w:val="00E11F8E"/>
    <w:rsid w:val="00E14918"/>
    <w:rsid w:val="00E14DE7"/>
    <w:rsid w:val="00E14EE9"/>
    <w:rsid w:val="00E17091"/>
    <w:rsid w:val="00E17AD5"/>
    <w:rsid w:val="00E21DE3"/>
    <w:rsid w:val="00E22C0E"/>
    <w:rsid w:val="00E22F2D"/>
    <w:rsid w:val="00E243C5"/>
    <w:rsid w:val="00E33E2B"/>
    <w:rsid w:val="00E358BE"/>
    <w:rsid w:val="00E37297"/>
    <w:rsid w:val="00E3731D"/>
    <w:rsid w:val="00E37945"/>
    <w:rsid w:val="00E40D2D"/>
    <w:rsid w:val="00E42E7B"/>
    <w:rsid w:val="00E44115"/>
    <w:rsid w:val="00E44268"/>
    <w:rsid w:val="00E474D9"/>
    <w:rsid w:val="00E5008B"/>
    <w:rsid w:val="00E50C60"/>
    <w:rsid w:val="00E50E7A"/>
    <w:rsid w:val="00E51469"/>
    <w:rsid w:val="00E51CBA"/>
    <w:rsid w:val="00E54F68"/>
    <w:rsid w:val="00E5503B"/>
    <w:rsid w:val="00E56C6C"/>
    <w:rsid w:val="00E56CBE"/>
    <w:rsid w:val="00E634E3"/>
    <w:rsid w:val="00E63C69"/>
    <w:rsid w:val="00E650EA"/>
    <w:rsid w:val="00E65A75"/>
    <w:rsid w:val="00E664F2"/>
    <w:rsid w:val="00E66B1D"/>
    <w:rsid w:val="00E677CF"/>
    <w:rsid w:val="00E7287A"/>
    <w:rsid w:val="00E7386E"/>
    <w:rsid w:val="00E748FD"/>
    <w:rsid w:val="00E755BE"/>
    <w:rsid w:val="00E7650D"/>
    <w:rsid w:val="00E766C1"/>
    <w:rsid w:val="00E77F89"/>
    <w:rsid w:val="00E77FBA"/>
    <w:rsid w:val="00E80E71"/>
    <w:rsid w:val="00E8283B"/>
    <w:rsid w:val="00E850D3"/>
    <w:rsid w:val="00E853A5"/>
    <w:rsid w:val="00E861EC"/>
    <w:rsid w:val="00E86F56"/>
    <w:rsid w:val="00E876B9"/>
    <w:rsid w:val="00E918DB"/>
    <w:rsid w:val="00E9393E"/>
    <w:rsid w:val="00E93946"/>
    <w:rsid w:val="00E96675"/>
    <w:rsid w:val="00EA0968"/>
    <w:rsid w:val="00EA408B"/>
    <w:rsid w:val="00EA6643"/>
    <w:rsid w:val="00EB031F"/>
    <w:rsid w:val="00EB0F81"/>
    <w:rsid w:val="00EB240B"/>
    <w:rsid w:val="00EB458F"/>
    <w:rsid w:val="00EB5321"/>
    <w:rsid w:val="00EB5A17"/>
    <w:rsid w:val="00EB7647"/>
    <w:rsid w:val="00EC0DFF"/>
    <w:rsid w:val="00EC219F"/>
    <w:rsid w:val="00EC237D"/>
    <w:rsid w:val="00EC2B32"/>
    <w:rsid w:val="00EC3908"/>
    <w:rsid w:val="00EC4AA5"/>
    <w:rsid w:val="00EC4D0E"/>
    <w:rsid w:val="00EC54DB"/>
    <w:rsid w:val="00EC54F2"/>
    <w:rsid w:val="00ED072A"/>
    <w:rsid w:val="00ED2BA4"/>
    <w:rsid w:val="00ED2EF5"/>
    <w:rsid w:val="00ED4716"/>
    <w:rsid w:val="00ED4A65"/>
    <w:rsid w:val="00ED6D19"/>
    <w:rsid w:val="00ED6EDB"/>
    <w:rsid w:val="00ED71A0"/>
    <w:rsid w:val="00EE46BB"/>
    <w:rsid w:val="00EE4A1F"/>
    <w:rsid w:val="00EE4C2D"/>
    <w:rsid w:val="00EE589E"/>
    <w:rsid w:val="00EE5F69"/>
    <w:rsid w:val="00EE6318"/>
    <w:rsid w:val="00EE725E"/>
    <w:rsid w:val="00EE79D8"/>
    <w:rsid w:val="00EF1B5A"/>
    <w:rsid w:val="00EF24FB"/>
    <w:rsid w:val="00EF2CCA"/>
    <w:rsid w:val="00EF339D"/>
    <w:rsid w:val="00EF5528"/>
    <w:rsid w:val="00EF5B18"/>
    <w:rsid w:val="00EF6054"/>
    <w:rsid w:val="00EF6288"/>
    <w:rsid w:val="00F00107"/>
    <w:rsid w:val="00F00EFF"/>
    <w:rsid w:val="00F01042"/>
    <w:rsid w:val="00F01182"/>
    <w:rsid w:val="00F01A02"/>
    <w:rsid w:val="00F034AF"/>
    <w:rsid w:val="00F0379C"/>
    <w:rsid w:val="00F03963"/>
    <w:rsid w:val="00F044CA"/>
    <w:rsid w:val="00F05783"/>
    <w:rsid w:val="00F07355"/>
    <w:rsid w:val="00F11068"/>
    <w:rsid w:val="00F1256D"/>
    <w:rsid w:val="00F13A4E"/>
    <w:rsid w:val="00F148F3"/>
    <w:rsid w:val="00F15165"/>
    <w:rsid w:val="00F168D8"/>
    <w:rsid w:val="00F16AF1"/>
    <w:rsid w:val="00F172BB"/>
    <w:rsid w:val="00F17386"/>
    <w:rsid w:val="00F17745"/>
    <w:rsid w:val="00F17B10"/>
    <w:rsid w:val="00F17D6B"/>
    <w:rsid w:val="00F21BEF"/>
    <w:rsid w:val="00F236E8"/>
    <w:rsid w:val="00F24C72"/>
    <w:rsid w:val="00F24F44"/>
    <w:rsid w:val="00F27ACE"/>
    <w:rsid w:val="00F32E20"/>
    <w:rsid w:val="00F34E6D"/>
    <w:rsid w:val="00F356BE"/>
    <w:rsid w:val="00F35E47"/>
    <w:rsid w:val="00F379DB"/>
    <w:rsid w:val="00F4233B"/>
    <w:rsid w:val="00F42C2F"/>
    <w:rsid w:val="00F432DA"/>
    <w:rsid w:val="00F4370A"/>
    <w:rsid w:val="00F4415F"/>
    <w:rsid w:val="00F44D1B"/>
    <w:rsid w:val="00F45A25"/>
    <w:rsid w:val="00F4637D"/>
    <w:rsid w:val="00F46AF4"/>
    <w:rsid w:val="00F50F86"/>
    <w:rsid w:val="00F51DB0"/>
    <w:rsid w:val="00F520B7"/>
    <w:rsid w:val="00F52603"/>
    <w:rsid w:val="00F52843"/>
    <w:rsid w:val="00F52910"/>
    <w:rsid w:val="00F52AB0"/>
    <w:rsid w:val="00F5309F"/>
    <w:rsid w:val="00F53578"/>
    <w:rsid w:val="00F53F91"/>
    <w:rsid w:val="00F60A92"/>
    <w:rsid w:val="00F60AC9"/>
    <w:rsid w:val="00F61610"/>
    <w:rsid w:val="00F61A72"/>
    <w:rsid w:val="00F61E31"/>
    <w:rsid w:val="00F62B67"/>
    <w:rsid w:val="00F62DC5"/>
    <w:rsid w:val="00F642E0"/>
    <w:rsid w:val="00F65239"/>
    <w:rsid w:val="00F6548D"/>
    <w:rsid w:val="00F66704"/>
    <w:rsid w:val="00F66F13"/>
    <w:rsid w:val="00F67026"/>
    <w:rsid w:val="00F673E8"/>
    <w:rsid w:val="00F71D6B"/>
    <w:rsid w:val="00F7299F"/>
    <w:rsid w:val="00F72A65"/>
    <w:rsid w:val="00F74073"/>
    <w:rsid w:val="00F75603"/>
    <w:rsid w:val="00F75BAB"/>
    <w:rsid w:val="00F81FB1"/>
    <w:rsid w:val="00F845B4"/>
    <w:rsid w:val="00F845F6"/>
    <w:rsid w:val="00F85F16"/>
    <w:rsid w:val="00F86034"/>
    <w:rsid w:val="00F86AA4"/>
    <w:rsid w:val="00F8713B"/>
    <w:rsid w:val="00F87C75"/>
    <w:rsid w:val="00F90397"/>
    <w:rsid w:val="00F915EE"/>
    <w:rsid w:val="00F92837"/>
    <w:rsid w:val="00F93F9E"/>
    <w:rsid w:val="00F9751C"/>
    <w:rsid w:val="00F97740"/>
    <w:rsid w:val="00F978E3"/>
    <w:rsid w:val="00FA22C8"/>
    <w:rsid w:val="00FA2CD7"/>
    <w:rsid w:val="00FA2ED0"/>
    <w:rsid w:val="00FA301D"/>
    <w:rsid w:val="00FA3AE2"/>
    <w:rsid w:val="00FA514E"/>
    <w:rsid w:val="00FA5D25"/>
    <w:rsid w:val="00FB06ED"/>
    <w:rsid w:val="00FB0BE4"/>
    <w:rsid w:val="00FB2947"/>
    <w:rsid w:val="00FB3D1F"/>
    <w:rsid w:val="00FB44E8"/>
    <w:rsid w:val="00FB6A1A"/>
    <w:rsid w:val="00FB6DA5"/>
    <w:rsid w:val="00FB7647"/>
    <w:rsid w:val="00FC0679"/>
    <w:rsid w:val="00FC0CB5"/>
    <w:rsid w:val="00FC3165"/>
    <w:rsid w:val="00FC34C2"/>
    <w:rsid w:val="00FC36AB"/>
    <w:rsid w:val="00FC4137"/>
    <w:rsid w:val="00FC7913"/>
    <w:rsid w:val="00FC7F66"/>
    <w:rsid w:val="00FD1A71"/>
    <w:rsid w:val="00FD25D1"/>
    <w:rsid w:val="00FD2D29"/>
    <w:rsid w:val="00FD6633"/>
    <w:rsid w:val="00FD751B"/>
    <w:rsid w:val="00FE1142"/>
    <w:rsid w:val="00FE1CB6"/>
    <w:rsid w:val="00FE29F5"/>
    <w:rsid w:val="00FE2DAC"/>
    <w:rsid w:val="00FE3F17"/>
    <w:rsid w:val="00FE4053"/>
    <w:rsid w:val="00FE44CF"/>
    <w:rsid w:val="00FE486B"/>
    <w:rsid w:val="00FE4C30"/>
    <w:rsid w:val="00FE4F08"/>
    <w:rsid w:val="00FE5DB0"/>
    <w:rsid w:val="00FE76A6"/>
    <w:rsid w:val="00FF2ECD"/>
    <w:rsid w:val="00FF673F"/>
    <w:rsid w:val="012E33C7"/>
    <w:rsid w:val="01A429B9"/>
    <w:rsid w:val="01F77E68"/>
    <w:rsid w:val="02B654BB"/>
    <w:rsid w:val="03145B8D"/>
    <w:rsid w:val="03582937"/>
    <w:rsid w:val="0432F863"/>
    <w:rsid w:val="04892AF4"/>
    <w:rsid w:val="04B19155"/>
    <w:rsid w:val="04B4B733"/>
    <w:rsid w:val="04C659DE"/>
    <w:rsid w:val="05548C2E"/>
    <w:rsid w:val="0671FFD6"/>
    <w:rsid w:val="06AD95C9"/>
    <w:rsid w:val="06C6BB69"/>
    <w:rsid w:val="071B6517"/>
    <w:rsid w:val="07825561"/>
    <w:rsid w:val="07A797BC"/>
    <w:rsid w:val="07D8782F"/>
    <w:rsid w:val="0815E48E"/>
    <w:rsid w:val="0822FF3F"/>
    <w:rsid w:val="08728C6D"/>
    <w:rsid w:val="088AB8C6"/>
    <w:rsid w:val="089D191D"/>
    <w:rsid w:val="0947AB16"/>
    <w:rsid w:val="0A5D3FE0"/>
    <w:rsid w:val="0A7E6064"/>
    <w:rsid w:val="0AE2813C"/>
    <w:rsid w:val="0AFA7F98"/>
    <w:rsid w:val="0B10ADEE"/>
    <w:rsid w:val="0B368ACD"/>
    <w:rsid w:val="0BA6FCE9"/>
    <w:rsid w:val="0C7D3894"/>
    <w:rsid w:val="0CB617BE"/>
    <w:rsid w:val="0CD9E67F"/>
    <w:rsid w:val="0CDDA020"/>
    <w:rsid w:val="0D08B0BD"/>
    <w:rsid w:val="0D3344E1"/>
    <w:rsid w:val="0D3BE3FD"/>
    <w:rsid w:val="0E4C27C8"/>
    <w:rsid w:val="0ECF3D11"/>
    <w:rsid w:val="1047B98F"/>
    <w:rsid w:val="1125527D"/>
    <w:rsid w:val="1151B5A9"/>
    <w:rsid w:val="11A94FE6"/>
    <w:rsid w:val="12D01628"/>
    <w:rsid w:val="12D416B1"/>
    <w:rsid w:val="12D5F091"/>
    <w:rsid w:val="1388C1C8"/>
    <w:rsid w:val="1396E4A9"/>
    <w:rsid w:val="1434C1D8"/>
    <w:rsid w:val="14409A5A"/>
    <w:rsid w:val="14755EAE"/>
    <w:rsid w:val="14AD5691"/>
    <w:rsid w:val="14B3423A"/>
    <w:rsid w:val="156990D8"/>
    <w:rsid w:val="1578D985"/>
    <w:rsid w:val="15ACA3C9"/>
    <w:rsid w:val="161938D2"/>
    <w:rsid w:val="1648D117"/>
    <w:rsid w:val="167E47AB"/>
    <w:rsid w:val="16F1E5DA"/>
    <w:rsid w:val="178EC74F"/>
    <w:rsid w:val="17B699F4"/>
    <w:rsid w:val="17EFABE4"/>
    <w:rsid w:val="180A3F58"/>
    <w:rsid w:val="1848D7B8"/>
    <w:rsid w:val="18AE04D1"/>
    <w:rsid w:val="18B17CA4"/>
    <w:rsid w:val="1902A03D"/>
    <w:rsid w:val="19208319"/>
    <w:rsid w:val="195A2221"/>
    <w:rsid w:val="19A9E361"/>
    <w:rsid w:val="1A2944C3"/>
    <w:rsid w:val="1A4039E7"/>
    <w:rsid w:val="1A537FDC"/>
    <w:rsid w:val="1A5A408E"/>
    <w:rsid w:val="1AC15A2F"/>
    <w:rsid w:val="1AC8D4B6"/>
    <w:rsid w:val="1B4F9DF4"/>
    <w:rsid w:val="1B66835D"/>
    <w:rsid w:val="1B755CB8"/>
    <w:rsid w:val="1BB341CF"/>
    <w:rsid w:val="1BBB5A53"/>
    <w:rsid w:val="1C16BD15"/>
    <w:rsid w:val="1C5030A5"/>
    <w:rsid w:val="1C5A47B3"/>
    <w:rsid w:val="1C9E6F7C"/>
    <w:rsid w:val="1CA2F2EA"/>
    <w:rsid w:val="1D4A2759"/>
    <w:rsid w:val="1DC58165"/>
    <w:rsid w:val="1DD3CAAF"/>
    <w:rsid w:val="1E6B78AE"/>
    <w:rsid w:val="1EC6A6C3"/>
    <w:rsid w:val="1F206928"/>
    <w:rsid w:val="1F957775"/>
    <w:rsid w:val="1FD55698"/>
    <w:rsid w:val="20FC27B4"/>
    <w:rsid w:val="212213E0"/>
    <w:rsid w:val="21596285"/>
    <w:rsid w:val="21604296"/>
    <w:rsid w:val="2179F796"/>
    <w:rsid w:val="221C963F"/>
    <w:rsid w:val="2264C041"/>
    <w:rsid w:val="2269C403"/>
    <w:rsid w:val="23314CD6"/>
    <w:rsid w:val="23ACA9BA"/>
    <w:rsid w:val="23B62F61"/>
    <w:rsid w:val="23EEF7FE"/>
    <w:rsid w:val="23F2F155"/>
    <w:rsid w:val="2418B7A3"/>
    <w:rsid w:val="2498C0D0"/>
    <w:rsid w:val="24B78303"/>
    <w:rsid w:val="24B8D49F"/>
    <w:rsid w:val="24CEAF08"/>
    <w:rsid w:val="250095E5"/>
    <w:rsid w:val="258FA52A"/>
    <w:rsid w:val="25931837"/>
    <w:rsid w:val="25A55A65"/>
    <w:rsid w:val="25B8D0C5"/>
    <w:rsid w:val="25D5E8F9"/>
    <w:rsid w:val="25FD0249"/>
    <w:rsid w:val="26FA1140"/>
    <w:rsid w:val="270CC953"/>
    <w:rsid w:val="287FC273"/>
    <w:rsid w:val="29E6F89A"/>
    <w:rsid w:val="2A2B7146"/>
    <w:rsid w:val="2B441951"/>
    <w:rsid w:val="2B5261DF"/>
    <w:rsid w:val="2BA92EB9"/>
    <w:rsid w:val="2C35AC71"/>
    <w:rsid w:val="2C4CF8D0"/>
    <w:rsid w:val="2CE362E5"/>
    <w:rsid w:val="2D6A87A2"/>
    <w:rsid w:val="2DF8D550"/>
    <w:rsid w:val="2E313EA4"/>
    <w:rsid w:val="2E7C1F01"/>
    <w:rsid w:val="2E92C050"/>
    <w:rsid w:val="2F0C7550"/>
    <w:rsid w:val="2F6711C2"/>
    <w:rsid w:val="2FC1D5B9"/>
    <w:rsid w:val="300486B7"/>
    <w:rsid w:val="30390CA1"/>
    <w:rsid w:val="30805556"/>
    <w:rsid w:val="317DBDE1"/>
    <w:rsid w:val="333370C6"/>
    <w:rsid w:val="336111FB"/>
    <w:rsid w:val="346497BB"/>
    <w:rsid w:val="34CAE462"/>
    <w:rsid w:val="34CDFEF2"/>
    <w:rsid w:val="350AD7B2"/>
    <w:rsid w:val="35149ADB"/>
    <w:rsid w:val="355C4398"/>
    <w:rsid w:val="3634AC27"/>
    <w:rsid w:val="36569059"/>
    <w:rsid w:val="365DEE37"/>
    <w:rsid w:val="3674F637"/>
    <w:rsid w:val="36776A50"/>
    <w:rsid w:val="374C360A"/>
    <w:rsid w:val="37E0D645"/>
    <w:rsid w:val="3862148F"/>
    <w:rsid w:val="3908FDED"/>
    <w:rsid w:val="390B0AC7"/>
    <w:rsid w:val="391298EB"/>
    <w:rsid w:val="39E3402B"/>
    <w:rsid w:val="3A067353"/>
    <w:rsid w:val="3A598B9A"/>
    <w:rsid w:val="3AAA6869"/>
    <w:rsid w:val="3AB9DC5C"/>
    <w:rsid w:val="3AE49454"/>
    <w:rsid w:val="3B4FF20E"/>
    <w:rsid w:val="3B52A171"/>
    <w:rsid w:val="3BDDEEE1"/>
    <w:rsid w:val="3C681C58"/>
    <w:rsid w:val="3C901CC3"/>
    <w:rsid w:val="3C9C8FF8"/>
    <w:rsid w:val="3CA768B7"/>
    <w:rsid w:val="3CF3C429"/>
    <w:rsid w:val="3D3C2812"/>
    <w:rsid w:val="3DA2DF5B"/>
    <w:rsid w:val="3DAA5E53"/>
    <w:rsid w:val="3E76D634"/>
    <w:rsid w:val="3EBF76B1"/>
    <w:rsid w:val="40040860"/>
    <w:rsid w:val="400FCA2D"/>
    <w:rsid w:val="40354925"/>
    <w:rsid w:val="40A0C41F"/>
    <w:rsid w:val="41121035"/>
    <w:rsid w:val="41571CFC"/>
    <w:rsid w:val="41D70E0C"/>
    <w:rsid w:val="41F13F35"/>
    <w:rsid w:val="4201D543"/>
    <w:rsid w:val="4205ADDB"/>
    <w:rsid w:val="424EC898"/>
    <w:rsid w:val="42DBD196"/>
    <w:rsid w:val="432A6F8B"/>
    <w:rsid w:val="4416C998"/>
    <w:rsid w:val="44D4E948"/>
    <w:rsid w:val="45B84EDF"/>
    <w:rsid w:val="467D53F1"/>
    <w:rsid w:val="468F3CDF"/>
    <w:rsid w:val="46AD4626"/>
    <w:rsid w:val="46B71491"/>
    <w:rsid w:val="47244C57"/>
    <w:rsid w:val="4741D9B9"/>
    <w:rsid w:val="47E5517D"/>
    <w:rsid w:val="491DA628"/>
    <w:rsid w:val="496C46E2"/>
    <w:rsid w:val="49797422"/>
    <w:rsid w:val="49D16E91"/>
    <w:rsid w:val="4A15BF55"/>
    <w:rsid w:val="4A6CB184"/>
    <w:rsid w:val="4A6E9345"/>
    <w:rsid w:val="4A8E2E3C"/>
    <w:rsid w:val="4B1CB2F8"/>
    <w:rsid w:val="4B2C0A53"/>
    <w:rsid w:val="4B348499"/>
    <w:rsid w:val="4B34C76C"/>
    <w:rsid w:val="4B7C3B23"/>
    <w:rsid w:val="4BDC789B"/>
    <w:rsid w:val="4BE21C5A"/>
    <w:rsid w:val="4BFCB82D"/>
    <w:rsid w:val="4C209190"/>
    <w:rsid w:val="4C46DA15"/>
    <w:rsid w:val="4CE01353"/>
    <w:rsid w:val="4CF73CDC"/>
    <w:rsid w:val="4D649463"/>
    <w:rsid w:val="4DF69B48"/>
    <w:rsid w:val="4E2F80FB"/>
    <w:rsid w:val="4F4B9F99"/>
    <w:rsid w:val="4FD61EB0"/>
    <w:rsid w:val="4FDDFDF1"/>
    <w:rsid w:val="50165183"/>
    <w:rsid w:val="504B092B"/>
    <w:rsid w:val="5050EB54"/>
    <w:rsid w:val="50AB051D"/>
    <w:rsid w:val="50D921FD"/>
    <w:rsid w:val="50F6BE6B"/>
    <w:rsid w:val="51F87C0A"/>
    <w:rsid w:val="5293AD35"/>
    <w:rsid w:val="53535745"/>
    <w:rsid w:val="53CAC7C8"/>
    <w:rsid w:val="54D12F47"/>
    <w:rsid w:val="54EDAE48"/>
    <w:rsid w:val="56AACCC7"/>
    <w:rsid w:val="56B85384"/>
    <w:rsid w:val="56C1E895"/>
    <w:rsid w:val="5733F8A9"/>
    <w:rsid w:val="574F323F"/>
    <w:rsid w:val="57804F05"/>
    <w:rsid w:val="57AD53A7"/>
    <w:rsid w:val="57B09516"/>
    <w:rsid w:val="58AA148F"/>
    <w:rsid w:val="58ADB2A4"/>
    <w:rsid w:val="5908F2A8"/>
    <w:rsid w:val="59540D8F"/>
    <w:rsid w:val="59993AD8"/>
    <w:rsid w:val="5A07A847"/>
    <w:rsid w:val="5A7BF369"/>
    <w:rsid w:val="5A9B0DE8"/>
    <w:rsid w:val="5ABDD04B"/>
    <w:rsid w:val="5B5B8F30"/>
    <w:rsid w:val="5BACAB8A"/>
    <w:rsid w:val="5C399109"/>
    <w:rsid w:val="5CA1B5D2"/>
    <w:rsid w:val="5CAFCF93"/>
    <w:rsid w:val="5E8FFD9F"/>
    <w:rsid w:val="5F333991"/>
    <w:rsid w:val="600BF4D7"/>
    <w:rsid w:val="60D14729"/>
    <w:rsid w:val="610B5E8F"/>
    <w:rsid w:val="6149381E"/>
    <w:rsid w:val="6184F20A"/>
    <w:rsid w:val="61FB5D25"/>
    <w:rsid w:val="62571B77"/>
    <w:rsid w:val="625BC7EA"/>
    <w:rsid w:val="6269E487"/>
    <w:rsid w:val="62EBCB67"/>
    <w:rsid w:val="6324E3D7"/>
    <w:rsid w:val="634C122B"/>
    <w:rsid w:val="637572C8"/>
    <w:rsid w:val="647591F3"/>
    <w:rsid w:val="64EC975F"/>
    <w:rsid w:val="656F030D"/>
    <w:rsid w:val="6580C97D"/>
    <w:rsid w:val="658B8162"/>
    <w:rsid w:val="65E3F7F4"/>
    <w:rsid w:val="66E31283"/>
    <w:rsid w:val="679983E9"/>
    <w:rsid w:val="6865166C"/>
    <w:rsid w:val="6879B327"/>
    <w:rsid w:val="687CF9C2"/>
    <w:rsid w:val="68BA1BCB"/>
    <w:rsid w:val="690D120D"/>
    <w:rsid w:val="69ADC023"/>
    <w:rsid w:val="69BFCBB6"/>
    <w:rsid w:val="69E87DC7"/>
    <w:rsid w:val="6A670C33"/>
    <w:rsid w:val="6A6E8CF7"/>
    <w:rsid w:val="6A9B552A"/>
    <w:rsid w:val="6ACAC6A3"/>
    <w:rsid w:val="6AE4B9B4"/>
    <w:rsid w:val="6B8C2F3A"/>
    <w:rsid w:val="6BAEF256"/>
    <w:rsid w:val="6C8011C4"/>
    <w:rsid w:val="6CAC8525"/>
    <w:rsid w:val="6CF9F7E3"/>
    <w:rsid w:val="6DBBD723"/>
    <w:rsid w:val="6E4591E0"/>
    <w:rsid w:val="6EAF8ECC"/>
    <w:rsid w:val="6EEAA852"/>
    <w:rsid w:val="6EFF6CD8"/>
    <w:rsid w:val="70C82565"/>
    <w:rsid w:val="70DCB6D4"/>
    <w:rsid w:val="70ED99E8"/>
    <w:rsid w:val="7187AA8E"/>
    <w:rsid w:val="7193DC60"/>
    <w:rsid w:val="71C7A1D2"/>
    <w:rsid w:val="729BDE69"/>
    <w:rsid w:val="72A72D77"/>
    <w:rsid w:val="73469279"/>
    <w:rsid w:val="73A2955C"/>
    <w:rsid w:val="73ECE588"/>
    <w:rsid w:val="744557FD"/>
    <w:rsid w:val="7448F31A"/>
    <w:rsid w:val="757FBF0C"/>
    <w:rsid w:val="75D57421"/>
    <w:rsid w:val="75EFBFF2"/>
    <w:rsid w:val="762B8F38"/>
    <w:rsid w:val="76415A7D"/>
    <w:rsid w:val="7670B087"/>
    <w:rsid w:val="76BA1008"/>
    <w:rsid w:val="7757831B"/>
    <w:rsid w:val="7807FC73"/>
    <w:rsid w:val="783B2851"/>
    <w:rsid w:val="784C65B6"/>
    <w:rsid w:val="78E8DABD"/>
    <w:rsid w:val="78EFE19F"/>
    <w:rsid w:val="79124156"/>
    <w:rsid w:val="7A838649"/>
    <w:rsid w:val="7AA3A15E"/>
    <w:rsid w:val="7B0D0F0A"/>
    <w:rsid w:val="7B15902A"/>
    <w:rsid w:val="7B2B40AF"/>
    <w:rsid w:val="7B935A39"/>
    <w:rsid w:val="7BC7DC07"/>
    <w:rsid w:val="7BDD2E6B"/>
    <w:rsid w:val="7C1F4840"/>
    <w:rsid w:val="7D0A899A"/>
    <w:rsid w:val="7D7AE4CC"/>
    <w:rsid w:val="7E0325EC"/>
    <w:rsid w:val="7F1C776D"/>
    <w:rsid w:val="7FB566D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11D4C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9D279A"/>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2"/>
      </w:numPr>
      <w:tabs>
        <w:tab w:val="clear" w:pos="227"/>
        <w:tab w:val="left" w:pos="454"/>
      </w:tabs>
      <w:ind w:left="454" w:hanging="227"/>
    </w:pPr>
    <w:rPr>
      <w:noProof/>
    </w:rPr>
  </w:style>
  <w:style w:type="character" w:customStyle="1" w:styleId="Huisstijl-AdresChar">
    <w:name w:val="Huisstijl-Adres Char"/>
    <w:link w:val="Huisstijl-Adres"/>
    <w:locked/>
    <w:rsid w:val="009D5D50"/>
    <w:rPr>
      <w:rFonts w:ascii="Verdana" w:hAnsi="Verdana" w:cs="Verdana"/>
      <w:noProof/>
      <w:sz w:val="13"/>
      <w:szCs w:val="13"/>
      <w:lang w:val="nl-NL" w:eastAsia="nl-NL" w:bidi="ar-SA"/>
    </w:rPr>
  </w:style>
  <w:style w:type="numbering" w:customStyle="1" w:styleId="Nummeringagenda">
    <w:name w:val="Nummering agenda"/>
    <w:basedOn w:val="Geenlijst"/>
    <w:rsid w:val="008426EA"/>
    <w:pPr>
      <w:numPr>
        <w:numId w:val="3"/>
      </w:numPr>
    </w:pPr>
  </w:style>
  <w:style w:type="character" w:styleId="Tekstvantijdelijkeaanduiding">
    <w:name w:val="Placeholder Text"/>
    <w:basedOn w:val="Standaardalinea-lettertype"/>
    <w:uiPriority w:val="99"/>
    <w:semiHidden/>
    <w:rsid w:val="007A7DA3"/>
    <w:rPr>
      <w:color w:val="808080"/>
    </w:rPr>
  </w:style>
  <w:style w:type="paragraph" w:styleId="Ballontekst">
    <w:name w:val="Balloon Text"/>
    <w:basedOn w:val="Standaard"/>
    <w:link w:val="BallontekstChar"/>
    <w:rsid w:val="007F7E17"/>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7F7E17"/>
    <w:rPr>
      <w:rFonts w:ascii="Segoe UI" w:hAnsi="Segoe UI" w:cs="Segoe UI"/>
      <w:sz w:val="18"/>
      <w:szCs w:val="18"/>
      <w:lang w:val="nl-NL" w:eastAsia="nl-NL"/>
    </w:rPr>
  </w:style>
  <w:style w:type="character" w:customStyle="1" w:styleId="HeaderChar">
    <w:name w:val="Header Char"/>
    <w:basedOn w:val="Standaardalinea-lettertype"/>
    <w:rsid w:val="00841CD9"/>
    <w:rPr>
      <w:rFonts w:ascii="Verdana" w:eastAsia="Times New Roman" w:hAnsi="Verdana" w:cs="Times New Roman"/>
      <w:sz w:val="18"/>
      <w:szCs w:val="24"/>
      <w:lang w:val="nl-NL" w:eastAsia="nl-NL"/>
    </w:rPr>
  </w:style>
  <w:style w:type="character" w:customStyle="1" w:styleId="Heading1Char">
    <w:name w:val="Heading 1 Char"/>
    <w:basedOn w:val="Standaardalinea-lettertype"/>
    <w:rsid w:val="00841CD9"/>
    <w:rPr>
      <w:rFonts w:ascii="Verdana" w:eastAsia="Times New Roman" w:hAnsi="Verdana" w:cs="Arial"/>
      <w:b/>
      <w:bCs/>
      <w:kern w:val="32"/>
      <w:sz w:val="32"/>
      <w:szCs w:val="32"/>
      <w:lang w:val="nl-NL" w:eastAsia="nl-NL"/>
    </w:rPr>
  </w:style>
  <w:style w:type="character" w:customStyle="1" w:styleId="Heading2Char">
    <w:name w:val="Heading 2 Char"/>
    <w:basedOn w:val="Standaardalinea-lettertype"/>
    <w:rsid w:val="00841CD9"/>
    <w:rPr>
      <w:rFonts w:ascii="Verdana" w:eastAsia="Times New Roman" w:hAnsi="Verdana" w:cs="Arial"/>
      <w:b/>
      <w:bCs/>
      <w:i/>
      <w:iCs/>
      <w:sz w:val="28"/>
      <w:szCs w:val="28"/>
      <w:lang w:val="nl-NL" w:eastAsia="nl-NL"/>
    </w:rPr>
  </w:style>
  <w:style w:type="character" w:customStyle="1" w:styleId="Heading3Char">
    <w:name w:val="Heading 3 Char"/>
    <w:basedOn w:val="Standaardalinea-lettertype"/>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FooterChar">
    <w:name w:val="Footer Char"/>
    <w:basedOn w:val="Standaardalinea-lettertype"/>
    <w:rsid w:val="00DE555F"/>
    <w:rPr>
      <w:rFonts w:ascii="Verdana" w:eastAsia="Times New Roman" w:hAnsi="Verdana" w:cs="Times New Roman"/>
      <w:sz w:val="18"/>
      <w:szCs w:val="24"/>
      <w:lang w:val="nl-NL" w:eastAsia="nl-NL"/>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paragraph" w:styleId="Lijstalinea">
    <w:name w:val="List Paragraph"/>
    <w:basedOn w:val="Standaard"/>
    <w:uiPriority w:val="34"/>
    <w:qFormat/>
    <w:rsid w:val="000773F8"/>
    <w:pPr>
      <w:ind w:left="720"/>
      <w:contextualSpacing/>
    </w:pPr>
  </w:style>
  <w:style w:type="character" w:styleId="Verwijzingopmerking">
    <w:name w:val="annotation reference"/>
    <w:basedOn w:val="Standaardalinea-lettertype"/>
    <w:semiHidden/>
    <w:unhideWhenUsed/>
    <w:rsid w:val="00416DFA"/>
    <w:rPr>
      <w:sz w:val="16"/>
      <w:szCs w:val="16"/>
    </w:rPr>
  </w:style>
  <w:style w:type="paragraph" w:styleId="Tekstopmerking">
    <w:name w:val="annotation text"/>
    <w:basedOn w:val="Standaard"/>
    <w:link w:val="TekstopmerkingChar"/>
    <w:unhideWhenUsed/>
    <w:rsid w:val="00416DFA"/>
    <w:pPr>
      <w:spacing w:line="240" w:lineRule="auto"/>
    </w:pPr>
    <w:rPr>
      <w:sz w:val="20"/>
      <w:szCs w:val="20"/>
    </w:rPr>
  </w:style>
  <w:style w:type="character" w:customStyle="1" w:styleId="TekstopmerkingChar">
    <w:name w:val="Tekst opmerking Char"/>
    <w:basedOn w:val="Standaardalinea-lettertype"/>
    <w:link w:val="Tekstopmerking"/>
    <w:rsid w:val="00416DFA"/>
    <w:rPr>
      <w:rFonts w:ascii="Verdana" w:hAnsi="Verdana"/>
      <w:lang w:val="nl-NL" w:eastAsia="nl-NL"/>
    </w:rPr>
  </w:style>
  <w:style w:type="paragraph" w:styleId="Onderwerpvanopmerking">
    <w:name w:val="annotation subject"/>
    <w:basedOn w:val="Tekstopmerking"/>
    <w:next w:val="Tekstopmerking"/>
    <w:link w:val="OnderwerpvanopmerkingChar"/>
    <w:semiHidden/>
    <w:unhideWhenUsed/>
    <w:rsid w:val="00416DFA"/>
    <w:rPr>
      <w:b/>
      <w:bCs/>
    </w:rPr>
  </w:style>
  <w:style w:type="character" w:customStyle="1" w:styleId="OnderwerpvanopmerkingChar">
    <w:name w:val="Onderwerp van opmerking Char"/>
    <w:basedOn w:val="TekstopmerkingChar"/>
    <w:link w:val="Onderwerpvanopmerking"/>
    <w:semiHidden/>
    <w:rsid w:val="00416DFA"/>
    <w:rPr>
      <w:rFonts w:ascii="Verdana" w:hAnsi="Verdana"/>
      <w:b/>
      <w:bCs/>
      <w:lang w:val="nl-NL" w:eastAsia="nl-NL"/>
    </w:rPr>
  </w:style>
  <w:style w:type="paragraph" w:styleId="Revisie">
    <w:name w:val="Revision"/>
    <w:hidden/>
    <w:uiPriority w:val="99"/>
    <w:semiHidden/>
    <w:rsid w:val="00013536"/>
    <w:rPr>
      <w:rFonts w:ascii="Verdana" w:hAnsi="Verdana"/>
      <w:sz w:val="18"/>
      <w:szCs w:val="24"/>
      <w:lang w:val="nl-NL" w:eastAsia="nl-NL"/>
    </w:rPr>
  </w:style>
  <w:style w:type="paragraph" w:styleId="Voetnoottekst">
    <w:name w:val="footnote text"/>
    <w:basedOn w:val="Standaard"/>
    <w:link w:val="VoetnoottekstChar"/>
    <w:semiHidden/>
    <w:unhideWhenUsed/>
    <w:rsid w:val="00651164"/>
    <w:pPr>
      <w:spacing w:line="240" w:lineRule="auto"/>
    </w:pPr>
    <w:rPr>
      <w:sz w:val="20"/>
      <w:szCs w:val="20"/>
    </w:rPr>
  </w:style>
  <w:style w:type="character" w:customStyle="1" w:styleId="VoetnoottekstChar">
    <w:name w:val="Voetnoottekst Char"/>
    <w:basedOn w:val="Standaardalinea-lettertype"/>
    <w:link w:val="Voetnoottekst"/>
    <w:semiHidden/>
    <w:rsid w:val="00651164"/>
    <w:rPr>
      <w:rFonts w:ascii="Verdana" w:hAnsi="Verdana"/>
      <w:lang w:val="nl-NL" w:eastAsia="nl-NL"/>
    </w:rPr>
  </w:style>
  <w:style w:type="character" w:styleId="Voetnootmarkering">
    <w:name w:val="footnote reference"/>
    <w:basedOn w:val="Standaardalinea-lettertype"/>
    <w:semiHidden/>
    <w:unhideWhenUsed/>
    <w:rsid w:val="0065116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232991">
      <w:bodyDiv w:val="1"/>
      <w:marLeft w:val="0"/>
      <w:marRight w:val="0"/>
      <w:marTop w:val="0"/>
      <w:marBottom w:val="0"/>
      <w:divBdr>
        <w:top w:val="none" w:sz="0" w:space="0" w:color="auto"/>
        <w:left w:val="none" w:sz="0" w:space="0" w:color="auto"/>
        <w:bottom w:val="none" w:sz="0" w:space="0" w:color="auto"/>
        <w:right w:val="none" w:sz="0" w:space="0" w:color="auto"/>
      </w:divBdr>
    </w:div>
    <w:div w:id="95567498">
      <w:bodyDiv w:val="1"/>
      <w:marLeft w:val="0"/>
      <w:marRight w:val="0"/>
      <w:marTop w:val="0"/>
      <w:marBottom w:val="0"/>
      <w:divBdr>
        <w:top w:val="none" w:sz="0" w:space="0" w:color="auto"/>
        <w:left w:val="none" w:sz="0" w:space="0" w:color="auto"/>
        <w:bottom w:val="none" w:sz="0" w:space="0" w:color="auto"/>
        <w:right w:val="none" w:sz="0" w:space="0" w:color="auto"/>
      </w:divBdr>
    </w:div>
    <w:div w:id="101337908">
      <w:bodyDiv w:val="1"/>
      <w:marLeft w:val="0"/>
      <w:marRight w:val="0"/>
      <w:marTop w:val="0"/>
      <w:marBottom w:val="0"/>
      <w:divBdr>
        <w:top w:val="none" w:sz="0" w:space="0" w:color="auto"/>
        <w:left w:val="none" w:sz="0" w:space="0" w:color="auto"/>
        <w:bottom w:val="none" w:sz="0" w:space="0" w:color="auto"/>
        <w:right w:val="none" w:sz="0" w:space="0" w:color="auto"/>
      </w:divBdr>
    </w:div>
    <w:div w:id="178278006">
      <w:bodyDiv w:val="1"/>
      <w:marLeft w:val="0"/>
      <w:marRight w:val="0"/>
      <w:marTop w:val="0"/>
      <w:marBottom w:val="0"/>
      <w:divBdr>
        <w:top w:val="none" w:sz="0" w:space="0" w:color="auto"/>
        <w:left w:val="none" w:sz="0" w:space="0" w:color="auto"/>
        <w:bottom w:val="none" w:sz="0" w:space="0" w:color="auto"/>
        <w:right w:val="none" w:sz="0" w:space="0" w:color="auto"/>
      </w:divBdr>
    </w:div>
    <w:div w:id="355280110">
      <w:bodyDiv w:val="1"/>
      <w:marLeft w:val="0"/>
      <w:marRight w:val="0"/>
      <w:marTop w:val="0"/>
      <w:marBottom w:val="0"/>
      <w:divBdr>
        <w:top w:val="none" w:sz="0" w:space="0" w:color="auto"/>
        <w:left w:val="none" w:sz="0" w:space="0" w:color="auto"/>
        <w:bottom w:val="none" w:sz="0" w:space="0" w:color="auto"/>
        <w:right w:val="none" w:sz="0" w:space="0" w:color="auto"/>
      </w:divBdr>
    </w:div>
    <w:div w:id="395904281">
      <w:bodyDiv w:val="1"/>
      <w:marLeft w:val="0"/>
      <w:marRight w:val="0"/>
      <w:marTop w:val="0"/>
      <w:marBottom w:val="0"/>
      <w:divBdr>
        <w:top w:val="none" w:sz="0" w:space="0" w:color="auto"/>
        <w:left w:val="none" w:sz="0" w:space="0" w:color="auto"/>
        <w:bottom w:val="none" w:sz="0" w:space="0" w:color="auto"/>
        <w:right w:val="none" w:sz="0" w:space="0" w:color="auto"/>
      </w:divBdr>
    </w:div>
    <w:div w:id="441461977">
      <w:bodyDiv w:val="1"/>
      <w:marLeft w:val="0"/>
      <w:marRight w:val="0"/>
      <w:marTop w:val="0"/>
      <w:marBottom w:val="0"/>
      <w:divBdr>
        <w:top w:val="none" w:sz="0" w:space="0" w:color="auto"/>
        <w:left w:val="none" w:sz="0" w:space="0" w:color="auto"/>
        <w:bottom w:val="none" w:sz="0" w:space="0" w:color="auto"/>
        <w:right w:val="none" w:sz="0" w:space="0" w:color="auto"/>
      </w:divBdr>
    </w:div>
    <w:div w:id="453332159">
      <w:bodyDiv w:val="1"/>
      <w:marLeft w:val="0"/>
      <w:marRight w:val="0"/>
      <w:marTop w:val="0"/>
      <w:marBottom w:val="0"/>
      <w:divBdr>
        <w:top w:val="none" w:sz="0" w:space="0" w:color="auto"/>
        <w:left w:val="none" w:sz="0" w:space="0" w:color="auto"/>
        <w:bottom w:val="none" w:sz="0" w:space="0" w:color="auto"/>
        <w:right w:val="none" w:sz="0" w:space="0" w:color="auto"/>
      </w:divBdr>
    </w:div>
    <w:div w:id="467549560">
      <w:bodyDiv w:val="1"/>
      <w:marLeft w:val="0"/>
      <w:marRight w:val="0"/>
      <w:marTop w:val="0"/>
      <w:marBottom w:val="0"/>
      <w:divBdr>
        <w:top w:val="none" w:sz="0" w:space="0" w:color="auto"/>
        <w:left w:val="none" w:sz="0" w:space="0" w:color="auto"/>
        <w:bottom w:val="none" w:sz="0" w:space="0" w:color="auto"/>
        <w:right w:val="none" w:sz="0" w:space="0" w:color="auto"/>
      </w:divBdr>
    </w:div>
    <w:div w:id="496313537">
      <w:bodyDiv w:val="1"/>
      <w:marLeft w:val="0"/>
      <w:marRight w:val="0"/>
      <w:marTop w:val="0"/>
      <w:marBottom w:val="0"/>
      <w:divBdr>
        <w:top w:val="none" w:sz="0" w:space="0" w:color="auto"/>
        <w:left w:val="none" w:sz="0" w:space="0" w:color="auto"/>
        <w:bottom w:val="none" w:sz="0" w:space="0" w:color="auto"/>
        <w:right w:val="none" w:sz="0" w:space="0" w:color="auto"/>
      </w:divBdr>
    </w:div>
    <w:div w:id="556014037">
      <w:bodyDiv w:val="1"/>
      <w:marLeft w:val="0"/>
      <w:marRight w:val="0"/>
      <w:marTop w:val="0"/>
      <w:marBottom w:val="0"/>
      <w:divBdr>
        <w:top w:val="none" w:sz="0" w:space="0" w:color="auto"/>
        <w:left w:val="none" w:sz="0" w:space="0" w:color="auto"/>
        <w:bottom w:val="none" w:sz="0" w:space="0" w:color="auto"/>
        <w:right w:val="none" w:sz="0" w:space="0" w:color="auto"/>
      </w:divBdr>
    </w:div>
    <w:div w:id="584995667">
      <w:bodyDiv w:val="1"/>
      <w:marLeft w:val="0"/>
      <w:marRight w:val="0"/>
      <w:marTop w:val="0"/>
      <w:marBottom w:val="0"/>
      <w:divBdr>
        <w:top w:val="none" w:sz="0" w:space="0" w:color="auto"/>
        <w:left w:val="none" w:sz="0" w:space="0" w:color="auto"/>
        <w:bottom w:val="none" w:sz="0" w:space="0" w:color="auto"/>
        <w:right w:val="none" w:sz="0" w:space="0" w:color="auto"/>
      </w:divBdr>
    </w:div>
    <w:div w:id="706610458">
      <w:bodyDiv w:val="1"/>
      <w:marLeft w:val="0"/>
      <w:marRight w:val="0"/>
      <w:marTop w:val="0"/>
      <w:marBottom w:val="0"/>
      <w:divBdr>
        <w:top w:val="none" w:sz="0" w:space="0" w:color="auto"/>
        <w:left w:val="none" w:sz="0" w:space="0" w:color="auto"/>
        <w:bottom w:val="none" w:sz="0" w:space="0" w:color="auto"/>
        <w:right w:val="none" w:sz="0" w:space="0" w:color="auto"/>
      </w:divBdr>
    </w:div>
    <w:div w:id="718240428">
      <w:bodyDiv w:val="1"/>
      <w:marLeft w:val="0"/>
      <w:marRight w:val="0"/>
      <w:marTop w:val="0"/>
      <w:marBottom w:val="0"/>
      <w:divBdr>
        <w:top w:val="none" w:sz="0" w:space="0" w:color="auto"/>
        <w:left w:val="none" w:sz="0" w:space="0" w:color="auto"/>
        <w:bottom w:val="none" w:sz="0" w:space="0" w:color="auto"/>
        <w:right w:val="none" w:sz="0" w:space="0" w:color="auto"/>
      </w:divBdr>
    </w:div>
    <w:div w:id="719327819">
      <w:bodyDiv w:val="1"/>
      <w:marLeft w:val="0"/>
      <w:marRight w:val="0"/>
      <w:marTop w:val="0"/>
      <w:marBottom w:val="0"/>
      <w:divBdr>
        <w:top w:val="none" w:sz="0" w:space="0" w:color="auto"/>
        <w:left w:val="none" w:sz="0" w:space="0" w:color="auto"/>
        <w:bottom w:val="none" w:sz="0" w:space="0" w:color="auto"/>
        <w:right w:val="none" w:sz="0" w:space="0" w:color="auto"/>
      </w:divBdr>
    </w:div>
    <w:div w:id="745691168">
      <w:bodyDiv w:val="1"/>
      <w:marLeft w:val="0"/>
      <w:marRight w:val="0"/>
      <w:marTop w:val="0"/>
      <w:marBottom w:val="0"/>
      <w:divBdr>
        <w:top w:val="none" w:sz="0" w:space="0" w:color="auto"/>
        <w:left w:val="none" w:sz="0" w:space="0" w:color="auto"/>
        <w:bottom w:val="none" w:sz="0" w:space="0" w:color="auto"/>
        <w:right w:val="none" w:sz="0" w:space="0" w:color="auto"/>
      </w:divBdr>
    </w:div>
    <w:div w:id="914438540">
      <w:bodyDiv w:val="1"/>
      <w:marLeft w:val="0"/>
      <w:marRight w:val="0"/>
      <w:marTop w:val="0"/>
      <w:marBottom w:val="0"/>
      <w:divBdr>
        <w:top w:val="none" w:sz="0" w:space="0" w:color="auto"/>
        <w:left w:val="none" w:sz="0" w:space="0" w:color="auto"/>
        <w:bottom w:val="none" w:sz="0" w:space="0" w:color="auto"/>
        <w:right w:val="none" w:sz="0" w:space="0" w:color="auto"/>
      </w:divBdr>
    </w:div>
    <w:div w:id="940800812">
      <w:bodyDiv w:val="1"/>
      <w:marLeft w:val="0"/>
      <w:marRight w:val="0"/>
      <w:marTop w:val="0"/>
      <w:marBottom w:val="0"/>
      <w:divBdr>
        <w:top w:val="none" w:sz="0" w:space="0" w:color="auto"/>
        <w:left w:val="none" w:sz="0" w:space="0" w:color="auto"/>
        <w:bottom w:val="none" w:sz="0" w:space="0" w:color="auto"/>
        <w:right w:val="none" w:sz="0" w:space="0" w:color="auto"/>
      </w:divBdr>
    </w:div>
    <w:div w:id="963536624">
      <w:bodyDiv w:val="1"/>
      <w:marLeft w:val="0"/>
      <w:marRight w:val="0"/>
      <w:marTop w:val="0"/>
      <w:marBottom w:val="0"/>
      <w:divBdr>
        <w:top w:val="none" w:sz="0" w:space="0" w:color="auto"/>
        <w:left w:val="none" w:sz="0" w:space="0" w:color="auto"/>
        <w:bottom w:val="none" w:sz="0" w:space="0" w:color="auto"/>
        <w:right w:val="none" w:sz="0" w:space="0" w:color="auto"/>
      </w:divBdr>
    </w:div>
    <w:div w:id="970863661">
      <w:bodyDiv w:val="1"/>
      <w:marLeft w:val="0"/>
      <w:marRight w:val="0"/>
      <w:marTop w:val="0"/>
      <w:marBottom w:val="0"/>
      <w:divBdr>
        <w:top w:val="none" w:sz="0" w:space="0" w:color="auto"/>
        <w:left w:val="none" w:sz="0" w:space="0" w:color="auto"/>
        <w:bottom w:val="none" w:sz="0" w:space="0" w:color="auto"/>
        <w:right w:val="none" w:sz="0" w:space="0" w:color="auto"/>
      </w:divBdr>
    </w:div>
    <w:div w:id="983243671">
      <w:bodyDiv w:val="1"/>
      <w:marLeft w:val="0"/>
      <w:marRight w:val="0"/>
      <w:marTop w:val="0"/>
      <w:marBottom w:val="0"/>
      <w:divBdr>
        <w:top w:val="none" w:sz="0" w:space="0" w:color="auto"/>
        <w:left w:val="none" w:sz="0" w:space="0" w:color="auto"/>
        <w:bottom w:val="none" w:sz="0" w:space="0" w:color="auto"/>
        <w:right w:val="none" w:sz="0" w:space="0" w:color="auto"/>
      </w:divBdr>
    </w:div>
    <w:div w:id="1027675939">
      <w:bodyDiv w:val="1"/>
      <w:marLeft w:val="0"/>
      <w:marRight w:val="0"/>
      <w:marTop w:val="0"/>
      <w:marBottom w:val="0"/>
      <w:divBdr>
        <w:top w:val="none" w:sz="0" w:space="0" w:color="auto"/>
        <w:left w:val="none" w:sz="0" w:space="0" w:color="auto"/>
        <w:bottom w:val="none" w:sz="0" w:space="0" w:color="auto"/>
        <w:right w:val="none" w:sz="0" w:space="0" w:color="auto"/>
      </w:divBdr>
      <w:divsChild>
        <w:div w:id="2049063661">
          <w:marLeft w:val="274"/>
          <w:marRight w:val="0"/>
          <w:marTop w:val="0"/>
          <w:marBottom w:val="160"/>
          <w:divBdr>
            <w:top w:val="none" w:sz="0" w:space="0" w:color="auto"/>
            <w:left w:val="none" w:sz="0" w:space="0" w:color="auto"/>
            <w:bottom w:val="none" w:sz="0" w:space="0" w:color="auto"/>
            <w:right w:val="none" w:sz="0" w:space="0" w:color="auto"/>
          </w:divBdr>
        </w:div>
        <w:div w:id="6566058">
          <w:marLeft w:val="274"/>
          <w:marRight w:val="0"/>
          <w:marTop w:val="0"/>
          <w:marBottom w:val="160"/>
          <w:divBdr>
            <w:top w:val="none" w:sz="0" w:space="0" w:color="auto"/>
            <w:left w:val="none" w:sz="0" w:space="0" w:color="auto"/>
            <w:bottom w:val="none" w:sz="0" w:space="0" w:color="auto"/>
            <w:right w:val="none" w:sz="0" w:space="0" w:color="auto"/>
          </w:divBdr>
        </w:div>
        <w:div w:id="705567978">
          <w:marLeft w:val="274"/>
          <w:marRight w:val="0"/>
          <w:marTop w:val="0"/>
          <w:marBottom w:val="160"/>
          <w:divBdr>
            <w:top w:val="none" w:sz="0" w:space="0" w:color="auto"/>
            <w:left w:val="none" w:sz="0" w:space="0" w:color="auto"/>
            <w:bottom w:val="none" w:sz="0" w:space="0" w:color="auto"/>
            <w:right w:val="none" w:sz="0" w:space="0" w:color="auto"/>
          </w:divBdr>
        </w:div>
        <w:div w:id="1757826291">
          <w:marLeft w:val="274"/>
          <w:marRight w:val="0"/>
          <w:marTop w:val="0"/>
          <w:marBottom w:val="160"/>
          <w:divBdr>
            <w:top w:val="none" w:sz="0" w:space="0" w:color="auto"/>
            <w:left w:val="none" w:sz="0" w:space="0" w:color="auto"/>
            <w:bottom w:val="none" w:sz="0" w:space="0" w:color="auto"/>
            <w:right w:val="none" w:sz="0" w:space="0" w:color="auto"/>
          </w:divBdr>
        </w:div>
        <w:div w:id="578252830">
          <w:marLeft w:val="274"/>
          <w:marRight w:val="0"/>
          <w:marTop w:val="0"/>
          <w:marBottom w:val="160"/>
          <w:divBdr>
            <w:top w:val="none" w:sz="0" w:space="0" w:color="auto"/>
            <w:left w:val="none" w:sz="0" w:space="0" w:color="auto"/>
            <w:bottom w:val="none" w:sz="0" w:space="0" w:color="auto"/>
            <w:right w:val="none" w:sz="0" w:space="0" w:color="auto"/>
          </w:divBdr>
        </w:div>
        <w:div w:id="2003312101">
          <w:marLeft w:val="274"/>
          <w:marRight w:val="0"/>
          <w:marTop w:val="0"/>
          <w:marBottom w:val="160"/>
          <w:divBdr>
            <w:top w:val="none" w:sz="0" w:space="0" w:color="auto"/>
            <w:left w:val="none" w:sz="0" w:space="0" w:color="auto"/>
            <w:bottom w:val="none" w:sz="0" w:space="0" w:color="auto"/>
            <w:right w:val="none" w:sz="0" w:space="0" w:color="auto"/>
          </w:divBdr>
        </w:div>
        <w:div w:id="64226963">
          <w:marLeft w:val="274"/>
          <w:marRight w:val="0"/>
          <w:marTop w:val="0"/>
          <w:marBottom w:val="160"/>
          <w:divBdr>
            <w:top w:val="none" w:sz="0" w:space="0" w:color="auto"/>
            <w:left w:val="none" w:sz="0" w:space="0" w:color="auto"/>
            <w:bottom w:val="none" w:sz="0" w:space="0" w:color="auto"/>
            <w:right w:val="none" w:sz="0" w:space="0" w:color="auto"/>
          </w:divBdr>
        </w:div>
        <w:div w:id="752435947">
          <w:marLeft w:val="274"/>
          <w:marRight w:val="0"/>
          <w:marTop w:val="0"/>
          <w:marBottom w:val="160"/>
          <w:divBdr>
            <w:top w:val="none" w:sz="0" w:space="0" w:color="auto"/>
            <w:left w:val="none" w:sz="0" w:space="0" w:color="auto"/>
            <w:bottom w:val="none" w:sz="0" w:space="0" w:color="auto"/>
            <w:right w:val="none" w:sz="0" w:space="0" w:color="auto"/>
          </w:divBdr>
        </w:div>
        <w:div w:id="1314873491">
          <w:marLeft w:val="274"/>
          <w:marRight w:val="0"/>
          <w:marTop w:val="0"/>
          <w:marBottom w:val="160"/>
          <w:divBdr>
            <w:top w:val="none" w:sz="0" w:space="0" w:color="auto"/>
            <w:left w:val="none" w:sz="0" w:space="0" w:color="auto"/>
            <w:bottom w:val="none" w:sz="0" w:space="0" w:color="auto"/>
            <w:right w:val="none" w:sz="0" w:space="0" w:color="auto"/>
          </w:divBdr>
        </w:div>
        <w:div w:id="1470435786">
          <w:marLeft w:val="274"/>
          <w:marRight w:val="0"/>
          <w:marTop w:val="0"/>
          <w:marBottom w:val="160"/>
          <w:divBdr>
            <w:top w:val="none" w:sz="0" w:space="0" w:color="auto"/>
            <w:left w:val="none" w:sz="0" w:space="0" w:color="auto"/>
            <w:bottom w:val="none" w:sz="0" w:space="0" w:color="auto"/>
            <w:right w:val="none" w:sz="0" w:space="0" w:color="auto"/>
          </w:divBdr>
        </w:div>
        <w:div w:id="970356039">
          <w:marLeft w:val="274"/>
          <w:marRight w:val="0"/>
          <w:marTop w:val="0"/>
          <w:marBottom w:val="160"/>
          <w:divBdr>
            <w:top w:val="none" w:sz="0" w:space="0" w:color="auto"/>
            <w:left w:val="none" w:sz="0" w:space="0" w:color="auto"/>
            <w:bottom w:val="none" w:sz="0" w:space="0" w:color="auto"/>
            <w:right w:val="none" w:sz="0" w:space="0" w:color="auto"/>
          </w:divBdr>
        </w:div>
        <w:div w:id="1441146217">
          <w:marLeft w:val="274"/>
          <w:marRight w:val="0"/>
          <w:marTop w:val="0"/>
          <w:marBottom w:val="160"/>
          <w:divBdr>
            <w:top w:val="none" w:sz="0" w:space="0" w:color="auto"/>
            <w:left w:val="none" w:sz="0" w:space="0" w:color="auto"/>
            <w:bottom w:val="none" w:sz="0" w:space="0" w:color="auto"/>
            <w:right w:val="none" w:sz="0" w:space="0" w:color="auto"/>
          </w:divBdr>
        </w:div>
        <w:div w:id="187110968">
          <w:marLeft w:val="274"/>
          <w:marRight w:val="0"/>
          <w:marTop w:val="0"/>
          <w:marBottom w:val="160"/>
          <w:divBdr>
            <w:top w:val="none" w:sz="0" w:space="0" w:color="auto"/>
            <w:left w:val="none" w:sz="0" w:space="0" w:color="auto"/>
            <w:bottom w:val="none" w:sz="0" w:space="0" w:color="auto"/>
            <w:right w:val="none" w:sz="0" w:space="0" w:color="auto"/>
          </w:divBdr>
        </w:div>
        <w:div w:id="2090349288">
          <w:marLeft w:val="274"/>
          <w:marRight w:val="0"/>
          <w:marTop w:val="0"/>
          <w:marBottom w:val="160"/>
          <w:divBdr>
            <w:top w:val="none" w:sz="0" w:space="0" w:color="auto"/>
            <w:left w:val="none" w:sz="0" w:space="0" w:color="auto"/>
            <w:bottom w:val="none" w:sz="0" w:space="0" w:color="auto"/>
            <w:right w:val="none" w:sz="0" w:space="0" w:color="auto"/>
          </w:divBdr>
        </w:div>
        <w:div w:id="1191601788">
          <w:marLeft w:val="274"/>
          <w:marRight w:val="0"/>
          <w:marTop w:val="0"/>
          <w:marBottom w:val="160"/>
          <w:divBdr>
            <w:top w:val="none" w:sz="0" w:space="0" w:color="auto"/>
            <w:left w:val="none" w:sz="0" w:space="0" w:color="auto"/>
            <w:bottom w:val="none" w:sz="0" w:space="0" w:color="auto"/>
            <w:right w:val="none" w:sz="0" w:space="0" w:color="auto"/>
          </w:divBdr>
        </w:div>
        <w:div w:id="456723621">
          <w:marLeft w:val="274"/>
          <w:marRight w:val="0"/>
          <w:marTop w:val="0"/>
          <w:marBottom w:val="160"/>
          <w:divBdr>
            <w:top w:val="none" w:sz="0" w:space="0" w:color="auto"/>
            <w:left w:val="none" w:sz="0" w:space="0" w:color="auto"/>
            <w:bottom w:val="none" w:sz="0" w:space="0" w:color="auto"/>
            <w:right w:val="none" w:sz="0" w:space="0" w:color="auto"/>
          </w:divBdr>
        </w:div>
        <w:div w:id="208421549">
          <w:marLeft w:val="274"/>
          <w:marRight w:val="0"/>
          <w:marTop w:val="0"/>
          <w:marBottom w:val="160"/>
          <w:divBdr>
            <w:top w:val="none" w:sz="0" w:space="0" w:color="auto"/>
            <w:left w:val="none" w:sz="0" w:space="0" w:color="auto"/>
            <w:bottom w:val="none" w:sz="0" w:space="0" w:color="auto"/>
            <w:right w:val="none" w:sz="0" w:space="0" w:color="auto"/>
          </w:divBdr>
        </w:div>
        <w:div w:id="954795990">
          <w:marLeft w:val="274"/>
          <w:marRight w:val="0"/>
          <w:marTop w:val="0"/>
          <w:marBottom w:val="160"/>
          <w:divBdr>
            <w:top w:val="none" w:sz="0" w:space="0" w:color="auto"/>
            <w:left w:val="none" w:sz="0" w:space="0" w:color="auto"/>
            <w:bottom w:val="none" w:sz="0" w:space="0" w:color="auto"/>
            <w:right w:val="none" w:sz="0" w:space="0" w:color="auto"/>
          </w:divBdr>
        </w:div>
        <w:div w:id="2071463271">
          <w:marLeft w:val="274"/>
          <w:marRight w:val="0"/>
          <w:marTop w:val="0"/>
          <w:marBottom w:val="160"/>
          <w:divBdr>
            <w:top w:val="none" w:sz="0" w:space="0" w:color="auto"/>
            <w:left w:val="none" w:sz="0" w:space="0" w:color="auto"/>
            <w:bottom w:val="none" w:sz="0" w:space="0" w:color="auto"/>
            <w:right w:val="none" w:sz="0" w:space="0" w:color="auto"/>
          </w:divBdr>
        </w:div>
        <w:div w:id="1009912829">
          <w:marLeft w:val="274"/>
          <w:marRight w:val="0"/>
          <w:marTop w:val="0"/>
          <w:marBottom w:val="160"/>
          <w:divBdr>
            <w:top w:val="none" w:sz="0" w:space="0" w:color="auto"/>
            <w:left w:val="none" w:sz="0" w:space="0" w:color="auto"/>
            <w:bottom w:val="none" w:sz="0" w:space="0" w:color="auto"/>
            <w:right w:val="none" w:sz="0" w:space="0" w:color="auto"/>
          </w:divBdr>
        </w:div>
        <w:div w:id="1917275724">
          <w:marLeft w:val="274"/>
          <w:marRight w:val="0"/>
          <w:marTop w:val="0"/>
          <w:marBottom w:val="160"/>
          <w:divBdr>
            <w:top w:val="none" w:sz="0" w:space="0" w:color="auto"/>
            <w:left w:val="none" w:sz="0" w:space="0" w:color="auto"/>
            <w:bottom w:val="none" w:sz="0" w:space="0" w:color="auto"/>
            <w:right w:val="none" w:sz="0" w:space="0" w:color="auto"/>
          </w:divBdr>
        </w:div>
        <w:div w:id="1394620169">
          <w:marLeft w:val="274"/>
          <w:marRight w:val="0"/>
          <w:marTop w:val="0"/>
          <w:marBottom w:val="160"/>
          <w:divBdr>
            <w:top w:val="none" w:sz="0" w:space="0" w:color="auto"/>
            <w:left w:val="none" w:sz="0" w:space="0" w:color="auto"/>
            <w:bottom w:val="none" w:sz="0" w:space="0" w:color="auto"/>
            <w:right w:val="none" w:sz="0" w:space="0" w:color="auto"/>
          </w:divBdr>
        </w:div>
        <w:div w:id="360596795">
          <w:marLeft w:val="274"/>
          <w:marRight w:val="0"/>
          <w:marTop w:val="0"/>
          <w:marBottom w:val="160"/>
          <w:divBdr>
            <w:top w:val="none" w:sz="0" w:space="0" w:color="auto"/>
            <w:left w:val="none" w:sz="0" w:space="0" w:color="auto"/>
            <w:bottom w:val="none" w:sz="0" w:space="0" w:color="auto"/>
            <w:right w:val="none" w:sz="0" w:space="0" w:color="auto"/>
          </w:divBdr>
        </w:div>
        <w:div w:id="1812286503">
          <w:marLeft w:val="274"/>
          <w:marRight w:val="0"/>
          <w:marTop w:val="0"/>
          <w:marBottom w:val="160"/>
          <w:divBdr>
            <w:top w:val="none" w:sz="0" w:space="0" w:color="auto"/>
            <w:left w:val="none" w:sz="0" w:space="0" w:color="auto"/>
            <w:bottom w:val="none" w:sz="0" w:space="0" w:color="auto"/>
            <w:right w:val="none" w:sz="0" w:space="0" w:color="auto"/>
          </w:divBdr>
        </w:div>
        <w:div w:id="667287726">
          <w:marLeft w:val="274"/>
          <w:marRight w:val="0"/>
          <w:marTop w:val="0"/>
          <w:marBottom w:val="160"/>
          <w:divBdr>
            <w:top w:val="none" w:sz="0" w:space="0" w:color="auto"/>
            <w:left w:val="none" w:sz="0" w:space="0" w:color="auto"/>
            <w:bottom w:val="none" w:sz="0" w:space="0" w:color="auto"/>
            <w:right w:val="none" w:sz="0" w:space="0" w:color="auto"/>
          </w:divBdr>
        </w:div>
        <w:div w:id="1244874931">
          <w:marLeft w:val="274"/>
          <w:marRight w:val="0"/>
          <w:marTop w:val="0"/>
          <w:marBottom w:val="160"/>
          <w:divBdr>
            <w:top w:val="none" w:sz="0" w:space="0" w:color="auto"/>
            <w:left w:val="none" w:sz="0" w:space="0" w:color="auto"/>
            <w:bottom w:val="none" w:sz="0" w:space="0" w:color="auto"/>
            <w:right w:val="none" w:sz="0" w:space="0" w:color="auto"/>
          </w:divBdr>
        </w:div>
        <w:div w:id="813646325">
          <w:marLeft w:val="274"/>
          <w:marRight w:val="0"/>
          <w:marTop w:val="0"/>
          <w:marBottom w:val="160"/>
          <w:divBdr>
            <w:top w:val="none" w:sz="0" w:space="0" w:color="auto"/>
            <w:left w:val="none" w:sz="0" w:space="0" w:color="auto"/>
            <w:bottom w:val="none" w:sz="0" w:space="0" w:color="auto"/>
            <w:right w:val="none" w:sz="0" w:space="0" w:color="auto"/>
          </w:divBdr>
        </w:div>
        <w:div w:id="873271363">
          <w:marLeft w:val="274"/>
          <w:marRight w:val="0"/>
          <w:marTop w:val="0"/>
          <w:marBottom w:val="160"/>
          <w:divBdr>
            <w:top w:val="none" w:sz="0" w:space="0" w:color="auto"/>
            <w:left w:val="none" w:sz="0" w:space="0" w:color="auto"/>
            <w:bottom w:val="none" w:sz="0" w:space="0" w:color="auto"/>
            <w:right w:val="none" w:sz="0" w:space="0" w:color="auto"/>
          </w:divBdr>
        </w:div>
        <w:div w:id="625701617">
          <w:marLeft w:val="274"/>
          <w:marRight w:val="0"/>
          <w:marTop w:val="0"/>
          <w:marBottom w:val="160"/>
          <w:divBdr>
            <w:top w:val="none" w:sz="0" w:space="0" w:color="auto"/>
            <w:left w:val="none" w:sz="0" w:space="0" w:color="auto"/>
            <w:bottom w:val="none" w:sz="0" w:space="0" w:color="auto"/>
            <w:right w:val="none" w:sz="0" w:space="0" w:color="auto"/>
          </w:divBdr>
        </w:div>
      </w:divsChild>
    </w:div>
    <w:div w:id="1040666037">
      <w:bodyDiv w:val="1"/>
      <w:marLeft w:val="0"/>
      <w:marRight w:val="0"/>
      <w:marTop w:val="0"/>
      <w:marBottom w:val="0"/>
      <w:divBdr>
        <w:top w:val="none" w:sz="0" w:space="0" w:color="auto"/>
        <w:left w:val="none" w:sz="0" w:space="0" w:color="auto"/>
        <w:bottom w:val="none" w:sz="0" w:space="0" w:color="auto"/>
        <w:right w:val="none" w:sz="0" w:space="0" w:color="auto"/>
      </w:divBdr>
    </w:div>
    <w:div w:id="1143236185">
      <w:bodyDiv w:val="1"/>
      <w:marLeft w:val="0"/>
      <w:marRight w:val="0"/>
      <w:marTop w:val="0"/>
      <w:marBottom w:val="0"/>
      <w:divBdr>
        <w:top w:val="none" w:sz="0" w:space="0" w:color="auto"/>
        <w:left w:val="none" w:sz="0" w:space="0" w:color="auto"/>
        <w:bottom w:val="none" w:sz="0" w:space="0" w:color="auto"/>
        <w:right w:val="none" w:sz="0" w:space="0" w:color="auto"/>
      </w:divBdr>
    </w:div>
    <w:div w:id="1202013781">
      <w:bodyDiv w:val="1"/>
      <w:marLeft w:val="0"/>
      <w:marRight w:val="0"/>
      <w:marTop w:val="0"/>
      <w:marBottom w:val="0"/>
      <w:divBdr>
        <w:top w:val="none" w:sz="0" w:space="0" w:color="auto"/>
        <w:left w:val="none" w:sz="0" w:space="0" w:color="auto"/>
        <w:bottom w:val="none" w:sz="0" w:space="0" w:color="auto"/>
        <w:right w:val="none" w:sz="0" w:space="0" w:color="auto"/>
      </w:divBdr>
    </w:div>
    <w:div w:id="1259673441">
      <w:bodyDiv w:val="1"/>
      <w:marLeft w:val="0"/>
      <w:marRight w:val="0"/>
      <w:marTop w:val="0"/>
      <w:marBottom w:val="0"/>
      <w:divBdr>
        <w:top w:val="none" w:sz="0" w:space="0" w:color="auto"/>
        <w:left w:val="none" w:sz="0" w:space="0" w:color="auto"/>
        <w:bottom w:val="none" w:sz="0" w:space="0" w:color="auto"/>
        <w:right w:val="none" w:sz="0" w:space="0" w:color="auto"/>
      </w:divBdr>
    </w:div>
    <w:div w:id="1282805484">
      <w:bodyDiv w:val="1"/>
      <w:marLeft w:val="0"/>
      <w:marRight w:val="0"/>
      <w:marTop w:val="0"/>
      <w:marBottom w:val="0"/>
      <w:divBdr>
        <w:top w:val="none" w:sz="0" w:space="0" w:color="auto"/>
        <w:left w:val="none" w:sz="0" w:space="0" w:color="auto"/>
        <w:bottom w:val="none" w:sz="0" w:space="0" w:color="auto"/>
        <w:right w:val="none" w:sz="0" w:space="0" w:color="auto"/>
      </w:divBdr>
    </w:div>
    <w:div w:id="1310550196">
      <w:bodyDiv w:val="1"/>
      <w:marLeft w:val="0"/>
      <w:marRight w:val="0"/>
      <w:marTop w:val="0"/>
      <w:marBottom w:val="0"/>
      <w:divBdr>
        <w:top w:val="none" w:sz="0" w:space="0" w:color="auto"/>
        <w:left w:val="none" w:sz="0" w:space="0" w:color="auto"/>
        <w:bottom w:val="none" w:sz="0" w:space="0" w:color="auto"/>
        <w:right w:val="none" w:sz="0" w:space="0" w:color="auto"/>
      </w:divBdr>
    </w:div>
    <w:div w:id="1326859816">
      <w:bodyDiv w:val="1"/>
      <w:marLeft w:val="0"/>
      <w:marRight w:val="0"/>
      <w:marTop w:val="0"/>
      <w:marBottom w:val="0"/>
      <w:divBdr>
        <w:top w:val="none" w:sz="0" w:space="0" w:color="auto"/>
        <w:left w:val="none" w:sz="0" w:space="0" w:color="auto"/>
        <w:bottom w:val="none" w:sz="0" w:space="0" w:color="auto"/>
        <w:right w:val="none" w:sz="0" w:space="0" w:color="auto"/>
      </w:divBdr>
    </w:div>
    <w:div w:id="1328822960">
      <w:bodyDiv w:val="1"/>
      <w:marLeft w:val="0"/>
      <w:marRight w:val="0"/>
      <w:marTop w:val="0"/>
      <w:marBottom w:val="0"/>
      <w:divBdr>
        <w:top w:val="none" w:sz="0" w:space="0" w:color="auto"/>
        <w:left w:val="none" w:sz="0" w:space="0" w:color="auto"/>
        <w:bottom w:val="none" w:sz="0" w:space="0" w:color="auto"/>
        <w:right w:val="none" w:sz="0" w:space="0" w:color="auto"/>
      </w:divBdr>
    </w:div>
    <w:div w:id="1377005271">
      <w:bodyDiv w:val="1"/>
      <w:marLeft w:val="0"/>
      <w:marRight w:val="0"/>
      <w:marTop w:val="0"/>
      <w:marBottom w:val="0"/>
      <w:divBdr>
        <w:top w:val="none" w:sz="0" w:space="0" w:color="auto"/>
        <w:left w:val="none" w:sz="0" w:space="0" w:color="auto"/>
        <w:bottom w:val="none" w:sz="0" w:space="0" w:color="auto"/>
        <w:right w:val="none" w:sz="0" w:space="0" w:color="auto"/>
      </w:divBdr>
    </w:div>
    <w:div w:id="1480538864">
      <w:bodyDiv w:val="1"/>
      <w:marLeft w:val="0"/>
      <w:marRight w:val="0"/>
      <w:marTop w:val="0"/>
      <w:marBottom w:val="0"/>
      <w:divBdr>
        <w:top w:val="none" w:sz="0" w:space="0" w:color="auto"/>
        <w:left w:val="none" w:sz="0" w:space="0" w:color="auto"/>
        <w:bottom w:val="none" w:sz="0" w:space="0" w:color="auto"/>
        <w:right w:val="none" w:sz="0" w:space="0" w:color="auto"/>
      </w:divBdr>
    </w:div>
    <w:div w:id="1588071633">
      <w:bodyDiv w:val="1"/>
      <w:marLeft w:val="0"/>
      <w:marRight w:val="0"/>
      <w:marTop w:val="0"/>
      <w:marBottom w:val="0"/>
      <w:divBdr>
        <w:top w:val="none" w:sz="0" w:space="0" w:color="auto"/>
        <w:left w:val="none" w:sz="0" w:space="0" w:color="auto"/>
        <w:bottom w:val="none" w:sz="0" w:space="0" w:color="auto"/>
        <w:right w:val="none" w:sz="0" w:space="0" w:color="auto"/>
      </w:divBdr>
    </w:div>
    <w:div w:id="1674649732">
      <w:bodyDiv w:val="1"/>
      <w:marLeft w:val="0"/>
      <w:marRight w:val="0"/>
      <w:marTop w:val="0"/>
      <w:marBottom w:val="0"/>
      <w:divBdr>
        <w:top w:val="none" w:sz="0" w:space="0" w:color="auto"/>
        <w:left w:val="none" w:sz="0" w:space="0" w:color="auto"/>
        <w:bottom w:val="none" w:sz="0" w:space="0" w:color="auto"/>
        <w:right w:val="none" w:sz="0" w:space="0" w:color="auto"/>
      </w:divBdr>
    </w:div>
    <w:div w:id="2090076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681dcdd7-3e43-49fb-ac1e-2321f7e63421}" enabled="1" method="Standard" siteId="{1321633e-f6b9-44e2-a44f-59b9d264ecb7}" removed="0"/>
</clbl:labelList>
</file>

<file path=docProps/app.xml><?xml version="1.0" encoding="utf-8"?>
<ap:Properties xmlns:vt="http://schemas.openxmlformats.org/officeDocument/2006/docPropsVTypes" xmlns:ap="http://schemas.openxmlformats.org/officeDocument/2006/extended-properties">
  <ap:Pages>12</ap:Pages>
  <ap:Words>3809</ap:Words>
  <ap:Characters>20950</ap:Characters>
  <ap:DocSecurity>0</ap:DocSecurity>
  <ap:Lines>174</ap:Lines>
  <ap:Paragraphs>49</ap:Paragraphs>
  <ap:ScaleCrop>false</ap:ScaleCrop>
  <ap:LinksUpToDate>false</ap:LinksUpToDate>
  <ap:CharactersWithSpaces>24710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2025-06-02T14:51:00.0000000Z</dcterms:created>
  <dcterms:modified xsi:type="dcterms:W3CDTF">2025-06-02T14:51:00.0000000Z</dcterms:modified>
  <dc:description>------------------------</dc:description>
  <version/>
  <category/>
</coreProperties>
</file>