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75D1" w:rsidR="00C10600" w:rsidP="00966AB5" w:rsidRDefault="002A2774" w14:paraId="001F6E6B" w14:textId="09EF8A24">
      <w:pPr>
        <w:pStyle w:val="Duidelijkcitaat"/>
        <w:rPr>
          <w:rFonts w:ascii="Verdana" w:hAnsi="Verdana"/>
          <w:sz w:val="18"/>
          <w:szCs w:val="18"/>
        </w:rPr>
      </w:pPr>
      <w:r w:rsidRPr="002A2774">
        <w:rPr>
          <w:rFonts w:ascii="Verdana" w:hAnsi="Verdana"/>
          <w:b/>
          <w:bCs/>
          <w:i w:val="0"/>
          <w:iCs w:val="0"/>
          <w:color w:val="auto"/>
          <w:sz w:val="18"/>
          <w:szCs w:val="18"/>
        </w:rPr>
        <w:t>Stuk 29</w:t>
      </w:r>
      <w:r w:rsidRPr="002A2774">
        <w:rPr>
          <w:rFonts w:ascii="Verdana" w:hAnsi="Verdana"/>
          <w:color w:val="auto"/>
          <w:sz w:val="18"/>
          <w:szCs w:val="18"/>
        </w:rPr>
        <w:t xml:space="preserve"> </w:t>
      </w:r>
      <w:r w:rsidRPr="002A75D1" w:rsidR="00966AB5">
        <w:rPr>
          <w:rFonts w:ascii="Verdana" w:hAnsi="Verdana"/>
          <w:sz w:val="18"/>
          <w:szCs w:val="18"/>
        </w:rPr>
        <w:t>Bespreekpunten BWO Mobiliteit</w:t>
      </w:r>
      <w:r w:rsidRPr="002A75D1" w:rsidR="00966AB5">
        <w:rPr>
          <w:rFonts w:ascii="Verdana" w:hAnsi="Verdana"/>
          <w:sz w:val="18"/>
          <w:szCs w:val="18"/>
        </w:rPr>
        <w:br/>
        <w:t xml:space="preserve">5 april 2025 </w:t>
      </w:r>
    </w:p>
    <w:p w:rsidRPr="002A75D1" w:rsidR="00456472" w:rsidP="00961EFE" w:rsidRDefault="004A2485" w14:paraId="54859ACC" w14:textId="1B88F101">
      <w:pPr>
        <w:pStyle w:val="Lijstalinea"/>
        <w:numPr>
          <w:ilvl w:val="0"/>
          <w:numId w:val="1"/>
        </w:numPr>
        <w:rPr>
          <w:rFonts w:ascii="Verdana" w:hAnsi="Verdana"/>
          <w:b/>
          <w:sz w:val="18"/>
          <w:szCs w:val="18"/>
        </w:rPr>
      </w:pPr>
      <w:r w:rsidRPr="002A75D1">
        <w:rPr>
          <w:rFonts w:ascii="Verdana" w:hAnsi="Verdana"/>
          <w:b/>
          <w:sz w:val="18"/>
          <w:szCs w:val="18"/>
        </w:rPr>
        <w:t xml:space="preserve">Invoering normering lease </w:t>
      </w:r>
      <w:r w:rsidRPr="002A75D1" w:rsidR="0004204F">
        <w:rPr>
          <w:rFonts w:ascii="Verdana" w:hAnsi="Verdana"/>
          <w:b/>
          <w:sz w:val="18"/>
          <w:szCs w:val="18"/>
        </w:rPr>
        <w:t xml:space="preserve">per </w:t>
      </w:r>
      <w:r w:rsidRPr="002A75D1" w:rsidR="00A93627">
        <w:rPr>
          <w:rFonts w:ascii="Verdana" w:hAnsi="Verdana"/>
          <w:b/>
          <w:sz w:val="18"/>
          <w:szCs w:val="18"/>
        </w:rPr>
        <w:t>202</w:t>
      </w:r>
      <w:r w:rsidR="00A93627">
        <w:rPr>
          <w:rFonts w:ascii="Verdana" w:hAnsi="Verdana"/>
          <w:b/>
          <w:sz w:val="18"/>
          <w:szCs w:val="18"/>
        </w:rPr>
        <w:t>7</w:t>
      </w:r>
      <w:r w:rsidR="00A93627">
        <w:rPr>
          <w:rFonts w:ascii="Verdana" w:hAnsi="Verdana"/>
          <w:b/>
          <w:bCs/>
          <w:sz w:val="18"/>
          <w:szCs w:val="18"/>
        </w:rPr>
        <w:t xml:space="preserve"> </w:t>
      </w:r>
      <w:r w:rsidR="00E36BA9">
        <w:rPr>
          <w:rFonts w:ascii="Verdana" w:hAnsi="Verdana"/>
          <w:b/>
          <w:bCs/>
          <w:sz w:val="18"/>
          <w:szCs w:val="18"/>
        </w:rPr>
        <w:t>(0,</w:t>
      </w:r>
      <w:r w:rsidR="00A16BEE">
        <w:rPr>
          <w:rFonts w:ascii="Verdana" w:hAnsi="Verdana"/>
          <w:b/>
          <w:bCs/>
          <w:sz w:val="18"/>
          <w:szCs w:val="18"/>
        </w:rPr>
        <w:t>3</w:t>
      </w:r>
      <w:r w:rsidR="00E36BA9">
        <w:rPr>
          <w:rFonts w:ascii="Verdana" w:hAnsi="Verdana"/>
          <w:b/>
          <w:bCs/>
          <w:sz w:val="18"/>
          <w:szCs w:val="18"/>
        </w:rPr>
        <w:t xml:space="preserve"> Mton)</w:t>
      </w:r>
    </w:p>
    <w:p w:rsidRPr="00B74698" w:rsidR="008D047E" w:rsidP="00B74698" w:rsidRDefault="008D047E" w14:paraId="554B890F" w14:textId="0A894A14">
      <w:pPr>
        <w:rPr>
          <w:rFonts w:ascii="Verdana" w:hAnsi="Verdana"/>
          <w:i/>
          <w:sz w:val="18"/>
          <w:szCs w:val="18"/>
        </w:rPr>
      </w:pPr>
      <w:r>
        <w:rPr>
          <w:rFonts w:ascii="Verdana" w:hAnsi="Verdana"/>
          <w:i/>
          <w:sz w:val="18"/>
          <w:szCs w:val="18"/>
        </w:rPr>
        <w:t>Instemmen</w:t>
      </w:r>
      <w:r w:rsidRPr="00B74698" w:rsidR="00200AAC">
        <w:rPr>
          <w:rFonts w:ascii="Verdana" w:hAnsi="Verdana"/>
          <w:i/>
          <w:sz w:val="18"/>
          <w:szCs w:val="18"/>
        </w:rPr>
        <w:t xml:space="preserve"> met</w:t>
      </w:r>
      <w:r w:rsidRPr="00B74698">
        <w:rPr>
          <w:rFonts w:ascii="Verdana" w:hAnsi="Verdana"/>
          <w:i/>
          <w:sz w:val="18"/>
          <w:szCs w:val="18"/>
        </w:rPr>
        <w:t>:</w:t>
      </w:r>
    </w:p>
    <w:p w:rsidR="008D047E" w:rsidP="008D047E" w:rsidRDefault="008D047E" w14:paraId="7448FF53" w14:textId="1E41AD75">
      <w:pPr>
        <w:pStyle w:val="Lijstalinea"/>
        <w:numPr>
          <w:ilvl w:val="0"/>
          <w:numId w:val="9"/>
        </w:numPr>
        <w:rPr>
          <w:rFonts w:ascii="Verdana" w:hAnsi="Verdana"/>
          <w:i/>
          <w:sz w:val="18"/>
          <w:szCs w:val="18"/>
        </w:rPr>
      </w:pPr>
      <w:r>
        <w:rPr>
          <w:rFonts w:ascii="Verdana" w:hAnsi="Verdana"/>
          <w:i/>
          <w:sz w:val="18"/>
          <w:szCs w:val="18"/>
        </w:rPr>
        <w:t>I</w:t>
      </w:r>
      <w:r w:rsidRPr="00B74698" w:rsidR="00200AAC">
        <w:rPr>
          <w:rFonts w:ascii="Verdana" w:hAnsi="Verdana"/>
          <w:i/>
          <w:sz w:val="18"/>
          <w:szCs w:val="18"/>
        </w:rPr>
        <w:t>nvoering van de normering</w:t>
      </w:r>
      <w:r w:rsidRPr="00B74698" w:rsidR="00407058">
        <w:rPr>
          <w:rFonts w:ascii="Verdana" w:hAnsi="Verdana"/>
          <w:i/>
          <w:sz w:val="18"/>
          <w:szCs w:val="18"/>
        </w:rPr>
        <w:t xml:space="preserve"> </w:t>
      </w:r>
      <w:r w:rsidR="00245504">
        <w:rPr>
          <w:rFonts w:ascii="Verdana" w:hAnsi="Verdana"/>
          <w:i/>
          <w:sz w:val="18"/>
          <w:szCs w:val="18"/>
        </w:rPr>
        <w:t xml:space="preserve">leasemarkt via de loonbelasting </w:t>
      </w:r>
      <w:r w:rsidRPr="00B74698" w:rsidR="00407058">
        <w:rPr>
          <w:rFonts w:ascii="Verdana" w:hAnsi="Verdana"/>
          <w:i/>
          <w:sz w:val="18"/>
          <w:szCs w:val="18"/>
        </w:rPr>
        <w:t>vanaf 202</w:t>
      </w:r>
      <w:r>
        <w:rPr>
          <w:rFonts w:ascii="Verdana" w:hAnsi="Verdana"/>
          <w:i/>
          <w:sz w:val="18"/>
          <w:szCs w:val="18"/>
        </w:rPr>
        <w:t>7</w:t>
      </w:r>
      <w:r w:rsidR="00AB114E">
        <w:rPr>
          <w:rFonts w:ascii="Verdana" w:hAnsi="Verdana"/>
          <w:i/>
          <w:sz w:val="18"/>
          <w:szCs w:val="18"/>
        </w:rPr>
        <w:t xml:space="preserve"> (opgenomen in Belastingplan</w:t>
      </w:r>
      <w:r w:rsidR="005812D7">
        <w:rPr>
          <w:rFonts w:ascii="Verdana" w:hAnsi="Verdana"/>
          <w:i/>
          <w:sz w:val="18"/>
          <w:szCs w:val="18"/>
        </w:rPr>
        <w:t xml:space="preserve"> 2026</w:t>
      </w:r>
      <w:r w:rsidR="00AB114E">
        <w:rPr>
          <w:rFonts w:ascii="Verdana" w:hAnsi="Verdana"/>
          <w:i/>
          <w:sz w:val="18"/>
          <w:szCs w:val="18"/>
        </w:rPr>
        <w:t>)</w:t>
      </w:r>
      <w:r>
        <w:rPr>
          <w:rFonts w:ascii="Verdana" w:hAnsi="Verdana"/>
          <w:i/>
          <w:sz w:val="18"/>
          <w:szCs w:val="18"/>
        </w:rPr>
        <w:t>.</w:t>
      </w:r>
    </w:p>
    <w:p w:rsidR="00555D3A" w:rsidP="00555D3A" w:rsidRDefault="009A27EE" w14:paraId="112E30D4" w14:textId="04814D6F">
      <w:pPr>
        <w:pStyle w:val="Lijstalinea"/>
        <w:numPr>
          <w:ilvl w:val="0"/>
          <w:numId w:val="9"/>
        </w:numPr>
        <w:rPr>
          <w:rFonts w:ascii="Verdana" w:hAnsi="Verdana"/>
          <w:i/>
          <w:sz w:val="18"/>
          <w:szCs w:val="18"/>
        </w:rPr>
      </w:pPr>
      <w:r>
        <w:rPr>
          <w:rFonts w:ascii="Verdana" w:hAnsi="Verdana"/>
          <w:i/>
          <w:sz w:val="18"/>
          <w:szCs w:val="18"/>
        </w:rPr>
        <w:t xml:space="preserve">Voor de derving als gevolg van de normering lease-markt ontstaat, de volgende </w:t>
      </w:r>
      <w:proofErr w:type="spellStart"/>
      <w:r>
        <w:rPr>
          <w:rFonts w:ascii="Verdana" w:hAnsi="Verdana"/>
          <w:i/>
          <w:sz w:val="18"/>
          <w:szCs w:val="18"/>
        </w:rPr>
        <w:t>placeholder</w:t>
      </w:r>
      <w:proofErr w:type="spellEnd"/>
      <w:r>
        <w:rPr>
          <w:rFonts w:ascii="Verdana" w:hAnsi="Verdana"/>
          <w:i/>
          <w:sz w:val="18"/>
          <w:szCs w:val="18"/>
        </w:rPr>
        <w:t xml:space="preserve"> ter dekking op te nemen: </w:t>
      </w:r>
      <w:r w:rsidRPr="00B74698" w:rsidR="00200AAC">
        <w:rPr>
          <w:rFonts w:ascii="Verdana" w:hAnsi="Verdana"/>
          <w:i/>
          <w:sz w:val="18"/>
          <w:szCs w:val="18"/>
        </w:rPr>
        <w:t xml:space="preserve">middelen uit het Klimaatfonds, afschaffen van het heffingsplafond in de belasting op leidingwater en middelen in de ETS2 </w:t>
      </w:r>
      <w:proofErr w:type="spellStart"/>
      <w:r w:rsidRPr="00B74698" w:rsidR="00200AAC">
        <w:rPr>
          <w:rFonts w:ascii="Verdana" w:hAnsi="Verdana"/>
          <w:i/>
          <w:sz w:val="18"/>
          <w:szCs w:val="18"/>
        </w:rPr>
        <w:t>opt</w:t>
      </w:r>
      <w:proofErr w:type="spellEnd"/>
      <w:r w:rsidRPr="00B74698" w:rsidR="00200AAC">
        <w:rPr>
          <w:rFonts w:ascii="Verdana" w:hAnsi="Verdana"/>
          <w:i/>
          <w:sz w:val="18"/>
          <w:szCs w:val="18"/>
        </w:rPr>
        <w:t>-in reeks voor mobiliteit</w:t>
      </w:r>
      <w:r w:rsidR="008D047E">
        <w:rPr>
          <w:rFonts w:ascii="Verdana" w:hAnsi="Verdana"/>
          <w:i/>
          <w:sz w:val="18"/>
          <w:szCs w:val="18"/>
        </w:rPr>
        <w:t>.</w:t>
      </w:r>
      <w:r w:rsidR="00E526D2">
        <w:rPr>
          <w:rFonts w:ascii="Verdana" w:hAnsi="Verdana"/>
          <w:i/>
          <w:sz w:val="18"/>
          <w:szCs w:val="18"/>
        </w:rPr>
        <w:t xml:space="preserve"> Mochten er </w:t>
      </w:r>
      <w:r w:rsidR="002A28D0">
        <w:rPr>
          <w:rFonts w:ascii="Verdana" w:hAnsi="Verdana"/>
          <w:i/>
          <w:sz w:val="18"/>
          <w:szCs w:val="18"/>
        </w:rPr>
        <w:t>o.b.v. het Europese geen Klimaatfondsmiddelen nodig zijn, dan vloeien deze terug naar het Klimaatfonds.</w:t>
      </w:r>
    </w:p>
    <w:p w:rsidRPr="00B74698" w:rsidR="008D047E" w:rsidP="00B74698" w:rsidRDefault="007D356A" w14:paraId="6B82B2C5" w14:textId="3FFD490B">
      <w:pPr>
        <w:pStyle w:val="Lijstalinea"/>
        <w:numPr>
          <w:ilvl w:val="0"/>
          <w:numId w:val="9"/>
        </w:numPr>
        <w:rPr>
          <w:rFonts w:ascii="Verdana" w:hAnsi="Verdana"/>
          <w:i/>
          <w:sz w:val="18"/>
          <w:szCs w:val="18"/>
        </w:rPr>
      </w:pPr>
      <w:r>
        <w:rPr>
          <w:rFonts w:ascii="Verdana" w:hAnsi="Verdana"/>
          <w:i/>
          <w:sz w:val="18"/>
          <w:szCs w:val="18"/>
        </w:rPr>
        <w:t xml:space="preserve">Eind 2025 wordt een voorstel verwacht vanuit de EC voor Europese normering van de lease-markt. Dit voorstel zal zo goed mogelijk worden meegenomen. Indien hiermee richting VJN2026 </w:t>
      </w:r>
      <w:r w:rsidR="005812D7">
        <w:rPr>
          <w:rFonts w:ascii="Verdana" w:hAnsi="Verdana"/>
          <w:i/>
          <w:sz w:val="18"/>
          <w:szCs w:val="18"/>
        </w:rPr>
        <w:t xml:space="preserve">blijkt dat een deel van de nationale normering hiermee kan vervallen, zal de technische dekking nader worden bezien en evt. wijzigingen in het Belastingplan 2027 worden meegenomen. </w:t>
      </w:r>
      <w:r w:rsidR="00245504">
        <w:rPr>
          <w:rFonts w:ascii="Verdana" w:hAnsi="Verdana"/>
          <w:i/>
          <w:sz w:val="18"/>
          <w:szCs w:val="18"/>
        </w:rPr>
        <w:br/>
      </w:r>
    </w:p>
    <w:p w:rsidRPr="002A75D1" w:rsidR="004D1167" w:rsidP="004445FF" w:rsidRDefault="004445FF" w14:paraId="2995D7C4" w14:textId="161C6521">
      <w:pPr>
        <w:pStyle w:val="Lijstalinea"/>
        <w:numPr>
          <w:ilvl w:val="0"/>
          <w:numId w:val="1"/>
        </w:numPr>
        <w:rPr>
          <w:rFonts w:ascii="Verdana" w:hAnsi="Verdana"/>
          <w:b/>
          <w:sz w:val="18"/>
          <w:szCs w:val="18"/>
        </w:rPr>
      </w:pPr>
      <w:r w:rsidRPr="002A75D1">
        <w:rPr>
          <w:rFonts w:ascii="Verdana" w:hAnsi="Verdana"/>
          <w:b/>
          <w:sz w:val="18"/>
          <w:szCs w:val="18"/>
        </w:rPr>
        <w:t>Biobrandstoffen</w:t>
      </w:r>
      <w:r w:rsidR="00016E6E">
        <w:rPr>
          <w:rFonts w:ascii="Verdana" w:hAnsi="Verdana"/>
          <w:b/>
          <w:bCs/>
          <w:sz w:val="18"/>
          <w:szCs w:val="18"/>
        </w:rPr>
        <w:t xml:space="preserve"> (</w:t>
      </w:r>
      <w:r w:rsidR="00E36BA9">
        <w:rPr>
          <w:rFonts w:ascii="Verdana" w:hAnsi="Verdana"/>
          <w:b/>
          <w:bCs/>
          <w:sz w:val="18"/>
          <w:szCs w:val="18"/>
        </w:rPr>
        <w:t xml:space="preserve">additioneel </w:t>
      </w:r>
      <w:r w:rsidR="00016E6E">
        <w:rPr>
          <w:rFonts w:ascii="Verdana" w:hAnsi="Verdana"/>
          <w:b/>
          <w:bCs/>
          <w:sz w:val="18"/>
          <w:szCs w:val="18"/>
        </w:rPr>
        <w:t>0,8 – 1,</w:t>
      </w:r>
      <w:r w:rsidR="001C3657">
        <w:rPr>
          <w:rFonts w:ascii="Verdana" w:hAnsi="Verdana"/>
          <w:b/>
          <w:bCs/>
          <w:sz w:val="18"/>
          <w:szCs w:val="18"/>
        </w:rPr>
        <w:t>2</w:t>
      </w:r>
      <w:r w:rsidR="00074E58">
        <w:rPr>
          <w:rFonts w:ascii="Verdana" w:hAnsi="Verdana"/>
          <w:b/>
          <w:bCs/>
          <w:sz w:val="18"/>
          <w:szCs w:val="18"/>
        </w:rPr>
        <w:t xml:space="preserve"> </w:t>
      </w:r>
      <w:r w:rsidR="00016E6E">
        <w:rPr>
          <w:rFonts w:ascii="Verdana" w:hAnsi="Verdana"/>
          <w:b/>
          <w:bCs/>
          <w:sz w:val="18"/>
          <w:szCs w:val="18"/>
        </w:rPr>
        <w:t>Mton)</w:t>
      </w:r>
    </w:p>
    <w:p w:rsidRPr="002A75D1" w:rsidR="002871A0" w:rsidP="004445FF" w:rsidRDefault="004445FF" w14:paraId="5509762A" w14:textId="6E064456">
      <w:pPr>
        <w:rPr>
          <w:rFonts w:ascii="Verdana" w:hAnsi="Verdana"/>
          <w:sz w:val="18"/>
          <w:szCs w:val="18"/>
        </w:rPr>
      </w:pPr>
      <w:r w:rsidRPr="002A75D1">
        <w:rPr>
          <w:rFonts w:ascii="Verdana" w:hAnsi="Verdana"/>
          <w:sz w:val="18"/>
          <w:szCs w:val="18"/>
        </w:rPr>
        <w:t xml:space="preserve">Vanaf 2028 wordt de </w:t>
      </w:r>
      <w:r w:rsidRPr="002A75D1" w:rsidR="003A6C88">
        <w:rPr>
          <w:rFonts w:ascii="Verdana" w:hAnsi="Verdana"/>
          <w:sz w:val="18"/>
          <w:szCs w:val="18"/>
        </w:rPr>
        <w:t>jaar</w:t>
      </w:r>
      <w:r w:rsidRPr="002A75D1">
        <w:rPr>
          <w:rFonts w:ascii="Verdana" w:hAnsi="Verdana"/>
          <w:sz w:val="18"/>
          <w:szCs w:val="18"/>
        </w:rPr>
        <w:t xml:space="preserve">verplichting aangescherpt </w:t>
      </w:r>
      <w:r w:rsidRPr="002A75D1" w:rsidR="005118F5">
        <w:rPr>
          <w:rFonts w:ascii="Verdana" w:hAnsi="Verdana"/>
          <w:sz w:val="18"/>
          <w:szCs w:val="18"/>
        </w:rPr>
        <w:t>om extra emissiereductie</w:t>
      </w:r>
      <w:r w:rsidRPr="00985A9C" w:rsidR="00985A9C">
        <w:rPr>
          <w:rFonts w:ascii="Verdana" w:hAnsi="Verdana"/>
          <w:sz w:val="18"/>
          <w:szCs w:val="18"/>
        </w:rPr>
        <w:t xml:space="preserve"> </w:t>
      </w:r>
      <w:r w:rsidRPr="002A75D1" w:rsidR="00985A9C">
        <w:rPr>
          <w:rFonts w:ascii="Verdana" w:hAnsi="Verdana"/>
          <w:sz w:val="18"/>
          <w:szCs w:val="18"/>
        </w:rPr>
        <w:t>te realiseren</w:t>
      </w:r>
      <w:r w:rsidR="00114313">
        <w:rPr>
          <w:rFonts w:ascii="Verdana" w:hAnsi="Verdana"/>
          <w:sz w:val="18"/>
          <w:szCs w:val="18"/>
        </w:rPr>
        <w:t xml:space="preserve"> i.c.m. de voorzien</w:t>
      </w:r>
      <w:r w:rsidR="00985A9C">
        <w:rPr>
          <w:rFonts w:ascii="Verdana" w:hAnsi="Verdana"/>
          <w:sz w:val="18"/>
          <w:szCs w:val="18"/>
        </w:rPr>
        <w:t>e</w:t>
      </w:r>
      <w:r w:rsidR="00114313">
        <w:rPr>
          <w:rFonts w:ascii="Verdana" w:hAnsi="Verdana"/>
          <w:sz w:val="18"/>
          <w:szCs w:val="18"/>
        </w:rPr>
        <w:t xml:space="preserve"> reductie door de maatregel ‘normering lease per 2027’</w:t>
      </w:r>
      <w:r w:rsidRPr="002A75D1" w:rsidR="002871A0">
        <w:rPr>
          <w:rFonts w:ascii="Verdana" w:hAnsi="Verdana"/>
          <w:sz w:val="18"/>
          <w:szCs w:val="18"/>
        </w:rPr>
        <w:t>:</w:t>
      </w:r>
    </w:p>
    <w:p w:rsidRPr="002A75D1" w:rsidR="002871A0" w:rsidP="002871A0" w:rsidRDefault="002871A0" w14:paraId="4510D14C" w14:textId="2FA564CE">
      <w:pPr>
        <w:pStyle w:val="Lijstalinea"/>
        <w:numPr>
          <w:ilvl w:val="0"/>
          <w:numId w:val="6"/>
        </w:numPr>
        <w:rPr>
          <w:rFonts w:ascii="Verdana" w:hAnsi="Verdana"/>
          <w:sz w:val="18"/>
          <w:szCs w:val="18"/>
        </w:rPr>
      </w:pPr>
      <w:r w:rsidRPr="002A75D1">
        <w:rPr>
          <w:rFonts w:ascii="Verdana" w:hAnsi="Verdana"/>
          <w:sz w:val="18"/>
          <w:szCs w:val="18"/>
        </w:rPr>
        <w:t>Variant 1:</w:t>
      </w:r>
      <w:r w:rsidRPr="002A75D1" w:rsidR="005118F5">
        <w:rPr>
          <w:rFonts w:ascii="Verdana" w:hAnsi="Verdana"/>
          <w:sz w:val="18"/>
          <w:szCs w:val="18"/>
        </w:rPr>
        <w:t xml:space="preserve"> Aanscherpen van</w:t>
      </w:r>
      <w:r w:rsidRPr="002A75D1" w:rsidR="005B73D3">
        <w:rPr>
          <w:rFonts w:ascii="Verdana" w:hAnsi="Verdana"/>
          <w:sz w:val="18"/>
          <w:szCs w:val="18"/>
        </w:rPr>
        <w:t xml:space="preserve"> </w:t>
      </w:r>
      <w:r w:rsidRPr="002A75D1" w:rsidR="00A10C27">
        <w:rPr>
          <w:rFonts w:ascii="Verdana" w:hAnsi="Verdana"/>
          <w:sz w:val="18"/>
          <w:szCs w:val="18"/>
        </w:rPr>
        <w:t>doel met</w:t>
      </w:r>
      <w:r w:rsidR="00E36BA9">
        <w:rPr>
          <w:rFonts w:ascii="Verdana" w:hAnsi="Verdana"/>
          <w:sz w:val="18"/>
          <w:szCs w:val="18"/>
        </w:rPr>
        <w:t xml:space="preserve"> additioneel</w:t>
      </w:r>
      <w:r w:rsidRPr="002A75D1" w:rsidR="00A10C27">
        <w:rPr>
          <w:rFonts w:ascii="Verdana" w:hAnsi="Verdana"/>
          <w:sz w:val="18"/>
          <w:szCs w:val="18"/>
        </w:rPr>
        <w:t xml:space="preserve"> 0,8 </w:t>
      </w:r>
      <w:r w:rsidRPr="002A75D1" w:rsidR="00E36BA9">
        <w:rPr>
          <w:rFonts w:ascii="Verdana" w:hAnsi="Verdana"/>
          <w:sz w:val="18"/>
          <w:szCs w:val="18"/>
        </w:rPr>
        <w:t xml:space="preserve">Mton </w:t>
      </w:r>
      <w:r w:rsidR="00E36BA9">
        <w:rPr>
          <w:rFonts w:ascii="Verdana" w:hAnsi="Verdana"/>
          <w:sz w:val="18"/>
          <w:szCs w:val="18"/>
        </w:rPr>
        <w:t>(totaal 1,</w:t>
      </w:r>
      <w:r w:rsidR="001C3657">
        <w:rPr>
          <w:rFonts w:ascii="Verdana" w:hAnsi="Verdana"/>
          <w:sz w:val="18"/>
          <w:szCs w:val="18"/>
        </w:rPr>
        <w:t>1</w:t>
      </w:r>
      <w:r w:rsidR="00E36BA9">
        <w:rPr>
          <w:rFonts w:ascii="Verdana" w:hAnsi="Verdana"/>
          <w:sz w:val="18"/>
          <w:szCs w:val="18"/>
        </w:rPr>
        <w:t xml:space="preserve"> Mton)</w:t>
      </w:r>
      <w:r w:rsidRPr="002A75D1" w:rsidR="00E36BA9">
        <w:rPr>
          <w:rFonts w:ascii="Verdana" w:hAnsi="Verdana"/>
          <w:sz w:val="18"/>
          <w:szCs w:val="18"/>
        </w:rPr>
        <w:t xml:space="preserve"> </w:t>
      </w:r>
    </w:p>
    <w:p w:rsidR="00B55246" w:rsidP="002871A0" w:rsidRDefault="002871A0" w14:paraId="23B13F35" w14:textId="5F54CE35">
      <w:pPr>
        <w:pStyle w:val="Lijstalinea"/>
        <w:numPr>
          <w:ilvl w:val="0"/>
          <w:numId w:val="6"/>
        </w:numPr>
        <w:rPr>
          <w:rFonts w:ascii="Verdana" w:hAnsi="Verdana"/>
          <w:sz w:val="18"/>
          <w:szCs w:val="18"/>
        </w:rPr>
      </w:pPr>
      <w:r w:rsidRPr="002A75D1">
        <w:rPr>
          <w:rFonts w:ascii="Verdana" w:hAnsi="Verdana"/>
          <w:sz w:val="18"/>
          <w:szCs w:val="18"/>
        </w:rPr>
        <w:t>Variant 2:</w:t>
      </w:r>
      <w:r w:rsidRPr="002A75D1" w:rsidR="00B55246">
        <w:rPr>
          <w:rFonts w:ascii="Verdana" w:hAnsi="Verdana"/>
          <w:sz w:val="18"/>
          <w:szCs w:val="18"/>
        </w:rPr>
        <w:t xml:space="preserve"> Aanscherpen van doel met </w:t>
      </w:r>
      <w:r w:rsidR="00E36BA9">
        <w:rPr>
          <w:rFonts w:ascii="Verdana" w:hAnsi="Verdana"/>
          <w:sz w:val="18"/>
          <w:szCs w:val="18"/>
        </w:rPr>
        <w:t xml:space="preserve">additioneel </w:t>
      </w:r>
      <w:r w:rsidRPr="002A75D1" w:rsidR="00B55246">
        <w:rPr>
          <w:rFonts w:ascii="Verdana" w:hAnsi="Verdana"/>
          <w:sz w:val="18"/>
          <w:szCs w:val="18"/>
        </w:rPr>
        <w:t>1,</w:t>
      </w:r>
      <w:r w:rsidR="001C3657">
        <w:rPr>
          <w:rFonts w:ascii="Verdana" w:hAnsi="Verdana"/>
          <w:sz w:val="18"/>
          <w:szCs w:val="18"/>
        </w:rPr>
        <w:t>2</w:t>
      </w:r>
      <w:r w:rsidRPr="002A75D1" w:rsidR="00E36BA9">
        <w:rPr>
          <w:rFonts w:ascii="Verdana" w:hAnsi="Verdana"/>
          <w:sz w:val="18"/>
          <w:szCs w:val="18"/>
        </w:rPr>
        <w:t xml:space="preserve"> </w:t>
      </w:r>
      <w:r w:rsidR="00EB28A8">
        <w:rPr>
          <w:rFonts w:ascii="Verdana" w:hAnsi="Verdana"/>
          <w:sz w:val="18"/>
          <w:szCs w:val="18"/>
        </w:rPr>
        <w:t>M</w:t>
      </w:r>
      <w:r w:rsidRPr="002A75D1" w:rsidR="00B55246">
        <w:rPr>
          <w:rFonts w:ascii="Verdana" w:hAnsi="Verdana"/>
          <w:sz w:val="18"/>
          <w:szCs w:val="18"/>
        </w:rPr>
        <w:t>ton</w:t>
      </w:r>
      <w:r w:rsidR="00E36BA9">
        <w:rPr>
          <w:rFonts w:ascii="Verdana" w:hAnsi="Verdana"/>
          <w:sz w:val="18"/>
          <w:szCs w:val="18"/>
        </w:rPr>
        <w:t xml:space="preserve"> (totaal 1,5 Mton)</w:t>
      </w:r>
      <w:r w:rsidRPr="002A75D1" w:rsidR="00B55246">
        <w:rPr>
          <w:rFonts w:ascii="Verdana" w:hAnsi="Verdana"/>
          <w:sz w:val="18"/>
          <w:szCs w:val="18"/>
        </w:rPr>
        <w:t xml:space="preserve"> </w:t>
      </w:r>
    </w:p>
    <w:p w:rsidRPr="002A75D1" w:rsidR="000A026F" w:rsidP="004445FF" w:rsidRDefault="00E36BA9" w14:paraId="48819CAD" w14:textId="189A4F8F">
      <w:pPr>
        <w:rPr>
          <w:rFonts w:ascii="Verdana" w:hAnsi="Verdana"/>
          <w:sz w:val="18"/>
          <w:szCs w:val="18"/>
        </w:rPr>
      </w:pPr>
      <w:r>
        <w:rPr>
          <w:rFonts w:ascii="Verdana" w:hAnsi="Verdana"/>
          <w:sz w:val="18"/>
          <w:szCs w:val="18"/>
        </w:rPr>
        <w:t xml:space="preserve">De maatregel wordt zo vormgegeven dat de eerste twee jaar (t/m 2027) geen prijsstijging aan de pomp plaatsvindt. </w:t>
      </w:r>
      <w:r w:rsidR="00961EFE">
        <w:rPr>
          <w:rFonts w:ascii="Verdana" w:hAnsi="Verdana"/>
          <w:sz w:val="18"/>
          <w:szCs w:val="18"/>
        </w:rPr>
        <w:t xml:space="preserve">De compensatie </w:t>
      </w:r>
      <w:r w:rsidR="001B0638">
        <w:rPr>
          <w:rFonts w:ascii="Verdana" w:hAnsi="Verdana"/>
          <w:sz w:val="18"/>
          <w:szCs w:val="18"/>
        </w:rPr>
        <w:t xml:space="preserve">van de prijsstijgingen in de jaren hierna </w:t>
      </w:r>
      <w:r w:rsidRPr="002A75D1" w:rsidR="001374F9">
        <w:rPr>
          <w:rFonts w:ascii="Verdana" w:hAnsi="Verdana"/>
          <w:sz w:val="18"/>
          <w:szCs w:val="18"/>
        </w:rPr>
        <w:t xml:space="preserve">zullen in de augustbesluitvorming worden gewogen </w:t>
      </w:r>
      <w:r w:rsidRPr="002A75D1" w:rsidR="003F6B8E">
        <w:rPr>
          <w:rFonts w:ascii="Verdana" w:hAnsi="Verdana"/>
          <w:sz w:val="18"/>
          <w:szCs w:val="18"/>
        </w:rPr>
        <w:t>in de lopende discussie over de accijnzen.</w:t>
      </w:r>
    </w:p>
    <w:p w:rsidRPr="002A75D1" w:rsidR="00905A03" w:rsidP="000B366C" w:rsidRDefault="000B366C" w14:paraId="3BD452B4" w14:textId="189D7E10">
      <w:pPr>
        <w:rPr>
          <w:rFonts w:ascii="Verdana" w:hAnsi="Verdana"/>
          <w:sz w:val="18"/>
          <w:szCs w:val="18"/>
        </w:rPr>
      </w:pPr>
      <w:r w:rsidRPr="002A75D1">
        <w:rPr>
          <w:rFonts w:ascii="Verdana" w:hAnsi="Verdana"/>
          <w:i/>
          <w:iCs/>
          <w:sz w:val="18"/>
          <w:szCs w:val="18"/>
        </w:rPr>
        <w:t>Beslispunt</w:t>
      </w:r>
      <w:r>
        <w:rPr>
          <w:rFonts w:ascii="Verdana" w:hAnsi="Verdana"/>
          <w:i/>
          <w:iCs/>
          <w:sz w:val="18"/>
          <w:szCs w:val="18"/>
        </w:rPr>
        <w:t xml:space="preserve">: </w:t>
      </w:r>
      <w:r w:rsidRPr="002A75D1" w:rsidR="003A6C88">
        <w:rPr>
          <w:rFonts w:ascii="Verdana" w:hAnsi="Verdana"/>
          <w:i/>
          <w:sz w:val="18"/>
          <w:szCs w:val="18"/>
        </w:rPr>
        <w:t>Kunt u instemmen met aanscherpen van de jaarverplichting en welke variant wilt u hierbij kiezen?</w:t>
      </w:r>
    </w:p>
    <w:p w:rsidRPr="002A75D1" w:rsidR="004445FF" w:rsidP="004445FF" w:rsidRDefault="001B5970" w14:paraId="470F0092" w14:textId="7EE96491">
      <w:pPr>
        <w:pStyle w:val="Lijstalinea"/>
        <w:numPr>
          <w:ilvl w:val="0"/>
          <w:numId w:val="1"/>
        </w:numPr>
        <w:rPr>
          <w:rFonts w:ascii="Verdana" w:hAnsi="Verdana"/>
          <w:b/>
          <w:sz w:val="18"/>
          <w:szCs w:val="18"/>
        </w:rPr>
      </w:pPr>
      <w:r w:rsidRPr="002A75D1">
        <w:rPr>
          <w:rFonts w:ascii="Verdana" w:hAnsi="Verdana"/>
          <w:b/>
          <w:sz w:val="18"/>
          <w:szCs w:val="18"/>
        </w:rPr>
        <w:t>Klimaatfonds</w:t>
      </w:r>
      <w:r w:rsidR="00961EFE">
        <w:rPr>
          <w:rFonts w:ascii="Verdana" w:hAnsi="Verdana"/>
          <w:b/>
          <w:bCs/>
          <w:sz w:val="18"/>
          <w:szCs w:val="18"/>
        </w:rPr>
        <w:t xml:space="preserve"> en SCF</w:t>
      </w:r>
    </w:p>
    <w:p w:rsidRPr="002A75D1" w:rsidR="0093110A" w:rsidP="001B5970" w:rsidRDefault="00DA3F1E" w14:paraId="75445C8B" w14:textId="1ACB7D0B">
      <w:pPr>
        <w:rPr>
          <w:rFonts w:ascii="Verdana" w:hAnsi="Verdana"/>
          <w:sz w:val="18"/>
          <w:szCs w:val="18"/>
        </w:rPr>
      </w:pPr>
      <w:r w:rsidRPr="002A75D1">
        <w:rPr>
          <w:rFonts w:ascii="Verdana" w:hAnsi="Verdana"/>
          <w:sz w:val="18"/>
          <w:szCs w:val="18"/>
        </w:rPr>
        <w:t xml:space="preserve">In het BWO heeft IenW verschillende voorstellen aangedragen </w:t>
      </w:r>
      <w:r w:rsidRPr="002A75D1" w:rsidR="00620357">
        <w:rPr>
          <w:rFonts w:ascii="Verdana" w:hAnsi="Verdana"/>
          <w:sz w:val="18"/>
          <w:szCs w:val="18"/>
        </w:rPr>
        <w:t xml:space="preserve">om alsnog via het Klimaatfonds te financieren. Dit betreft </w:t>
      </w:r>
      <w:r w:rsidRPr="002A75D1" w:rsidR="00AD5CCA">
        <w:rPr>
          <w:rFonts w:ascii="Verdana" w:hAnsi="Verdana"/>
          <w:sz w:val="18"/>
          <w:szCs w:val="18"/>
        </w:rPr>
        <w:t xml:space="preserve">voorstellen voor i) </w:t>
      </w:r>
      <w:proofErr w:type="spellStart"/>
      <w:r w:rsidR="00314574">
        <w:rPr>
          <w:rFonts w:ascii="Verdana" w:hAnsi="Verdana"/>
          <w:sz w:val="18"/>
          <w:szCs w:val="18"/>
        </w:rPr>
        <w:t>OV-kaartjes</w:t>
      </w:r>
      <w:proofErr w:type="spellEnd"/>
      <w:r w:rsidR="00314574">
        <w:rPr>
          <w:rFonts w:ascii="Verdana" w:hAnsi="Verdana"/>
          <w:sz w:val="18"/>
          <w:szCs w:val="18"/>
        </w:rPr>
        <w:t xml:space="preserve"> voor </w:t>
      </w:r>
      <w:r w:rsidR="00610BFA">
        <w:rPr>
          <w:rFonts w:ascii="Verdana" w:hAnsi="Verdana"/>
          <w:sz w:val="18"/>
          <w:szCs w:val="18"/>
        </w:rPr>
        <w:t xml:space="preserve">mensen </w:t>
      </w:r>
      <w:r w:rsidR="00314574">
        <w:rPr>
          <w:rFonts w:ascii="Verdana" w:hAnsi="Verdana"/>
          <w:sz w:val="18"/>
          <w:szCs w:val="18"/>
        </w:rPr>
        <w:t>met laag inkomen</w:t>
      </w:r>
      <w:r w:rsidR="00437542">
        <w:rPr>
          <w:rFonts w:ascii="Verdana" w:hAnsi="Verdana"/>
          <w:sz w:val="18"/>
          <w:szCs w:val="18"/>
        </w:rPr>
        <w:t xml:space="preserve"> (via het SCF)</w:t>
      </w:r>
      <w:r w:rsidRPr="002A75D1" w:rsidR="00C16984">
        <w:rPr>
          <w:rFonts w:ascii="Verdana" w:hAnsi="Verdana"/>
          <w:sz w:val="18"/>
          <w:szCs w:val="18"/>
        </w:rPr>
        <w:t xml:space="preserve">, ii) </w:t>
      </w:r>
      <w:r w:rsidRPr="002A75D1" w:rsidR="00AD5CCA">
        <w:rPr>
          <w:rFonts w:ascii="Verdana" w:hAnsi="Verdana"/>
          <w:sz w:val="18"/>
          <w:szCs w:val="18"/>
        </w:rPr>
        <w:t>stopcontact op land</w:t>
      </w:r>
      <w:r w:rsidRPr="002A75D1" w:rsidR="00A24AC8">
        <w:rPr>
          <w:rFonts w:ascii="Verdana" w:hAnsi="Verdana"/>
          <w:sz w:val="18"/>
          <w:szCs w:val="18"/>
        </w:rPr>
        <w:t>, i</w:t>
      </w:r>
      <w:r w:rsidRPr="002A75D1" w:rsidR="00C16984">
        <w:rPr>
          <w:rFonts w:ascii="Verdana" w:hAnsi="Verdana"/>
          <w:sz w:val="18"/>
          <w:szCs w:val="18"/>
        </w:rPr>
        <w:t>i</w:t>
      </w:r>
      <w:r w:rsidRPr="002A75D1" w:rsidR="00A24AC8">
        <w:rPr>
          <w:rFonts w:ascii="Verdana" w:hAnsi="Verdana"/>
          <w:sz w:val="18"/>
          <w:szCs w:val="18"/>
        </w:rPr>
        <w:t xml:space="preserve">i) spoorgoederenvervoer </w:t>
      </w:r>
      <w:r w:rsidRPr="002A75D1" w:rsidR="00375B19">
        <w:rPr>
          <w:rFonts w:ascii="Verdana" w:hAnsi="Verdana"/>
          <w:sz w:val="18"/>
          <w:szCs w:val="18"/>
        </w:rPr>
        <w:t xml:space="preserve">en </w:t>
      </w:r>
      <w:r w:rsidRPr="002A75D1" w:rsidR="00C16984">
        <w:rPr>
          <w:rFonts w:ascii="Verdana" w:hAnsi="Verdana"/>
          <w:sz w:val="18"/>
          <w:szCs w:val="18"/>
        </w:rPr>
        <w:t xml:space="preserve">iv) </w:t>
      </w:r>
      <w:r w:rsidRPr="002A75D1" w:rsidR="00375B19">
        <w:rPr>
          <w:rFonts w:ascii="Verdana" w:hAnsi="Verdana"/>
          <w:sz w:val="18"/>
          <w:szCs w:val="18"/>
        </w:rPr>
        <w:t>band op spanning</w:t>
      </w:r>
      <w:r w:rsidRPr="002A75D1" w:rsidR="00C16984">
        <w:rPr>
          <w:rFonts w:ascii="Verdana" w:hAnsi="Verdana"/>
          <w:sz w:val="18"/>
          <w:szCs w:val="18"/>
        </w:rPr>
        <w:t xml:space="preserve">. </w:t>
      </w:r>
      <w:r w:rsidR="00F70344">
        <w:rPr>
          <w:rFonts w:ascii="Verdana" w:hAnsi="Verdana"/>
          <w:sz w:val="18"/>
          <w:szCs w:val="18"/>
        </w:rPr>
        <w:t xml:space="preserve">Daarnaast hebben enkele andere voorstellen van IenW een positieve beoordeling ontvangen, waarover nog politieke besluitvorming dient plaats te vinden. </w:t>
      </w:r>
    </w:p>
    <w:p w:rsidRPr="002A75D1" w:rsidR="00AF3671" w:rsidP="00335361" w:rsidRDefault="00F529D6" w14:paraId="6225BDB2" w14:textId="284B1070">
      <w:pPr>
        <w:rPr>
          <w:rFonts w:ascii="Verdana" w:hAnsi="Verdana"/>
          <w:sz w:val="18"/>
          <w:szCs w:val="18"/>
        </w:rPr>
      </w:pPr>
      <w:r w:rsidRPr="002A75D1">
        <w:rPr>
          <w:rFonts w:ascii="Verdana" w:hAnsi="Verdana"/>
          <w:sz w:val="18"/>
          <w:szCs w:val="18"/>
        </w:rPr>
        <w:t xml:space="preserve">Afhankelijk van het gekozen ambitieniveau </w:t>
      </w:r>
      <w:r w:rsidRPr="002A75D1" w:rsidR="000F62A5">
        <w:rPr>
          <w:rFonts w:ascii="Verdana" w:hAnsi="Verdana"/>
          <w:sz w:val="18"/>
          <w:szCs w:val="18"/>
        </w:rPr>
        <w:t xml:space="preserve">en afspraken </w:t>
      </w:r>
      <w:r w:rsidRPr="002A75D1">
        <w:rPr>
          <w:rFonts w:ascii="Verdana" w:hAnsi="Verdana"/>
          <w:sz w:val="18"/>
          <w:szCs w:val="18"/>
        </w:rPr>
        <w:t>onder agendapunt 1 en 2,</w:t>
      </w:r>
      <w:r w:rsidR="00437542">
        <w:rPr>
          <w:rFonts w:ascii="Verdana" w:hAnsi="Verdana"/>
          <w:sz w:val="18"/>
          <w:szCs w:val="18"/>
        </w:rPr>
        <w:t xml:space="preserve"> kunnen in het Klimaatfonds en SCF middelen worden vrijgemaakt. </w:t>
      </w:r>
    </w:p>
    <w:p w:rsidR="00227699" w:rsidP="000B366C" w:rsidRDefault="000B366C" w14:paraId="3114341B" w14:textId="1F1BACA9">
      <w:pPr>
        <w:rPr>
          <w:rFonts w:ascii="Verdana" w:hAnsi="Verdana"/>
          <w:i/>
          <w:iCs/>
          <w:sz w:val="18"/>
          <w:szCs w:val="18"/>
        </w:rPr>
      </w:pPr>
      <w:r w:rsidRPr="000B366C">
        <w:rPr>
          <w:rFonts w:ascii="Verdana" w:hAnsi="Verdana"/>
          <w:i/>
          <w:iCs/>
          <w:sz w:val="18"/>
          <w:szCs w:val="18"/>
        </w:rPr>
        <w:t xml:space="preserve">Beslispunt: </w:t>
      </w:r>
      <w:r w:rsidRPr="000B366C" w:rsidR="00335361">
        <w:rPr>
          <w:rFonts w:ascii="Verdana" w:hAnsi="Verdana"/>
          <w:i/>
          <w:sz w:val="18"/>
          <w:szCs w:val="18"/>
        </w:rPr>
        <w:t xml:space="preserve">Weging van het ambitieniveau van het </w:t>
      </w:r>
      <w:r w:rsidRPr="000B366C" w:rsidR="00C0761B">
        <w:rPr>
          <w:rFonts w:ascii="Verdana" w:hAnsi="Verdana"/>
          <w:i/>
          <w:sz w:val="18"/>
          <w:szCs w:val="18"/>
        </w:rPr>
        <w:t>maatregelenpakket</w:t>
      </w:r>
      <w:r w:rsidRPr="000B366C" w:rsidR="00335361">
        <w:rPr>
          <w:rFonts w:ascii="Verdana" w:hAnsi="Verdana"/>
          <w:i/>
          <w:sz w:val="18"/>
          <w:szCs w:val="18"/>
        </w:rPr>
        <w:t xml:space="preserve"> </w:t>
      </w:r>
      <w:r w:rsidRPr="000B366C" w:rsidR="002871A0">
        <w:rPr>
          <w:rFonts w:ascii="Verdana" w:hAnsi="Verdana"/>
          <w:i/>
          <w:sz w:val="18"/>
          <w:szCs w:val="18"/>
        </w:rPr>
        <w:t>i.r.t. toekenning middelen uit het Klimaatfonds</w:t>
      </w:r>
      <w:r w:rsidR="00437542">
        <w:rPr>
          <w:rFonts w:ascii="Verdana" w:hAnsi="Verdana"/>
          <w:i/>
          <w:sz w:val="18"/>
          <w:szCs w:val="18"/>
        </w:rPr>
        <w:t xml:space="preserve"> en SCF</w:t>
      </w:r>
      <w:r w:rsidRPr="000B366C" w:rsidR="002871A0">
        <w:rPr>
          <w:rFonts w:ascii="Verdana" w:hAnsi="Verdana"/>
          <w:i/>
          <w:sz w:val="18"/>
          <w:szCs w:val="18"/>
        </w:rPr>
        <w:t>.</w:t>
      </w:r>
    </w:p>
    <w:p w:rsidR="00961EFE" w:rsidP="00961EFE" w:rsidRDefault="00961EFE" w14:paraId="66470A39" w14:textId="64BD4463">
      <w:pPr>
        <w:pStyle w:val="Lijstalinea"/>
        <w:numPr>
          <w:ilvl w:val="0"/>
          <w:numId w:val="1"/>
        </w:numPr>
        <w:rPr>
          <w:rFonts w:ascii="Verdana" w:hAnsi="Verdana"/>
          <w:b/>
          <w:bCs/>
          <w:sz w:val="18"/>
          <w:szCs w:val="18"/>
        </w:rPr>
      </w:pPr>
      <w:r w:rsidRPr="00961EFE">
        <w:rPr>
          <w:rFonts w:ascii="Verdana" w:hAnsi="Verdana"/>
          <w:b/>
          <w:bCs/>
          <w:sz w:val="18"/>
          <w:szCs w:val="18"/>
        </w:rPr>
        <w:t>Aanpassingen MRB</w:t>
      </w:r>
      <w:r w:rsidR="00245504">
        <w:rPr>
          <w:rFonts w:ascii="Verdana" w:hAnsi="Verdana"/>
          <w:b/>
          <w:bCs/>
          <w:sz w:val="18"/>
          <w:szCs w:val="18"/>
        </w:rPr>
        <w:t xml:space="preserve"> en hervorming autobelastingen</w:t>
      </w:r>
    </w:p>
    <w:p w:rsidRPr="00B74698" w:rsidR="00DA512A" w:rsidP="00B74698" w:rsidRDefault="0083217E" w14:paraId="5821BA88" w14:textId="14AC83D8">
      <w:pPr>
        <w:rPr>
          <w:rFonts w:ascii="Verdana" w:hAnsi="Verdana"/>
          <w:sz w:val="18"/>
          <w:szCs w:val="18"/>
        </w:rPr>
      </w:pPr>
      <w:r>
        <w:rPr>
          <w:rFonts w:ascii="Verdana" w:hAnsi="Verdana"/>
          <w:sz w:val="18"/>
          <w:szCs w:val="18"/>
        </w:rPr>
        <w:t xml:space="preserve">In het BWO op 3 april is al besloten over enkele technische wijzigingen in de MRB (zie bijlage). </w:t>
      </w:r>
      <w:r w:rsidR="00A20590">
        <w:rPr>
          <w:rFonts w:ascii="Verdana" w:hAnsi="Verdana"/>
          <w:sz w:val="18"/>
          <w:szCs w:val="18"/>
        </w:rPr>
        <w:t>In aanvulling hierop zijn er nog enkele andere hervormingen de autobelastingen</w:t>
      </w:r>
      <w:r w:rsidRPr="00B74698" w:rsidR="00DA512A">
        <w:rPr>
          <w:rFonts w:ascii="Verdana" w:hAnsi="Verdana"/>
          <w:sz w:val="18"/>
          <w:szCs w:val="18"/>
        </w:rPr>
        <w:t xml:space="preserve">. </w:t>
      </w:r>
    </w:p>
    <w:p w:rsidRPr="00961EFE" w:rsidR="00961EFE" w:rsidP="00961EFE" w:rsidRDefault="004451C3" w14:paraId="658998F5" w14:textId="04EA468D">
      <w:pPr>
        <w:pStyle w:val="Lijstalinea"/>
        <w:numPr>
          <w:ilvl w:val="0"/>
          <w:numId w:val="2"/>
        </w:numPr>
        <w:rPr>
          <w:rFonts w:ascii="Verdana" w:hAnsi="Verdana"/>
          <w:i/>
          <w:iCs/>
          <w:sz w:val="18"/>
          <w:szCs w:val="18"/>
        </w:rPr>
      </w:pPr>
      <w:r>
        <w:rPr>
          <w:rFonts w:ascii="Verdana" w:hAnsi="Verdana"/>
          <w:i/>
          <w:iCs/>
          <w:sz w:val="18"/>
          <w:szCs w:val="18"/>
        </w:rPr>
        <w:t>Korte termijn gewichtscorrectie MRB (2026 t/m 2028)</w:t>
      </w:r>
    </w:p>
    <w:p w:rsidR="00961EFE" w:rsidP="00961EFE" w:rsidRDefault="00B43DC1" w14:paraId="12D69E35" w14:textId="6C0187F3">
      <w:pPr>
        <w:pStyle w:val="Lijstalinea"/>
        <w:ind w:left="0"/>
        <w:rPr>
          <w:rFonts w:ascii="Verdana" w:hAnsi="Verdana"/>
          <w:bCs/>
          <w:sz w:val="18"/>
          <w:szCs w:val="18"/>
        </w:rPr>
      </w:pPr>
      <w:r>
        <w:rPr>
          <w:rFonts w:ascii="Verdana" w:hAnsi="Verdana"/>
          <w:bCs/>
          <w:sz w:val="18"/>
          <w:szCs w:val="18"/>
        </w:rPr>
        <w:t xml:space="preserve">De gewichtscorrectie in de MRB zal voor de periode 2026 t/m 2028 worden verhoogd </w:t>
      </w:r>
      <w:r w:rsidR="0082138C">
        <w:rPr>
          <w:rFonts w:ascii="Verdana" w:hAnsi="Verdana"/>
          <w:bCs/>
          <w:sz w:val="18"/>
          <w:szCs w:val="18"/>
        </w:rPr>
        <w:t xml:space="preserve">van 25% </w:t>
      </w:r>
      <w:r>
        <w:rPr>
          <w:rFonts w:ascii="Verdana" w:hAnsi="Verdana"/>
          <w:bCs/>
          <w:sz w:val="18"/>
          <w:szCs w:val="18"/>
        </w:rPr>
        <w:t>naar 30%</w:t>
      </w:r>
      <w:r w:rsidR="0082138C">
        <w:rPr>
          <w:rFonts w:ascii="Verdana" w:hAnsi="Verdana"/>
          <w:bCs/>
          <w:sz w:val="18"/>
          <w:szCs w:val="18"/>
        </w:rPr>
        <w:t xml:space="preserve"> zodat fossiele en elektrische personenauto’s komende jaren gelijk worden belast. </w:t>
      </w:r>
      <w:r w:rsidR="00A87782">
        <w:rPr>
          <w:rFonts w:ascii="Verdana" w:hAnsi="Verdana"/>
          <w:bCs/>
          <w:sz w:val="18"/>
          <w:szCs w:val="18"/>
        </w:rPr>
        <w:t>Deze maatregel zal worden gedekt uit het Klimaatfonds.</w:t>
      </w:r>
    </w:p>
    <w:p w:rsidR="0082138C" w:rsidP="00961EFE" w:rsidRDefault="0082138C" w14:paraId="2F2BEB5B" w14:textId="77777777">
      <w:pPr>
        <w:pStyle w:val="Lijstalinea"/>
        <w:ind w:left="0"/>
        <w:rPr>
          <w:rFonts w:ascii="Verdana" w:hAnsi="Verdana"/>
          <w:bCs/>
          <w:sz w:val="18"/>
          <w:szCs w:val="18"/>
        </w:rPr>
      </w:pPr>
    </w:p>
    <w:p w:rsidR="00A87782" w:rsidP="00961EFE" w:rsidRDefault="00961EFE" w14:paraId="1C50D9D3" w14:textId="7B73D9CB">
      <w:pPr>
        <w:pStyle w:val="Lijstalinea"/>
        <w:ind w:left="0"/>
        <w:rPr>
          <w:rFonts w:ascii="Verdana" w:hAnsi="Verdana"/>
          <w:i/>
          <w:iCs/>
          <w:sz w:val="18"/>
          <w:szCs w:val="18"/>
        </w:rPr>
      </w:pPr>
      <w:r w:rsidRPr="002A75D1">
        <w:rPr>
          <w:rFonts w:ascii="Verdana" w:hAnsi="Verdana"/>
          <w:i/>
          <w:iCs/>
          <w:sz w:val="18"/>
          <w:szCs w:val="18"/>
        </w:rPr>
        <w:lastRenderedPageBreak/>
        <w:t xml:space="preserve">Beslispunt: </w:t>
      </w:r>
      <w:r>
        <w:rPr>
          <w:rFonts w:ascii="Verdana" w:hAnsi="Verdana"/>
          <w:i/>
          <w:iCs/>
          <w:sz w:val="18"/>
          <w:szCs w:val="18"/>
        </w:rPr>
        <w:t>Kunt u instemmen met deze maatregel?</w:t>
      </w:r>
    </w:p>
    <w:p w:rsidR="00DA512A" w:rsidP="00961EFE" w:rsidRDefault="00DA512A" w14:paraId="1411F9F0" w14:textId="77777777">
      <w:pPr>
        <w:pStyle w:val="Lijstalinea"/>
        <w:ind w:left="0"/>
        <w:rPr>
          <w:rFonts w:ascii="Verdana" w:hAnsi="Verdana"/>
          <w:i/>
          <w:iCs/>
          <w:sz w:val="18"/>
          <w:szCs w:val="18"/>
        </w:rPr>
      </w:pPr>
    </w:p>
    <w:tbl>
      <w:tblPr>
        <w:tblStyle w:val="Rastertabel4-Accent4"/>
        <w:tblW w:w="5761" w:type="dxa"/>
        <w:tblInd w:w="-113" w:type="dxa"/>
        <w:tblLook w:val="04A0" w:firstRow="1" w:lastRow="0" w:firstColumn="1" w:lastColumn="0" w:noHBand="0" w:noVBand="1"/>
      </w:tblPr>
      <w:tblGrid>
        <w:gridCol w:w="2830"/>
        <w:gridCol w:w="728"/>
        <w:gridCol w:w="792"/>
        <w:gridCol w:w="728"/>
        <w:gridCol w:w="731"/>
      </w:tblGrid>
      <w:tr w:rsidRPr="00A87782" w:rsidR="00616360" w:rsidTr="00616360" w14:paraId="1CFA679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B74698" w:rsidR="00A87782" w:rsidP="00B74698" w:rsidRDefault="00A87782" w14:paraId="3FBDD8D6" w14:textId="50254501">
            <w:pPr>
              <w:rPr>
                <w:rFonts w:ascii="Verdana" w:hAnsi="Verdana"/>
                <w:i/>
                <w:iCs/>
                <w:sz w:val="18"/>
                <w:szCs w:val="18"/>
              </w:rPr>
            </w:pPr>
            <w:r w:rsidRPr="00B74698">
              <w:rPr>
                <w:rFonts w:ascii="Verdana" w:hAnsi="Verdana"/>
                <w:i/>
                <w:iCs/>
                <w:sz w:val="18"/>
                <w:szCs w:val="18"/>
              </w:rPr>
              <w:t>Budgettaire</w:t>
            </w:r>
            <w:r w:rsidR="002A28D0">
              <w:rPr>
                <w:rFonts w:ascii="Verdana" w:hAnsi="Verdana"/>
                <w:i/>
                <w:iCs/>
                <w:sz w:val="18"/>
                <w:szCs w:val="18"/>
              </w:rPr>
              <w:t xml:space="preserve"> </w:t>
            </w:r>
            <w:r w:rsidRPr="00B74698">
              <w:rPr>
                <w:rFonts w:ascii="Verdana" w:hAnsi="Verdana"/>
                <w:i/>
                <w:iCs/>
                <w:sz w:val="18"/>
                <w:szCs w:val="18"/>
              </w:rPr>
              <w:t>effecten pakket in mln. € prijspeil 2025</w:t>
            </w:r>
          </w:p>
        </w:tc>
        <w:tc>
          <w:tcPr>
            <w:tcW w:w="680" w:type="dxa"/>
            <w:noWrap/>
            <w:hideMark/>
          </w:tcPr>
          <w:p w:rsidRPr="00B74698" w:rsidR="00A87782" w:rsidP="00B74698" w:rsidRDefault="00A87782" w14:paraId="71345903" w14:textId="77777777">
            <w:pPr>
              <w:cnfStyle w:val="100000000000" w:firstRow="1" w:lastRow="0" w:firstColumn="0" w:lastColumn="0" w:oddVBand="0" w:evenVBand="0" w:oddHBand="0" w:evenHBand="0" w:firstRowFirstColumn="0" w:firstRowLastColumn="0" w:lastRowFirstColumn="0" w:lastRowLastColumn="0"/>
              <w:rPr>
                <w:rFonts w:ascii="Verdana" w:hAnsi="Verdana"/>
                <w:i/>
                <w:iCs/>
                <w:sz w:val="18"/>
                <w:szCs w:val="18"/>
              </w:rPr>
            </w:pPr>
            <w:r w:rsidRPr="00B74698">
              <w:rPr>
                <w:rFonts w:ascii="Verdana" w:hAnsi="Verdana"/>
                <w:i/>
                <w:iCs/>
                <w:sz w:val="18"/>
                <w:szCs w:val="18"/>
              </w:rPr>
              <w:t>2025</w:t>
            </w:r>
          </w:p>
        </w:tc>
        <w:tc>
          <w:tcPr>
            <w:tcW w:w="792" w:type="dxa"/>
            <w:noWrap/>
            <w:hideMark/>
          </w:tcPr>
          <w:p w:rsidRPr="00B74698" w:rsidR="00A87782" w:rsidP="00B74698" w:rsidRDefault="00A87782" w14:paraId="0047CF0A" w14:textId="77777777">
            <w:pPr>
              <w:cnfStyle w:val="100000000000" w:firstRow="1" w:lastRow="0" w:firstColumn="0" w:lastColumn="0" w:oddVBand="0" w:evenVBand="0" w:oddHBand="0" w:evenHBand="0" w:firstRowFirstColumn="0" w:firstRowLastColumn="0" w:lastRowFirstColumn="0" w:lastRowLastColumn="0"/>
              <w:rPr>
                <w:rFonts w:ascii="Verdana" w:hAnsi="Verdana"/>
                <w:i/>
                <w:iCs/>
                <w:sz w:val="18"/>
                <w:szCs w:val="18"/>
              </w:rPr>
            </w:pPr>
            <w:r w:rsidRPr="00B74698">
              <w:rPr>
                <w:rFonts w:ascii="Verdana" w:hAnsi="Verdana"/>
                <w:i/>
                <w:iCs/>
                <w:sz w:val="18"/>
                <w:szCs w:val="18"/>
              </w:rPr>
              <w:t>2026</w:t>
            </w:r>
          </w:p>
        </w:tc>
        <w:tc>
          <w:tcPr>
            <w:tcW w:w="728" w:type="dxa"/>
            <w:noWrap/>
            <w:hideMark/>
          </w:tcPr>
          <w:p w:rsidRPr="00B74698" w:rsidR="00A87782" w:rsidP="00B74698" w:rsidRDefault="00A87782" w14:paraId="5DDE6B5A" w14:textId="77777777">
            <w:pPr>
              <w:cnfStyle w:val="100000000000" w:firstRow="1" w:lastRow="0" w:firstColumn="0" w:lastColumn="0" w:oddVBand="0" w:evenVBand="0" w:oddHBand="0" w:evenHBand="0" w:firstRowFirstColumn="0" w:firstRowLastColumn="0" w:lastRowFirstColumn="0" w:lastRowLastColumn="0"/>
              <w:rPr>
                <w:rFonts w:ascii="Verdana" w:hAnsi="Verdana"/>
                <w:i/>
                <w:iCs/>
                <w:sz w:val="18"/>
                <w:szCs w:val="18"/>
              </w:rPr>
            </w:pPr>
            <w:r w:rsidRPr="00B74698">
              <w:rPr>
                <w:rFonts w:ascii="Verdana" w:hAnsi="Verdana"/>
                <w:i/>
                <w:iCs/>
                <w:sz w:val="18"/>
                <w:szCs w:val="18"/>
              </w:rPr>
              <w:t>2027</w:t>
            </w:r>
          </w:p>
        </w:tc>
        <w:tc>
          <w:tcPr>
            <w:tcW w:w="731" w:type="dxa"/>
            <w:noWrap/>
            <w:hideMark/>
          </w:tcPr>
          <w:p w:rsidRPr="00B74698" w:rsidR="00A87782" w:rsidP="00B74698" w:rsidRDefault="00A87782" w14:paraId="38C948CB" w14:textId="77777777">
            <w:pPr>
              <w:cnfStyle w:val="100000000000" w:firstRow="1" w:lastRow="0" w:firstColumn="0" w:lastColumn="0" w:oddVBand="0" w:evenVBand="0" w:oddHBand="0" w:evenHBand="0" w:firstRowFirstColumn="0" w:firstRowLastColumn="0" w:lastRowFirstColumn="0" w:lastRowLastColumn="0"/>
              <w:rPr>
                <w:rFonts w:ascii="Verdana" w:hAnsi="Verdana"/>
                <w:i/>
                <w:iCs/>
                <w:sz w:val="18"/>
                <w:szCs w:val="18"/>
              </w:rPr>
            </w:pPr>
            <w:r w:rsidRPr="00B74698">
              <w:rPr>
                <w:rFonts w:ascii="Verdana" w:hAnsi="Verdana"/>
                <w:i/>
                <w:iCs/>
                <w:sz w:val="18"/>
                <w:szCs w:val="18"/>
              </w:rPr>
              <w:t>2028</w:t>
            </w:r>
          </w:p>
        </w:tc>
      </w:tr>
      <w:tr w:rsidRPr="00A87782" w:rsidR="00616360" w:rsidTr="00616360" w14:paraId="79C38F8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B74698" w:rsidR="00A87782" w:rsidP="00B74698" w:rsidRDefault="00A87782" w14:paraId="4D64EF82" w14:textId="77777777">
            <w:pPr>
              <w:rPr>
                <w:rFonts w:ascii="Verdana" w:hAnsi="Verdana"/>
                <w:i/>
                <w:iCs/>
                <w:sz w:val="18"/>
                <w:szCs w:val="18"/>
              </w:rPr>
            </w:pPr>
            <w:proofErr w:type="spellStart"/>
            <w:r w:rsidRPr="00B74698">
              <w:rPr>
                <w:rFonts w:ascii="Verdana" w:hAnsi="Verdana"/>
                <w:i/>
                <w:iCs/>
                <w:sz w:val="18"/>
                <w:szCs w:val="18"/>
              </w:rPr>
              <w:t>mrb</w:t>
            </w:r>
            <w:proofErr w:type="spellEnd"/>
            <w:r w:rsidRPr="00B74698">
              <w:rPr>
                <w:rFonts w:ascii="Verdana" w:hAnsi="Verdana"/>
                <w:i/>
                <w:iCs/>
                <w:sz w:val="18"/>
                <w:szCs w:val="18"/>
              </w:rPr>
              <w:t xml:space="preserve"> korting 30% </w:t>
            </w:r>
          </w:p>
        </w:tc>
        <w:tc>
          <w:tcPr>
            <w:tcW w:w="680" w:type="dxa"/>
            <w:noWrap/>
            <w:hideMark/>
          </w:tcPr>
          <w:p w:rsidRPr="00B74698" w:rsidR="00A87782" w:rsidP="00B74698" w:rsidRDefault="00A87782" w14:paraId="34453E65"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B74698">
              <w:rPr>
                <w:rFonts w:ascii="Verdana" w:hAnsi="Verdana"/>
                <w:i/>
                <w:iCs/>
                <w:sz w:val="18"/>
                <w:szCs w:val="18"/>
              </w:rPr>
              <w:t>0</w:t>
            </w:r>
          </w:p>
        </w:tc>
        <w:tc>
          <w:tcPr>
            <w:tcW w:w="792" w:type="dxa"/>
            <w:noWrap/>
            <w:hideMark/>
          </w:tcPr>
          <w:p w:rsidRPr="00B74698" w:rsidR="00A87782" w:rsidP="00B74698" w:rsidRDefault="00A87782" w14:paraId="5F777F4F"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B74698">
              <w:rPr>
                <w:rFonts w:ascii="Verdana" w:hAnsi="Verdana"/>
                <w:i/>
                <w:iCs/>
                <w:sz w:val="18"/>
                <w:szCs w:val="18"/>
              </w:rPr>
              <w:t>-29</w:t>
            </w:r>
          </w:p>
        </w:tc>
        <w:tc>
          <w:tcPr>
            <w:tcW w:w="728" w:type="dxa"/>
            <w:noWrap/>
            <w:hideMark/>
          </w:tcPr>
          <w:p w:rsidRPr="00B74698" w:rsidR="00A87782" w:rsidP="00B74698" w:rsidRDefault="00A87782" w14:paraId="065BD2A5"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B74698">
              <w:rPr>
                <w:rFonts w:ascii="Verdana" w:hAnsi="Verdana"/>
                <w:i/>
                <w:iCs/>
                <w:sz w:val="18"/>
                <w:szCs w:val="18"/>
              </w:rPr>
              <w:t>-26</w:t>
            </w:r>
          </w:p>
        </w:tc>
        <w:tc>
          <w:tcPr>
            <w:tcW w:w="731" w:type="dxa"/>
            <w:noWrap/>
            <w:hideMark/>
          </w:tcPr>
          <w:p w:rsidRPr="00B74698" w:rsidR="00A87782" w:rsidP="00B74698" w:rsidRDefault="00A87782" w14:paraId="0BACA85C"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B74698">
              <w:rPr>
                <w:rFonts w:ascii="Verdana" w:hAnsi="Verdana"/>
                <w:i/>
                <w:iCs/>
                <w:sz w:val="18"/>
                <w:szCs w:val="18"/>
              </w:rPr>
              <w:t>-31</w:t>
            </w:r>
          </w:p>
        </w:tc>
      </w:tr>
    </w:tbl>
    <w:p w:rsidRPr="002A75D1" w:rsidR="00616360" w:rsidP="00961EFE" w:rsidRDefault="00961EFE" w14:paraId="5242C578" w14:textId="5B095760">
      <w:pPr>
        <w:pStyle w:val="Lijstalinea"/>
        <w:ind w:left="0"/>
        <w:rPr>
          <w:rFonts w:ascii="Verdana" w:hAnsi="Verdana"/>
          <w:i/>
          <w:iCs/>
          <w:sz w:val="18"/>
          <w:szCs w:val="18"/>
        </w:rPr>
      </w:pPr>
      <w:r>
        <w:rPr>
          <w:rFonts w:ascii="Verdana" w:hAnsi="Verdana"/>
          <w:i/>
          <w:iCs/>
          <w:sz w:val="18"/>
          <w:szCs w:val="18"/>
        </w:rPr>
        <w:br/>
      </w:r>
    </w:p>
    <w:p w:rsidR="00961EFE" w:rsidP="00B27203" w:rsidRDefault="00DA512A" w14:paraId="205F42A9" w14:textId="33EE8AAB">
      <w:pPr>
        <w:pStyle w:val="Lijstalinea"/>
        <w:numPr>
          <w:ilvl w:val="0"/>
          <w:numId w:val="2"/>
        </w:numPr>
        <w:spacing w:after="0"/>
        <w:rPr>
          <w:rFonts w:ascii="Verdana" w:hAnsi="Verdana"/>
          <w:i/>
          <w:iCs/>
          <w:sz w:val="18"/>
          <w:szCs w:val="18"/>
        </w:rPr>
      </w:pPr>
      <w:r>
        <w:rPr>
          <w:rFonts w:ascii="Verdana" w:hAnsi="Verdana"/>
          <w:i/>
          <w:iCs/>
          <w:sz w:val="18"/>
          <w:szCs w:val="18"/>
        </w:rPr>
        <w:t>Lange termijn hervormingen autobelastingen</w:t>
      </w:r>
    </w:p>
    <w:p w:rsidRPr="00B74698" w:rsidR="00DA512A" w:rsidP="00B27203" w:rsidRDefault="006D3502" w14:paraId="63089070" w14:textId="5311FA67">
      <w:pPr>
        <w:spacing w:after="0"/>
        <w:rPr>
          <w:rFonts w:ascii="Verdana" w:hAnsi="Verdana"/>
          <w:sz w:val="18"/>
          <w:szCs w:val="18"/>
        </w:rPr>
      </w:pPr>
      <w:r w:rsidRPr="00B74698">
        <w:rPr>
          <w:rFonts w:ascii="Verdana" w:hAnsi="Verdana"/>
          <w:sz w:val="18"/>
          <w:szCs w:val="18"/>
        </w:rPr>
        <w:t xml:space="preserve">In het regeerprogramma is afgesproken dat het kabinet in het voorjaar van 2025 met een hervorming van de autobelastingen komt. </w:t>
      </w:r>
      <w:r w:rsidRPr="00B74698" w:rsidR="00741BF7">
        <w:rPr>
          <w:rFonts w:ascii="Verdana" w:hAnsi="Verdana"/>
          <w:sz w:val="18"/>
          <w:szCs w:val="18"/>
        </w:rPr>
        <w:t xml:space="preserve">In de bijlage zijn maatregelen opgenomen die </w:t>
      </w:r>
      <w:r w:rsidRPr="00B74698" w:rsidR="00953BD8">
        <w:rPr>
          <w:rFonts w:ascii="Verdana" w:hAnsi="Verdana"/>
          <w:sz w:val="18"/>
          <w:szCs w:val="18"/>
        </w:rPr>
        <w:t>als onderdeel van deze hervorming kunnen worden genomen</w:t>
      </w:r>
      <w:r w:rsidRPr="00B74698" w:rsidR="00741BF7">
        <w:rPr>
          <w:rFonts w:ascii="Verdana" w:hAnsi="Verdana"/>
          <w:sz w:val="18"/>
          <w:szCs w:val="18"/>
        </w:rPr>
        <w:t>.</w:t>
      </w:r>
      <w:r w:rsidRPr="002F3C73" w:rsidR="002F3C73">
        <w:rPr>
          <w:rFonts w:ascii="Verdana" w:hAnsi="Verdana"/>
          <w:sz w:val="18"/>
          <w:szCs w:val="18"/>
        </w:rPr>
        <w:t xml:space="preserve"> </w:t>
      </w:r>
      <w:r w:rsidR="002F3C73">
        <w:rPr>
          <w:rFonts w:ascii="Verdana" w:hAnsi="Verdana"/>
          <w:sz w:val="18"/>
          <w:szCs w:val="18"/>
        </w:rPr>
        <w:t>Dit geeft duidelijkheid aan de sector, zorgt voor een vereenvoudiging van het belastingstelsel en zorgt ervoor dat elektrische auto’s op termijn gelijker gaan meebetalen.</w:t>
      </w:r>
    </w:p>
    <w:p w:rsidR="00B85406" w:rsidP="00B85406" w:rsidRDefault="00B85406" w14:paraId="718A58DA" w14:textId="1F00831B">
      <w:pPr>
        <w:rPr>
          <w:rFonts w:ascii="Verdana" w:hAnsi="Verdana"/>
          <w:i/>
          <w:iCs/>
          <w:sz w:val="18"/>
          <w:szCs w:val="18"/>
        </w:rPr>
      </w:pPr>
      <w:r>
        <w:rPr>
          <w:rFonts w:ascii="Verdana" w:hAnsi="Verdana"/>
          <w:i/>
          <w:iCs/>
          <w:sz w:val="18"/>
          <w:szCs w:val="18"/>
        </w:rPr>
        <w:t>Bespreekpunt:</w:t>
      </w:r>
    </w:p>
    <w:p w:rsidR="008E48C9" w:rsidP="00B74698" w:rsidRDefault="00877404" w14:paraId="2FFF05AD" w14:textId="066984DE">
      <w:pPr>
        <w:pStyle w:val="Lijstalinea"/>
        <w:numPr>
          <w:ilvl w:val="0"/>
          <w:numId w:val="6"/>
        </w:numPr>
      </w:pPr>
      <w:r w:rsidRPr="00B74698">
        <w:rPr>
          <w:rFonts w:ascii="Verdana" w:hAnsi="Verdana"/>
          <w:i/>
          <w:iCs/>
          <w:sz w:val="18"/>
          <w:szCs w:val="18"/>
        </w:rPr>
        <w:t xml:space="preserve">Hoe weegt u het voorstel voor invulling van de afspraak in het regeerprogramma om in het voorjaar van 2025 te komen met een hervorming van de autobelastingen? </w:t>
      </w:r>
      <w:r w:rsidR="008E48C9">
        <w:br w:type="page"/>
      </w:r>
    </w:p>
    <w:p w:rsidR="004916CF" w:rsidP="000B366C" w:rsidRDefault="00877404" w14:paraId="22FE362A" w14:textId="18B2A73B">
      <w:pPr>
        <w:rPr>
          <w:rFonts w:ascii="Verdana" w:hAnsi="Verdana"/>
          <w:i/>
          <w:sz w:val="18"/>
          <w:szCs w:val="18"/>
        </w:rPr>
      </w:pPr>
      <w:r>
        <w:rPr>
          <w:rFonts w:ascii="Verdana" w:hAnsi="Verdana"/>
          <w:i/>
          <w:sz w:val="18"/>
          <w:szCs w:val="18"/>
        </w:rPr>
        <w:lastRenderedPageBreak/>
        <w:t>Bijlage</w:t>
      </w:r>
      <w:r w:rsidR="0083217E">
        <w:rPr>
          <w:rFonts w:ascii="Verdana" w:hAnsi="Verdana"/>
          <w:i/>
          <w:sz w:val="18"/>
          <w:szCs w:val="18"/>
        </w:rPr>
        <w:t xml:space="preserve"> </w:t>
      </w:r>
      <w:r>
        <w:rPr>
          <w:rFonts w:ascii="Verdana" w:hAnsi="Verdana"/>
          <w:i/>
          <w:sz w:val="18"/>
          <w:szCs w:val="18"/>
        </w:rPr>
        <w:t xml:space="preserve">– </w:t>
      </w:r>
      <w:r w:rsidR="0083217E">
        <w:rPr>
          <w:rFonts w:ascii="Verdana" w:hAnsi="Verdana"/>
          <w:i/>
          <w:sz w:val="18"/>
          <w:szCs w:val="18"/>
        </w:rPr>
        <w:t xml:space="preserve">MRB en </w:t>
      </w:r>
      <w:r>
        <w:rPr>
          <w:rFonts w:ascii="Verdana" w:hAnsi="Verdana"/>
          <w:i/>
          <w:sz w:val="18"/>
          <w:szCs w:val="18"/>
        </w:rPr>
        <w:t>Maatregelen hervorming autobelastingen</w:t>
      </w:r>
    </w:p>
    <w:p w:rsidRPr="0083217E" w:rsidR="0083217E" w:rsidP="0083217E" w:rsidRDefault="0083217E" w14:paraId="0784D805" w14:textId="760C977C">
      <w:pPr>
        <w:pStyle w:val="Lijstalinea"/>
        <w:numPr>
          <w:ilvl w:val="0"/>
          <w:numId w:val="12"/>
        </w:numPr>
        <w:rPr>
          <w:rFonts w:ascii="Verdana" w:hAnsi="Verdana"/>
          <w:b/>
          <w:bCs/>
          <w:i/>
          <w:sz w:val="18"/>
          <w:szCs w:val="18"/>
        </w:rPr>
      </w:pPr>
      <w:r w:rsidRPr="0083217E">
        <w:rPr>
          <w:rFonts w:ascii="Verdana" w:hAnsi="Verdana"/>
          <w:b/>
          <w:bCs/>
          <w:i/>
          <w:sz w:val="18"/>
          <w:szCs w:val="18"/>
        </w:rPr>
        <w:t>Reeds besloten technische wijzigingen in de MRB:</w:t>
      </w:r>
    </w:p>
    <w:p w:rsidRPr="004E1BC4" w:rsidR="0083217E" w:rsidP="0083217E" w:rsidRDefault="0083217E" w14:paraId="57F16AA2" w14:textId="77777777">
      <w:pPr>
        <w:numPr>
          <w:ilvl w:val="0"/>
          <w:numId w:val="11"/>
        </w:numPr>
        <w:rPr>
          <w:rFonts w:ascii="Verdana" w:hAnsi="Verdana"/>
          <w:i/>
          <w:sz w:val="18"/>
          <w:szCs w:val="18"/>
        </w:rPr>
      </w:pPr>
      <w:r w:rsidRPr="004E1BC4">
        <w:rPr>
          <w:rFonts w:ascii="Verdana" w:hAnsi="Verdana"/>
          <w:b/>
          <w:bCs/>
          <w:i/>
          <w:sz w:val="18"/>
          <w:szCs w:val="18"/>
        </w:rPr>
        <w:t>Emissievrije bijzondere personenauto’s</w:t>
      </w:r>
      <w:r w:rsidRPr="004E1BC4">
        <w:rPr>
          <w:rFonts w:ascii="Verdana" w:hAnsi="Verdana"/>
          <w:b/>
          <w:bCs/>
          <w:i/>
          <w:sz w:val="18"/>
          <w:szCs w:val="18"/>
          <w:vertAlign w:val="superscript"/>
        </w:rPr>
        <w:footnoteReference w:id="2"/>
      </w:r>
      <w:r w:rsidRPr="004E1BC4">
        <w:rPr>
          <w:rFonts w:ascii="Verdana" w:hAnsi="Verdana"/>
          <w:i/>
          <w:sz w:val="18"/>
          <w:szCs w:val="18"/>
        </w:rPr>
        <w:t xml:space="preserve"> dezelfde vaste voet in de bpm als elektrische personenauto’s, dus € 667 (derving: € 1 mln.</w:t>
      </w:r>
      <w:r>
        <w:rPr>
          <w:rFonts w:ascii="Verdana" w:hAnsi="Verdana"/>
          <w:i/>
          <w:sz w:val="18"/>
          <w:szCs w:val="18"/>
        </w:rPr>
        <w:t>, dekking wordt meegenomen in pakket normering leasemarkt</w:t>
      </w:r>
      <w:r w:rsidRPr="004E1BC4">
        <w:rPr>
          <w:rFonts w:ascii="Verdana" w:hAnsi="Verdana"/>
          <w:i/>
          <w:sz w:val="18"/>
          <w:szCs w:val="18"/>
        </w:rPr>
        <w:t>).</w:t>
      </w:r>
    </w:p>
    <w:p w:rsidRPr="004E1BC4" w:rsidR="0083217E" w:rsidP="0083217E" w:rsidRDefault="0083217E" w14:paraId="63949C05" w14:textId="77777777">
      <w:pPr>
        <w:numPr>
          <w:ilvl w:val="0"/>
          <w:numId w:val="11"/>
        </w:numPr>
        <w:rPr>
          <w:rFonts w:ascii="Verdana" w:hAnsi="Verdana"/>
          <w:i/>
          <w:sz w:val="18"/>
          <w:szCs w:val="18"/>
        </w:rPr>
      </w:pPr>
      <w:r w:rsidRPr="004E1BC4">
        <w:rPr>
          <w:rFonts w:ascii="Verdana" w:hAnsi="Verdana"/>
          <w:b/>
          <w:bCs/>
          <w:i/>
          <w:sz w:val="18"/>
          <w:szCs w:val="18"/>
        </w:rPr>
        <w:t>Emissievrije motorfietsen</w:t>
      </w:r>
      <w:r w:rsidRPr="004E1BC4">
        <w:rPr>
          <w:rFonts w:ascii="Verdana" w:hAnsi="Verdana"/>
          <w:i/>
          <w:sz w:val="18"/>
          <w:szCs w:val="18"/>
        </w:rPr>
        <w:t xml:space="preserve"> net als elektrische personenauto’s een vaste voet in de bpm, en wel € 200 (derving: € 1 mln.</w:t>
      </w:r>
      <w:r>
        <w:rPr>
          <w:rFonts w:ascii="Verdana" w:hAnsi="Verdana"/>
          <w:i/>
          <w:sz w:val="18"/>
          <w:szCs w:val="18"/>
        </w:rPr>
        <w:t>, dekking wordt meegenomen in pakket normering leasemarkt</w:t>
      </w:r>
      <w:r w:rsidRPr="004E1BC4">
        <w:rPr>
          <w:rFonts w:ascii="Verdana" w:hAnsi="Verdana"/>
          <w:i/>
          <w:sz w:val="18"/>
          <w:szCs w:val="18"/>
        </w:rPr>
        <w:t>)</w:t>
      </w:r>
    </w:p>
    <w:p w:rsidRPr="0083217E" w:rsidR="0083217E" w:rsidP="00BD2FEC" w:rsidRDefault="0083217E" w14:paraId="0E6E2978" w14:textId="3210A521">
      <w:pPr>
        <w:pStyle w:val="Lijstalinea"/>
        <w:numPr>
          <w:ilvl w:val="0"/>
          <w:numId w:val="12"/>
        </w:numPr>
        <w:rPr>
          <w:rFonts w:ascii="Verdana" w:hAnsi="Verdana"/>
          <w:b/>
          <w:bCs/>
          <w:i/>
          <w:sz w:val="18"/>
          <w:szCs w:val="18"/>
        </w:rPr>
      </w:pPr>
      <w:r w:rsidRPr="0083217E">
        <w:rPr>
          <w:rFonts w:ascii="Verdana" w:hAnsi="Verdana"/>
          <w:b/>
          <w:bCs/>
          <w:i/>
          <w:sz w:val="18"/>
          <w:szCs w:val="18"/>
        </w:rPr>
        <w:t>Maatregelen Hervorming autobelastingen</w:t>
      </w:r>
    </w:p>
    <w:p w:rsidRPr="00C22047" w:rsidR="00C22047" w:rsidP="00C22047" w:rsidRDefault="00C22047" w14:paraId="760F3261" w14:textId="77777777">
      <w:pPr>
        <w:numPr>
          <w:ilvl w:val="0"/>
          <w:numId w:val="10"/>
        </w:numPr>
        <w:rPr>
          <w:rFonts w:ascii="Verdana" w:hAnsi="Verdana"/>
          <w:bCs/>
          <w:i/>
          <w:sz w:val="18"/>
          <w:szCs w:val="18"/>
        </w:rPr>
      </w:pPr>
      <w:r w:rsidRPr="00C22047">
        <w:rPr>
          <w:rFonts w:ascii="Verdana" w:hAnsi="Verdana"/>
          <w:bCs/>
          <w:i/>
          <w:iCs/>
          <w:sz w:val="18"/>
          <w:szCs w:val="18"/>
          <w:u w:val="single"/>
        </w:rPr>
        <w:t xml:space="preserve">Aanpassing grondslag motorrijtuigenbelasting per 2028: </w:t>
      </w:r>
      <w:r w:rsidRPr="00C22047">
        <w:rPr>
          <w:rFonts w:ascii="Verdana" w:hAnsi="Verdana"/>
          <w:bCs/>
          <w:i/>
          <w:sz w:val="18"/>
          <w:szCs w:val="18"/>
        </w:rPr>
        <w:t xml:space="preserve">de grondslag van de motorrijtuigenbelasting wordt omgevormd van gewicht naar voertuigoppervlakte. Hierdoor gaat een emissievrije personenauto even veel motorrijtuigenbelasting als een vergelijkbare benzineauto betalen. </w:t>
      </w:r>
    </w:p>
    <w:p w:rsidR="00C22047" w:rsidP="00B74698" w:rsidRDefault="00C22047" w14:paraId="65BA1790" w14:textId="71077F23">
      <w:pPr>
        <w:numPr>
          <w:ilvl w:val="0"/>
          <w:numId w:val="10"/>
        </w:numPr>
        <w:rPr>
          <w:rFonts w:ascii="Verdana" w:hAnsi="Verdana"/>
          <w:bCs/>
          <w:i/>
          <w:sz w:val="18"/>
          <w:szCs w:val="18"/>
        </w:rPr>
      </w:pPr>
      <w:r w:rsidRPr="00B74698">
        <w:rPr>
          <w:rFonts w:ascii="Verdana" w:hAnsi="Verdana"/>
          <w:bCs/>
          <w:i/>
          <w:iCs/>
          <w:sz w:val="18"/>
          <w:szCs w:val="18"/>
          <w:u w:val="single"/>
        </w:rPr>
        <w:t>Tenaamstellingsbelasting</w:t>
      </w:r>
      <w:r w:rsidRPr="00C22047">
        <w:rPr>
          <w:rFonts w:ascii="Verdana" w:hAnsi="Verdana"/>
          <w:bCs/>
          <w:i/>
          <w:iCs/>
          <w:sz w:val="18"/>
          <w:szCs w:val="18"/>
        </w:rPr>
        <w:t>:</w:t>
      </w:r>
      <w:r w:rsidRPr="00C22047">
        <w:rPr>
          <w:rFonts w:ascii="Verdana" w:hAnsi="Verdana"/>
          <w:bCs/>
          <w:i/>
          <w:sz w:val="18"/>
          <w:szCs w:val="18"/>
        </w:rPr>
        <w:t xml:space="preserve"> Vanaf 2029 wordt stapsgewijs de aanschaf van een elektrische personenauto belast. Hierbij overweegt het kabinet om voor elektrische auto’s over te stappen van de bpm naar een tenaamstellingsbelasting, gedifferentieerd naar voertuigoppervlakte en leeftijd. Hierdoor kan de bpm op termijn verdwijnen. In 2029 start het belasten van de aanschaf van een elektrische auto, voor alle segmenten met een tarief voor nieuwe auto’s dat gelijk is aan de huidige vaste voet in de bpm. Vervolgens wordt de belasting stapsgewijs verhoogd. Te beginnen met het E-segment. Voor het A en B-segment leidt dit pas na 2030 tot een lastenstijging.</w:t>
      </w:r>
    </w:p>
    <w:p w:rsidRPr="00C22047" w:rsidR="006F7BE2" w:rsidP="006F7BE2" w:rsidRDefault="006F7BE2" w14:paraId="535AC8FD" w14:textId="77777777">
      <w:pPr>
        <w:numPr>
          <w:ilvl w:val="0"/>
          <w:numId w:val="10"/>
        </w:numPr>
        <w:rPr>
          <w:rFonts w:ascii="Verdana" w:hAnsi="Verdana"/>
          <w:bCs/>
          <w:i/>
          <w:sz w:val="18"/>
          <w:szCs w:val="18"/>
        </w:rPr>
      </w:pPr>
      <w:r>
        <w:rPr>
          <w:rFonts w:ascii="Verdana" w:hAnsi="Verdana"/>
          <w:bCs/>
          <w:i/>
          <w:sz w:val="18"/>
          <w:szCs w:val="18"/>
        </w:rPr>
        <w:t xml:space="preserve">Ten behoeve van toekomstige besluitvorming wordt een envelop lastenverlaging autodomein gecreëerd. Deze envelop wordt in de verdere uitwerking van de hervorming autobelastingen nader ingevuld. </w:t>
      </w:r>
    </w:p>
    <w:tbl>
      <w:tblPr>
        <w:tblStyle w:val="Rastertabel5donker-Accent1"/>
        <w:tblW w:w="11237" w:type="dxa"/>
        <w:tblInd w:w="-998" w:type="dxa"/>
        <w:tblLook w:val="04A0" w:firstRow="1" w:lastRow="0" w:firstColumn="1" w:lastColumn="0" w:noHBand="0" w:noVBand="1"/>
      </w:tblPr>
      <w:tblGrid>
        <w:gridCol w:w="2268"/>
        <w:gridCol w:w="728"/>
        <w:gridCol w:w="728"/>
        <w:gridCol w:w="728"/>
        <w:gridCol w:w="728"/>
        <w:gridCol w:w="728"/>
        <w:gridCol w:w="874"/>
        <w:gridCol w:w="728"/>
        <w:gridCol w:w="728"/>
        <w:gridCol w:w="728"/>
        <w:gridCol w:w="728"/>
        <w:gridCol w:w="728"/>
        <w:gridCol w:w="815"/>
      </w:tblGrid>
      <w:tr w:rsidRPr="00C22047" w:rsidR="006F7BE2" w:rsidTr="00F74BEC" w14:paraId="518275F3" w14:textId="7777777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268" w:type="dxa"/>
            <w:tcBorders>
              <w:bottom w:val="single" w:color="FFFFFF" w:themeColor="background1" w:sz="4" w:space="0"/>
            </w:tcBorders>
            <w:noWrap/>
            <w:vAlign w:val="center"/>
            <w:hideMark/>
          </w:tcPr>
          <w:p w:rsidRPr="00C22047" w:rsidR="006F7BE2" w:rsidP="00F74BEC" w:rsidRDefault="006F7BE2" w14:paraId="5CDD68AD" w14:textId="77777777">
            <w:pPr>
              <w:spacing w:after="160" w:line="259" w:lineRule="auto"/>
              <w:rPr>
                <w:rFonts w:ascii="Verdana" w:hAnsi="Verdana"/>
                <w:i/>
                <w:sz w:val="18"/>
                <w:szCs w:val="18"/>
              </w:rPr>
            </w:pPr>
          </w:p>
        </w:tc>
        <w:tc>
          <w:tcPr>
            <w:tcW w:w="728" w:type="dxa"/>
            <w:tcBorders>
              <w:bottom w:val="single" w:color="FFFFFF" w:themeColor="background1" w:sz="4" w:space="0"/>
            </w:tcBorders>
            <w:noWrap/>
            <w:vAlign w:val="center"/>
            <w:hideMark/>
          </w:tcPr>
          <w:p w:rsidRPr="00C22047" w:rsidR="006F7BE2" w:rsidP="00F74BEC" w:rsidRDefault="006F7BE2" w14:paraId="35059BBA"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2025</w:t>
            </w:r>
          </w:p>
        </w:tc>
        <w:tc>
          <w:tcPr>
            <w:tcW w:w="728" w:type="dxa"/>
            <w:tcBorders>
              <w:bottom w:val="single" w:color="FFFFFF" w:themeColor="background1" w:sz="4" w:space="0"/>
            </w:tcBorders>
            <w:noWrap/>
            <w:vAlign w:val="center"/>
            <w:hideMark/>
          </w:tcPr>
          <w:p w:rsidRPr="00C22047" w:rsidR="006F7BE2" w:rsidP="00F74BEC" w:rsidRDefault="006F7BE2" w14:paraId="3333F11C"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2026</w:t>
            </w:r>
          </w:p>
        </w:tc>
        <w:tc>
          <w:tcPr>
            <w:tcW w:w="728" w:type="dxa"/>
            <w:tcBorders>
              <w:bottom w:val="single" w:color="FFFFFF" w:themeColor="background1" w:sz="4" w:space="0"/>
            </w:tcBorders>
            <w:noWrap/>
            <w:vAlign w:val="center"/>
            <w:hideMark/>
          </w:tcPr>
          <w:p w:rsidRPr="00C22047" w:rsidR="006F7BE2" w:rsidP="00F74BEC" w:rsidRDefault="006F7BE2" w14:paraId="6AB57E09"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2027</w:t>
            </w:r>
          </w:p>
        </w:tc>
        <w:tc>
          <w:tcPr>
            <w:tcW w:w="728" w:type="dxa"/>
            <w:tcBorders>
              <w:bottom w:val="single" w:color="FFFFFF" w:themeColor="background1" w:sz="4" w:space="0"/>
            </w:tcBorders>
            <w:noWrap/>
            <w:vAlign w:val="center"/>
            <w:hideMark/>
          </w:tcPr>
          <w:p w:rsidRPr="00C22047" w:rsidR="006F7BE2" w:rsidP="00F74BEC" w:rsidRDefault="006F7BE2" w14:paraId="4FB10852"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2028</w:t>
            </w:r>
          </w:p>
        </w:tc>
        <w:tc>
          <w:tcPr>
            <w:tcW w:w="728" w:type="dxa"/>
            <w:tcBorders>
              <w:bottom w:val="single" w:color="FFFFFF" w:themeColor="background1" w:sz="4" w:space="0"/>
            </w:tcBorders>
            <w:noWrap/>
            <w:vAlign w:val="center"/>
            <w:hideMark/>
          </w:tcPr>
          <w:p w:rsidRPr="00C22047" w:rsidR="006F7BE2" w:rsidP="00F74BEC" w:rsidRDefault="006F7BE2" w14:paraId="5598FE97"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2029</w:t>
            </w:r>
          </w:p>
        </w:tc>
        <w:tc>
          <w:tcPr>
            <w:tcW w:w="0" w:type="dxa"/>
            <w:tcBorders>
              <w:bottom w:val="single" w:color="FFFFFF" w:themeColor="background1" w:sz="4" w:space="0"/>
            </w:tcBorders>
            <w:noWrap/>
            <w:vAlign w:val="center"/>
            <w:hideMark/>
          </w:tcPr>
          <w:p w:rsidRPr="00C22047" w:rsidR="006F7BE2" w:rsidP="00F74BEC" w:rsidRDefault="006F7BE2" w14:paraId="696BC7A9"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2030</w:t>
            </w:r>
          </w:p>
        </w:tc>
        <w:tc>
          <w:tcPr>
            <w:tcW w:w="728" w:type="dxa"/>
            <w:tcBorders>
              <w:bottom w:val="single" w:color="FFFFFF" w:themeColor="background1" w:sz="4" w:space="0"/>
            </w:tcBorders>
            <w:vAlign w:val="center"/>
            <w:hideMark/>
          </w:tcPr>
          <w:p w:rsidRPr="00C22047" w:rsidR="006F7BE2" w:rsidP="00F74BEC" w:rsidRDefault="006F7BE2" w14:paraId="66D7924E"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2031</w:t>
            </w:r>
          </w:p>
        </w:tc>
        <w:tc>
          <w:tcPr>
            <w:tcW w:w="728" w:type="dxa"/>
            <w:tcBorders>
              <w:bottom w:val="single" w:color="FFFFFF" w:themeColor="background1" w:sz="4" w:space="0"/>
            </w:tcBorders>
            <w:vAlign w:val="center"/>
            <w:hideMark/>
          </w:tcPr>
          <w:p w:rsidRPr="00C22047" w:rsidR="006F7BE2" w:rsidP="00F74BEC" w:rsidRDefault="006F7BE2" w14:paraId="7714BA76"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2032</w:t>
            </w:r>
          </w:p>
        </w:tc>
        <w:tc>
          <w:tcPr>
            <w:tcW w:w="728" w:type="dxa"/>
            <w:tcBorders>
              <w:bottom w:val="single" w:color="FFFFFF" w:themeColor="background1" w:sz="4" w:space="0"/>
            </w:tcBorders>
            <w:vAlign w:val="center"/>
            <w:hideMark/>
          </w:tcPr>
          <w:p w:rsidRPr="00C22047" w:rsidR="006F7BE2" w:rsidP="00F74BEC" w:rsidRDefault="006F7BE2" w14:paraId="714231EE"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2033</w:t>
            </w:r>
          </w:p>
        </w:tc>
        <w:tc>
          <w:tcPr>
            <w:tcW w:w="728" w:type="dxa"/>
            <w:tcBorders>
              <w:bottom w:val="single" w:color="FFFFFF" w:themeColor="background1" w:sz="4" w:space="0"/>
            </w:tcBorders>
            <w:vAlign w:val="center"/>
            <w:hideMark/>
          </w:tcPr>
          <w:p w:rsidRPr="00C22047" w:rsidR="006F7BE2" w:rsidP="00F74BEC" w:rsidRDefault="006F7BE2" w14:paraId="13827B6A"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2034</w:t>
            </w:r>
          </w:p>
        </w:tc>
        <w:tc>
          <w:tcPr>
            <w:tcW w:w="728" w:type="dxa"/>
            <w:tcBorders>
              <w:bottom w:val="single" w:color="FFFFFF" w:themeColor="background1" w:sz="4" w:space="0"/>
            </w:tcBorders>
            <w:vAlign w:val="center"/>
            <w:hideMark/>
          </w:tcPr>
          <w:p w:rsidRPr="00C22047" w:rsidR="006F7BE2" w:rsidP="00F74BEC" w:rsidRDefault="006F7BE2" w14:paraId="0FC5400B"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2035</w:t>
            </w:r>
          </w:p>
        </w:tc>
        <w:tc>
          <w:tcPr>
            <w:tcW w:w="815" w:type="dxa"/>
            <w:tcBorders>
              <w:bottom w:val="single" w:color="FFFFFF" w:themeColor="background1" w:sz="4" w:space="0"/>
            </w:tcBorders>
            <w:vAlign w:val="center"/>
            <w:hideMark/>
          </w:tcPr>
          <w:p w:rsidRPr="00C22047" w:rsidR="006F7BE2" w:rsidP="00F74BEC" w:rsidRDefault="006F7BE2" w14:paraId="1D3691C2"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Verdana" w:hAnsi="Verdana"/>
                <w:i/>
                <w:sz w:val="18"/>
                <w:szCs w:val="18"/>
              </w:rPr>
            </w:pPr>
            <w:proofErr w:type="spellStart"/>
            <w:r w:rsidRPr="00C22047">
              <w:rPr>
                <w:rFonts w:ascii="Verdana" w:hAnsi="Verdana"/>
                <w:i/>
                <w:sz w:val="18"/>
                <w:szCs w:val="18"/>
              </w:rPr>
              <w:t>Struc</w:t>
            </w:r>
            <w:proofErr w:type="spellEnd"/>
            <w:r w:rsidRPr="00C22047">
              <w:rPr>
                <w:rFonts w:ascii="Verdana" w:hAnsi="Verdana"/>
                <w:i/>
                <w:sz w:val="18"/>
                <w:szCs w:val="18"/>
              </w:rPr>
              <w:t>.</w:t>
            </w:r>
          </w:p>
        </w:tc>
      </w:tr>
      <w:tr w:rsidRPr="00C22047" w:rsidR="006F7BE2" w:rsidTr="00F74BEC" w14:paraId="2EE054B3"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dxa"/>
            <w:tcBorders>
              <w:top w:val="single" w:color="FFFFFF" w:themeColor="background1" w:sz="4" w:space="0"/>
              <w:bottom w:val="single" w:color="FFFFFF" w:themeColor="background1" w:sz="4" w:space="0"/>
              <w:right w:val="single" w:color="FFFFFF" w:themeColor="background1" w:sz="4" w:space="0"/>
            </w:tcBorders>
            <w:noWrap/>
            <w:vAlign w:val="center"/>
            <w:hideMark/>
          </w:tcPr>
          <w:p w:rsidRPr="00C22047" w:rsidR="006F7BE2" w:rsidP="00F74BEC" w:rsidRDefault="006F7BE2" w14:paraId="14F3C724" w14:textId="77777777">
            <w:pPr>
              <w:spacing w:after="160" w:line="259" w:lineRule="auto"/>
              <w:rPr>
                <w:rFonts w:ascii="Verdana" w:hAnsi="Verdana"/>
                <w:i/>
                <w:sz w:val="18"/>
                <w:szCs w:val="18"/>
              </w:rPr>
            </w:pPr>
            <w:r w:rsidRPr="00C22047">
              <w:rPr>
                <w:rFonts w:ascii="Verdana" w:hAnsi="Verdana"/>
                <w:i/>
                <w:sz w:val="18"/>
                <w:szCs w:val="18"/>
              </w:rPr>
              <w:t xml:space="preserve">Grondslag </w:t>
            </w:r>
            <w:proofErr w:type="spellStart"/>
            <w:r w:rsidRPr="00C22047">
              <w:rPr>
                <w:rFonts w:ascii="Verdana" w:hAnsi="Verdana"/>
                <w:i/>
                <w:sz w:val="18"/>
                <w:szCs w:val="18"/>
              </w:rPr>
              <w:t>mrb</w:t>
            </w:r>
            <w:proofErr w:type="spellEnd"/>
            <w:r w:rsidRPr="00C22047">
              <w:rPr>
                <w:rFonts w:ascii="Verdana" w:hAnsi="Verdana"/>
                <w:i/>
                <w:sz w:val="18"/>
                <w:szCs w:val="18"/>
              </w:rPr>
              <w:t xml:space="preserve"> voertuigoppervlakte</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672B7E1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0A90A27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69B5FAA9"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055E0528"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02F88842"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1014A">
              <w:t>-58</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138FEC59"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1014A">
              <w:t>-406</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136AD7CC"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1014A">
              <w:t>-466</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04E55FD7"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1014A">
              <w:t>-548</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6E9A6D7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1014A">
              <w:t>-622</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3565FDB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1014A">
              <w:t>-718</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24C42C9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1014A">
              <w:t>-785</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14EEF958"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1014A">
              <w:t>-785</w:t>
            </w:r>
          </w:p>
        </w:tc>
      </w:tr>
      <w:tr w:rsidRPr="00C22047" w:rsidR="006F7BE2" w:rsidTr="00F74BEC" w14:paraId="1D14967C" w14:textId="77777777">
        <w:trPr>
          <w:trHeight w:val="307"/>
        </w:trPr>
        <w:tc>
          <w:tcPr>
            <w:cnfStyle w:val="001000000000" w:firstRow="0" w:lastRow="0" w:firstColumn="1" w:lastColumn="0" w:oddVBand="0" w:evenVBand="0" w:oddHBand="0" w:evenHBand="0" w:firstRowFirstColumn="0" w:firstRowLastColumn="0" w:lastRowFirstColumn="0" w:lastRowLastColumn="0"/>
            <w:tcW w:w="0" w:type="dxa"/>
            <w:tcBorders>
              <w:top w:val="single" w:color="FFFFFF" w:themeColor="background1" w:sz="4" w:space="0"/>
              <w:bottom w:val="single" w:color="FFFFFF" w:themeColor="background1" w:sz="4" w:space="0"/>
              <w:right w:val="single" w:color="FFFFFF" w:themeColor="background1" w:sz="4" w:space="0"/>
            </w:tcBorders>
            <w:noWrap/>
            <w:vAlign w:val="center"/>
            <w:hideMark/>
          </w:tcPr>
          <w:p w:rsidRPr="00C22047" w:rsidR="006F7BE2" w:rsidP="00F74BEC" w:rsidRDefault="006F7BE2" w14:paraId="6F1E258D" w14:textId="77777777">
            <w:pPr>
              <w:spacing w:after="160" w:line="259" w:lineRule="auto"/>
              <w:rPr>
                <w:rFonts w:ascii="Verdana" w:hAnsi="Verdana"/>
                <w:i/>
                <w:sz w:val="18"/>
                <w:szCs w:val="18"/>
              </w:rPr>
            </w:pPr>
            <w:r w:rsidRPr="00C22047">
              <w:rPr>
                <w:rFonts w:ascii="Verdana" w:hAnsi="Verdana"/>
                <w:i/>
                <w:sz w:val="18"/>
                <w:szCs w:val="18"/>
              </w:rPr>
              <w:t>Tenaamstellings-belasting</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729379D9"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1EB65BC4"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54EB3143"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5DCDC6FB"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hideMark/>
          </w:tcPr>
          <w:p w:rsidRPr="00C22047" w:rsidR="006F7BE2" w:rsidP="00F74BEC" w:rsidRDefault="006F7BE2" w14:paraId="3A577DC0"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262</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hideMark/>
          </w:tcPr>
          <w:p w:rsidRPr="00C22047" w:rsidR="006F7BE2" w:rsidP="00F74BEC" w:rsidRDefault="006F7BE2" w14:paraId="497FFE2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452</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hideMark/>
          </w:tcPr>
          <w:p w:rsidRPr="00C22047" w:rsidR="006F7BE2" w:rsidP="00F74BEC" w:rsidRDefault="006F7BE2" w14:paraId="4E46CC81"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789</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hideMark/>
          </w:tcPr>
          <w:p w:rsidRPr="00C22047" w:rsidR="006F7BE2" w:rsidP="00F74BEC" w:rsidRDefault="006F7BE2" w14:paraId="0D2047A2"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1235</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hideMark/>
          </w:tcPr>
          <w:p w:rsidRPr="00C22047" w:rsidR="006F7BE2" w:rsidP="00F74BEC" w:rsidRDefault="006F7BE2" w14:paraId="2A68D25E"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1300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hideMark/>
          </w:tcPr>
          <w:p w:rsidRPr="00C22047" w:rsidR="006F7BE2" w:rsidP="00F74BEC" w:rsidRDefault="006F7BE2" w14:paraId="125B22B0"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1449</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hideMark/>
          </w:tcPr>
          <w:p w:rsidRPr="00C22047" w:rsidR="006F7BE2" w:rsidP="00F74BEC" w:rsidRDefault="006F7BE2" w14:paraId="4D4E78CD"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1516</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hideMark/>
          </w:tcPr>
          <w:p w:rsidRPr="00C22047" w:rsidR="006F7BE2" w:rsidP="00F74BEC" w:rsidRDefault="006F7BE2" w14:paraId="567D3985"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sidRPr="00C22047">
              <w:rPr>
                <w:rFonts w:ascii="Verdana" w:hAnsi="Verdana"/>
                <w:i/>
                <w:sz w:val="18"/>
                <w:szCs w:val="18"/>
              </w:rPr>
              <w:t>1592</w:t>
            </w:r>
          </w:p>
        </w:tc>
      </w:tr>
      <w:tr w:rsidRPr="00C22047" w:rsidR="006F7BE2" w:rsidTr="00F74BEC" w14:paraId="16B1ACC0"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dxa"/>
            <w:tcBorders>
              <w:top w:val="single" w:color="FFFFFF" w:themeColor="background1" w:sz="4" w:space="0"/>
              <w:bottom w:val="single" w:color="FFFFFF" w:themeColor="background1" w:sz="4" w:space="0"/>
              <w:right w:val="single" w:color="FFFFFF" w:themeColor="background1" w:sz="4" w:space="0"/>
            </w:tcBorders>
            <w:noWrap/>
            <w:vAlign w:val="center"/>
            <w:hideMark/>
          </w:tcPr>
          <w:p w:rsidRPr="00C22047" w:rsidR="006F7BE2" w:rsidP="00F74BEC" w:rsidRDefault="006F7BE2" w14:paraId="39DDCD7E" w14:textId="77777777">
            <w:pPr>
              <w:spacing w:after="160" w:line="259" w:lineRule="auto"/>
              <w:rPr>
                <w:rFonts w:ascii="Verdana" w:hAnsi="Verdana"/>
                <w:i/>
                <w:sz w:val="18"/>
                <w:szCs w:val="18"/>
              </w:rPr>
            </w:pPr>
            <w:r w:rsidRPr="00C22047">
              <w:rPr>
                <w:rFonts w:ascii="Verdana" w:hAnsi="Verdana"/>
                <w:i/>
                <w:sz w:val="18"/>
                <w:szCs w:val="18"/>
              </w:rPr>
              <w:t xml:space="preserve">Envelop </w:t>
            </w:r>
            <w:r>
              <w:rPr>
                <w:rFonts w:ascii="Verdana" w:hAnsi="Verdana"/>
                <w:i/>
                <w:sz w:val="18"/>
                <w:szCs w:val="18"/>
              </w:rPr>
              <w:t>lastenverlaging autodomein</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0D21285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4C14D1E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55C5EF13"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2571896A"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Pr>
                <w:rFonts w:ascii="Verdana" w:hAnsi="Verdana"/>
                <w:i/>
                <w:sz w:val="18"/>
                <w:szCs w:val="18"/>
              </w:rPr>
              <w:t>-</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0FB1755D"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C0669">
              <w:t>204</w:t>
            </w:r>
          </w:p>
        </w:tc>
        <w:tc>
          <w:tcPr>
            <w:tcW w:w="8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25F019B3"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C0669">
              <w:t>46</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0716A240"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C0669">
              <w:t>323</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0A5B29E6"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C0669">
              <w:t>687</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66631C5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C0669">
              <w:t>678</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03423F5F"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C0669">
              <w:t>731</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1F85E13A"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C0669">
              <w:t>731</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6E1E2D03"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sz w:val="18"/>
                <w:szCs w:val="18"/>
              </w:rPr>
            </w:pPr>
            <w:r w:rsidRPr="00DC0669">
              <w:t>807</w:t>
            </w:r>
          </w:p>
        </w:tc>
      </w:tr>
      <w:tr w:rsidRPr="00C22047" w:rsidR="006F7BE2" w:rsidTr="00F74BEC" w14:paraId="047161BF" w14:textId="77777777">
        <w:trPr>
          <w:trHeight w:val="307"/>
        </w:trPr>
        <w:tc>
          <w:tcPr>
            <w:cnfStyle w:val="001000000000" w:firstRow="0" w:lastRow="0" w:firstColumn="1" w:lastColumn="0" w:oddVBand="0" w:evenVBand="0" w:oddHBand="0" w:evenHBand="0" w:firstRowFirstColumn="0" w:firstRowLastColumn="0" w:lastRowFirstColumn="0" w:lastRowLastColumn="0"/>
            <w:tcW w:w="0" w:type="dxa"/>
            <w:tcBorders>
              <w:top w:val="single" w:color="FFFFFF" w:themeColor="background1" w:sz="4" w:space="0"/>
              <w:bottom w:val="single" w:color="FFFFFF" w:themeColor="background1" w:sz="4" w:space="0"/>
              <w:right w:val="single" w:color="FFFFFF" w:themeColor="background1" w:sz="4" w:space="0"/>
            </w:tcBorders>
            <w:noWrap/>
            <w:vAlign w:val="center"/>
            <w:hideMark/>
          </w:tcPr>
          <w:p w:rsidRPr="00C22047" w:rsidR="006F7BE2" w:rsidP="00F74BEC" w:rsidRDefault="006F7BE2" w14:paraId="393D0184" w14:textId="77777777">
            <w:pPr>
              <w:spacing w:after="160" w:line="259" w:lineRule="auto"/>
              <w:rPr>
                <w:rFonts w:ascii="Verdana" w:hAnsi="Verdana"/>
                <w:i/>
                <w:sz w:val="18"/>
                <w:szCs w:val="18"/>
              </w:rPr>
            </w:pPr>
            <w:r w:rsidRPr="00C22047">
              <w:rPr>
                <w:rFonts w:ascii="Verdana" w:hAnsi="Verdana"/>
                <w:i/>
                <w:sz w:val="18"/>
                <w:szCs w:val="18"/>
              </w:rPr>
              <w:t>TOTAAL</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746FEE88"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051EBF7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07A4B711"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550FB16F"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5616DA3F"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8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ign w:val="center"/>
          </w:tcPr>
          <w:p w:rsidRPr="00C22047" w:rsidR="006F7BE2" w:rsidP="00F74BEC" w:rsidRDefault="006F7BE2" w14:paraId="45BF8471"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5F48CFE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075D67A8"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255E401F"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2BCE9F8F"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30CBF091"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c>
          <w:tcPr>
            <w:tcW w:w="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C22047" w:rsidR="006F7BE2" w:rsidP="00F74BEC" w:rsidRDefault="006F7BE2" w14:paraId="1AD8A652"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i/>
                <w:sz w:val="18"/>
                <w:szCs w:val="18"/>
              </w:rPr>
            </w:pPr>
            <w:r>
              <w:rPr>
                <w:rFonts w:ascii="Verdana" w:hAnsi="Verdana"/>
                <w:i/>
                <w:sz w:val="18"/>
                <w:szCs w:val="18"/>
              </w:rPr>
              <w:t>0</w:t>
            </w:r>
          </w:p>
        </w:tc>
      </w:tr>
      <w:tr w:rsidRPr="00C22047" w:rsidR="006F7BE2" w:rsidTr="00F74BEC" w14:paraId="2D99F077"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237" w:type="dxa"/>
            <w:gridSpan w:val="13"/>
            <w:tcBorders>
              <w:top w:val="single" w:color="FFFFFF" w:themeColor="background1" w:sz="4" w:space="0"/>
              <w:right w:val="single" w:color="FFFFFF" w:themeColor="background1" w:sz="4" w:space="0"/>
            </w:tcBorders>
            <w:noWrap/>
          </w:tcPr>
          <w:p w:rsidRPr="00F74BEC" w:rsidR="006F7BE2" w:rsidP="00F74BEC" w:rsidRDefault="006F7BE2" w14:paraId="0CBF9A95" w14:textId="77777777">
            <w:pPr>
              <w:rPr>
                <w:rFonts w:ascii="Verdana" w:hAnsi="Verdana"/>
                <w:b w:val="0"/>
                <w:bCs w:val="0"/>
                <w:i/>
                <w:sz w:val="18"/>
                <w:szCs w:val="18"/>
              </w:rPr>
            </w:pPr>
            <w:r w:rsidRPr="00113FB1">
              <w:rPr>
                <w:rFonts w:ascii="Verdana" w:hAnsi="Verdana"/>
                <w:i/>
                <w:sz w:val="18"/>
                <w:szCs w:val="18"/>
              </w:rPr>
              <w:t>* I</w:t>
            </w:r>
            <w:r>
              <w:rPr>
                <w:rFonts w:ascii="Verdana" w:hAnsi="Verdana"/>
                <w:b w:val="0"/>
                <w:bCs w:val="0"/>
                <w:i/>
                <w:sz w:val="18"/>
                <w:szCs w:val="18"/>
              </w:rPr>
              <w:t>n 2028 i</w:t>
            </w:r>
            <w:r w:rsidRPr="00113FB1">
              <w:rPr>
                <w:rFonts w:ascii="Verdana" w:hAnsi="Verdana"/>
                <w:i/>
                <w:sz w:val="18"/>
                <w:szCs w:val="18"/>
              </w:rPr>
              <w:t>ncidenteel gedekt via Klimaatfonds, zie beslispunt over tijdelijk hogere tariefkorting van 30%</w:t>
            </w:r>
          </w:p>
        </w:tc>
      </w:tr>
    </w:tbl>
    <w:p w:rsidRPr="00C22047" w:rsidR="006F7BE2" w:rsidP="006F7BE2" w:rsidRDefault="006F7BE2" w14:paraId="05AAD0C3" w14:textId="77777777">
      <w:pPr>
        <w:rPr>
          <w:rFonts w:ascii="Verdana" w:hAnsi="Verdana"/>
          <w:bCs/>
          <w:i/>
          <w:sz w:val="18"/>
          <w:szCs w:val="18"/>
        </w:rPr>
      </w:pPr>
    </w:p>
    <w:sectPr w:rsidRPr="00C22047" w:rsidR="006F7BE2">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39C1" w14:textId="77777777" w:rsidR="00E24A35" w:rsidRDefault="00E24A35" w:rsidP="00191551">
      <w:pPr>
        <w:spacing w:after="0" w:line="240" w:lineRule="auto"/>
      </w:pPr>
      <w:r>
        <w:separator/>
      </w:r>
    </w:p>
  </w:endnote>
  <w:endnote w:type="continuationSeparator" w:id="0">
    <w:p w14:paraId="6EE18375" w14:textId="77777777" w:rsidR="00E24A35" w:rsidRDefault="00E24A35" w:rsidP="00191551">
      <w:pPr>
        <w:spacing w:after="0" w:line="240" w:lineRule="auto"/>
      </w:pPr>
      <w:r>
        <w:continuationSeparator/>
      </w:r>
    </w:p>
  </w:endnote>
  <w:endnote w:type="continuationNotice" w:id="1">
    <w:p w14:paraId="45AF4617" w14:textId="77777777" w:rsidR="00E24A35" w:rsidRDefault="00E24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E2D5" w14:textId="188735B5" w:rsidR="00191551" w:rsidRDefault="00191551">
    <w:pPr>
      <w:pStyle w:val="Voettekst"/>
    </w:pPr>
    <w:r>
      <w:rPr>
        <w:noProof/>
      </w:rPr>
      <mc:AlternateContent>
        <mc:Choice Requires="wps">
          <w:drawing>
            <wp:anchor distT="0" distB="0" distL="0" distR="0" simplePos="0" relativeHeight="251658241" behindDoc="0" locked="0" layoutInCell="1" allowOverlap="1" wp14:anchorId="162426F7" wp14:editId="28D08393">
              <wp:simplePos x="635" y="635"/>
              <wp:positionH relativeFrom="page">
                <wp:align>left</wp:align>
              </wp:positionH>
              <wp:positionV relativeFrom="page">
                <wp:align>bottom</wp:align>
              </wp:positionV>
              <wp:extent cx="982345" cy="357505"/>
              <wp:effectExtent l="0" t="0" r="8255" b="0"/>
              <wp:wrapNone/>
              <wp:docPr id="170730749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DD70B72" w14:textId="5DDEE21D" w:rsidR="00191551" w:rsidRPr="00191551" w:rsidRDefault="00191551" w:rsidP="00191551">
                          <w:pPr>
                            <w:spacing w:after="0"/>
                            <w:rPr>
                              <w:rFonts w:ascii="Calibri" w:eastAsia="Calibri" w:hAnsi="Calibri" w:cs="Calibri"/>
                              <w:noProof/>
                              <w:color w:val="000000"/>
                              <w:sz w:val="20"/>
                              <w:szCs w:val="20"/>
                            </w:rPr>
                          </w:pPr>
                          <w:r w:rsidRPr="0019155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2426F7"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1DD70B72" w14:textId="5DDEE21D" w:rsidR="00191551" w:rsidRPr="00191551" w:rsidRDefault="00191551" w:rsidP="00191551">
                    <w:pPr>
                      <w:spacing w:after="0"/>
                      <w:rPr>
                        <w:rFonts w:ascii="Calibri" w:eastAsia="Calibri" w:hAnsi="Calibri" w:cs="Calibri"/>
                        <w:noProof/>
                        <w:color w:val="000000"/>
                        <w:sz w:val="20"/>
                        <w:szCs w:val="20"/>
                      </w:rPr>
                    </w:pPr>
                    <w:r w:rsidRPr="0019155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5B28" w14:textId="5915080E" w:rsidR="00191551" w:rsidRDefault="00191551">
    <w:pPr>
      <w:pStyle w:val="Voettekst"/>
    </w:pPr>
    <w:r>
      <w:rPr>
        <w:noProof/>
      </w:rPr>
      <mc:AlternateContent>
        <mc:Choice Requires="wps">
          <w:drawing>
            <wp:anchor distT="0" distB="0" distL="0" distR="0" simplePos="0" relativeHeight="251658242" behindDoc="0" locked="0" layoutInCell="1" allowOverlap="1" wp14:anchorId="16E2DD67" wp14:editId="583CB0E1">
              <wp:simplePos x="901700" y="10071100"/>
              <wp:positionH relativeFrom="page">
                <wp:align>left</wp:align>
              </wp:positionH>
              <wp:positionV relativeFrom="page">
                <wp:align>bottom</wp:align>
              </wp:positionV>
              <wp:extent cx="982345" cy="357505"/>
              <wp:effectExtent l="0" t="0" r="8255" b="0"/>
              <wp:wrapNone/>
              <wp:docPr id="22841304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7DD200EB" w14:textId="7C7A286F" w:rsidR="00191551" w:rsidRPr="00191551" w:rsidRDefault="00191551" w:rsidP="00191551">
                          <w:pPr>
                            <w:spacing w:after="0"/>
                            <w:rPr>
                              <w:rFonts w:ascii="Calibri" w:eastAsia="Calibri" w:hAnsi="Calibri" w:cs="Calibri"/>
                              <w:noProof/>
                              <w:color w:val="000000"/>
                              <w:sz w:val="20"/>
                              <w:szCs w:val="20"/>
                            </w:rPr>
                          </w:pPr>
                          <w:r w:rsidRPr="0019155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E2DD67" id="_x0000_t202" coordsize="21600,21600" o:spt="202" path="m,l,21600r21600,l21600,xe">
              <v:stroke joinstyle="miter"/>
              <v:path gradientshapeok="t" o:connecttype="rect"/>
            </v:shapetype>
            <v:shape id="Tekstvak 3" o:spid="_x0000_s1027" type="#_x0000_t202" alt="Intern gebruik" style="position:absolute;margin-left:0;margin-top:0;width:77.3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7DD200EB" w14:textId="7C7A286F" w:rsidR="00191551" w:rsidRPr="00191551" w:rsidRDefault="00191551" w:rsidP="00191551">
                    <w:pPr>
                      <w:spacing w:after="0"/>
                      <w:rPr>
                        <w:rFonts w:ascii="Calibri" w:eastAsia="Calibri" w:hAnsi="Calibri" w:cs="Calibri"/>
                        <w:noProof/>
                        <w:color w:val="000000"/>
                        <w:sz w:val="20"/>
                        <w:szCs w:val="20"/>
                      </w:rPr>
                    </w:pPr>
                    <w:r w:rsidRPr="0019155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4176" w14:textId="08B1FA01" w:rsidR="00191551" w:rsidRDefault="00191551">
    <w:pPr>
      <w:pStyle w:val="Voettekst"/>
    </w:pPr>
    <w:r>
      <w:rPr>
        <w:noProof/>
      </w:rPr>
      <mc:AlternateContent>
        <mc:Choice Requires="wps">
          <w:drawing>
            <wp:anchor distT="0" distB="0" distL="0" distR="0" simplePos="0" relativeHeight="251658240" behindDoc="0" locked="0" layoutInCell="1" allowOverlap="1" wp14:anchorId="2ED0BC8D" wp14:editId="01B96378">
              <wp:simplePos x="635" y="635"/>
              <wp:positionH relativeFrom="page">
                <wp:align>left</wp:align>
              </wp:positionH>
              <wp:positionV relativeFrom="page">
                <wp:align>bottom</wp:align>
              </wp:positionV>
              <wp:extent cx="982345" cy="357505"/>
              <wp:effectExtent l="0" t="0" r="8255" b="0"/>
              <wp:wrapNone/>
              <wp:docPr id="33874843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5C2F6C04" w14:textId="224FB583" w:rsidR="00191551" w:rsidRPr="00191551" w:rsidRDefault="00191551" w:rsidP="00191551">
                          <w:pPr>
                            <w:spacing w:after="0"/>
                            <w:rPr>
                              <w:rFonts w:ascii="Calibri" w:eastAsia="Calibri" w:hAnsi="Calibri" w:cs="Calibri"/>
                              <w:noProof/>
                              <w:color w:val="000000"/>
                              <w:sz w:val="20"/>
                              <w:szCs w:val="20"/>
                            </w:rPr>
                          </w:pPr>
                          <w:r w:rsidRPr="0019155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0BC8D"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5C2F6C04" w14:textId="224FB583" w:rsidR="00191551" w:rsidRPr="00191551" w:rsidRDefault="00191551" w:rsidP="00191551">
                    <w:pPr>
                      <w:spacing w:after="0"/>
                      <w:rPr>
                        <w:rFonts w:ascii="Calibri" w:eastAsia="Calibri" w:hAnsi="Calibri" w:cs="Calibri"/>
                        <w:noProof/>
                        <w:color w:val="000000"/>
                        <w:sz w:val="20"/>
                        <w:szCs w:val="20"/>
                      </w:rPr>
                    </w:pPr>
                    <w:r w:rsidRPr="0019155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E32D" w14:textId="77777777" w:rsidR="00E24A35" w:rsidRDefault="00E24A35" w:rsidP="00191551">
      <w:pPr>
        <w:spacing w:after="0" w:line="240" w:lineRule="auto"/>
      </w:pPr>
      <w:r>
        <w:separator/>
      </w:r>
    </w:p>
  </w:footnote>
  <w:footnote w:type="continuationSeparator" w:id="0">
    <w:p w14:paraId="28732427" w14:textId="77777777" w:rsidR="00E24A35" w:rsidRDefault="00E24A35" w:rsidP="00191551">
      <w:pPr>
        <w:spacing w:after="0" w:line="240" w:lineRule="auto"/>
      </w:pPr>
      <w:r>
        <w:continuationSeparator/>
      </w:r>
    </w:p>
  </w:footnote>
  <w:footnote w:type="continuationNotice" w:id="1">
    <w:p w14:paraId="52D27F5A" w14:textId="77777777" w:rsidR="00E24A35" w:rsidRDefault="00E24A35">
      <w:pPr>
        <w:spacing w:after="0" w:line="240" w:lineRule="auto"/>
      </w:pPr>
    </w:p>
  </w:footnote>
  <w:footnote w:id="2">
    <w:p w14:paraId="57325D7B" w14:textId="77777777" w:rsidR="0083217E" w:rsidRPr="00DD224D" w:rsidRDefault="0083217E" w:rsidP="0083217E">
      <w:pPr>
        <w:pStyle w:val="Voetnoottekst"/>
        <w:rPr>
          <w:sz w:val="14"/>
          <w:szCs w:val="14"/>
        </w:rPr>
      </w:pPr>
      <w:r w:rsidRPr="00DD224D">
        <w:rPr>
          <w:rStyle w:val="Voetnootmarkering"/>
          <w:sz w:val="14"/>
          <w:szCs w:val="14"/>
        </w:rPr>
        <w:footnoteRef/>
      </w:r>
      <w:r w:rsidRPr="00DD224D">
        <w:rPr>
          <w:sz w:val="14"/>
          <w:szCs w:val="14"/>
        </w:rPr>
        <w:t xml:space="preserve"> Dat zijn kampeerwagens, gepantserde voertuigen, ambulances, lijkwagens en voor rolstoelen toegankelijk voertuigen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770"/>
    <w:multiLevelType w:val="hybridMultilevel"/>
    <w:tmpl w:val="9948E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195CBA"/>
    <w:multiLevelType w:val="multilevel"/>
    <w:tmpl w:val="1DF0DA7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 w15:restartNumberingAfterBreak="0">
    <w:nsid w:val="1596510B"/>
    <w:multiLevelType w:val="hybridMultilevel"/>
    <w:tmpl w:val="916C4320"/>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6CC0768"/>
    <w:multiLevelType w:val="hybridMultilevel"/>
    <w:tmpl w:val="C100A35E"/>
    <w:lvl w:ilvl="0" w:tplc="04130015">
      <w:start w:val="1"/>
      <w:numFmt w:val="upperLetter"/>
      <w:lvlText w:val="%1."/>
      <w:lvlJc w:val="left"/>
      <w:pPr>
        <w:ind w:left="720" w:hanging="36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9E6915"/>
    <w:multiLevelType w:val="hybridMultilevel"/>
    <w:tmpl w:val="1CF0690A"/>
    <w:lvl w:ilvl="0" w:tplc="99ACEE36">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EA2943"/>
    <w:multiLevelType w:val="hybridMultilevel"/>
    <w:tmpl w:val="9536B9FA"/>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54A7617D"/>
    <w:multiLevelType w:val="hybridMultilevel"/>
    <w:tmpl w:val="C100A35E"/>
    <w:lvl w:ilvl="0" w:tplc="FFFFFFFF">
      <w:start w:val="1"/>
      <w:numFmt w:val="upp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E31DE0"/>
    <w:multiLevelType w:val="hybridMultilevel"/>
    <w:tmpl w:val="32BE2D3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6F4D330C"/>
    <w:multiLevelType w:val="hybridMultilevel"/>
    <w:tmpl w:val="D5722430"/>
    <w:lvl w:ilvl="0" w:tplc="0922A05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0F543E8"/>
    <w:multiLevelType w:val="hybridMultilevel"/>
    <w:tmpl w:val="9A180D48"/>
    <w:lvl w:ilvl="0" w:tplc="4A80A362">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B7A536E"/>
    <w:multiLevelType w:val="hybridMultilevel"/>
    <w:tmpl w:val="61985E0A"/>
    <w:lvl w:ilvl="0" w:tplc="90B62734">
      <w:start w:val="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EFE33DF"/>
    <w:multiLevelType w:val="hybridMultilevel"/>
    <w:tmpl w:val="DFE88A56"/>
    <w:lvl w:ilvl="0" w:tplc="56FEA1A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8481899">
    <w:abstractNumId w:val="0"/>
  </w:num>
  <w:num w:numId="2" w16cid:durableId="715814918">
    <w:abstractNumId w:val="3"/>
  </w:num>
  <w:num w:numId="3" w16cid:durableId="1081099001">
    <w:abstractNumId w:val="7"/>
  </w:num>
  <w:num w:numId="4" w16cid:durableId="1371495480">
    <w:abstractNumId w:val="2"/>
  </w:num>
  <w:num w:numId="5" w16cid:durableId="1237473784">
    <w:abstractNumId w:val="4"/>
  </w:num>
  <w:num w:numId="6" w16cid:durableId="1618439847">
    <w:abstractNumId w:val="10"/>
  </w:num>
  <w:num w:numId="7" w16cid:durableId="1134979574">
    <w:abstractNumId w:val="6"/>
  </w:num>
  <w:num w:numId="8" w16cid:durableId="125466572">
    <w:abstractNumId w:val="11"/>
  </w:num>
  <w:num w:numId="9" w16cid:durableId="1353263690">
    <w:abstractNumId w:val="8"/>
  </w:num>
  <w:num w:numId="10" w16cid:durableId="17383539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087953">
    <w:abstractNumId w:val="1"/>
  </w:num>
  <w:num w:numId="12" w16cid:durableId="1824932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51"/>
    <w:rsid w:val="00000095"/>
    <w:rsid w:val="00006C91"/>
    <w:rsid w:val="0000799D"/>
    <w:rsid w:val="0001450A"/>
    <w:rsid w:val="00016E6E"/>
    <w:rsid w:val="00025B00"/>
    <w:rsid w:val="00032B3A"/>
    <w:rsid w:val="000401E8"/>
    <w:rsid w:val="0004204F"/>
    <w:rsid w:val="0004321D"/>
    <w:rsid w:val="00052279"/>
    <w:rsid w:val="00063579"/>
    <w:rsid w:val="00067156"/>
    <w:rsid w:val="000715A8"/>
    <w:rsid w:val="00072960"/>
    <w:rsid w:val="00074E58"/>
    <w:rsid w:val="00077091"/>
    <w:rsid w:val="00082912"/>
    <w:rsid w:val="000849DF"/>
    <w:rsid w:val="00092112"/>
    <w:rsid w:val="00094C22"/>
    <w:rsid w:val="000A026F"/>
    <w:rsid w:val="000A1ADF"/>
    <w:rsid w:val="000A76DA"/>
    <w:rsid w:val="000B366C"/>
    <w:rsid w:val="000B4F48"/>
    <w:rsid w:val="000C625A"/>
    <w:rsid w:val="000D1E95"/>
    <w:rsid w:val="000E1370"/>
    <w:rsid w:val="000E1B41"/>
    <w:rsid w:val="000E4CD4"/>
    <w:rsid w:val="000F1233"/>
    <w:rsid w:val="000F2E95"/>
    <w:rsid w:val="000F5534"/>
    <w:rsid w:val="000F5DC8"/>
    <w:rsid w:val="000F62A5"/>
    <w:rsid w:val="00112815"/>
    <w:rsid w:val="00114313"/>
    <w:rsid w:val="00114FE4"/>
    <w:rsid w:val="001159C7"/>
    <w:rsid w:val="001220DF"/>
    <w:rsid w:val="001267C4"/>
    <w:rsid w:val="001374F9"/>
    <w:rsid w:val="00146B40"/>
    <w:rsid w:val="001626E5"/>
    <w:rsid w:val="001647EB"/>
    <w:rsid w:val="00174385"/>
    <w:rsid w:val="00191551"/>
    <w:rsid w:val="001B0638"/>
    <w:rsid w:val="001B0A3C"/>
    <w:rsid w:val="001B5970"/>
    <w:rsid w:val="001C3657"/>
    <w:rsid w:val="001E02AB"/>
    <w:rsid w:val="001E2B58"/>
    <w:rsid w:val="001E6D62"/>
    <w:rsid w:val="001F5037"/>
    <w:rsid w:val="001F59B0"/>
    <w:rsid w:val="001F6B04"/>
    <w:rsid w:val="00200AAC"/>
    <w:rsid w:val="002021C7"/>
    <w:rsid w:val="0020258F"/>
    <w:rsid w:val="002142EC"/>
    <w:rsid w:val="00214819"/>
    <w:rsid w:val="0021690B"/>
    <w:rsid w:val="00217F53"/>
    <w:rsid w:val="00227699"/>
    <w:rsid w:val="00233F08"/>
    <w:rsid w:val="0024272C"/>
    <w:rsid w:val="00245504"/>
    <w:rsid w:val="00255B21"/>
    <w:rsid w:val="00256985"/>
    <w:rsid w:val="00263F56"/>
    <w:rsid w:val="00274B85"/>
    <w:rsid w:val="002871A0"/>
    <w:rsid w:val="00291C73"/>
    <w:rsid w:val="00292A2B"/>
    <w:rsid w:val="00295D5B"/>
    <w:rsid w:val="002A0F4F"/>
    <w:rsid w:val="002A1324"/>
    <w:rsid w:val="002A2774"/>
    <w:rsid w:val="002A28D0"/>
    <w:rsid w:val="002A4558"/>
    <w:rsid w:val="002A4D99"/>
    <w:rsid w:val="002A657B"/>
    <w:rsid w:val="002A75D1"/>
    <w:rsid w:val="002B06E8"/>
    <w:rsid w:val="002E4B41"/>
    <w:rsid w:val="002F053E"/>
    <w:rsid w:val="002F3C73"/>
    <w:rsid w:val="002F3E7F"/>
    <w:rsid w:val="00301C5F"/>
    <w:rsid w:val="00302A39"/>
    <w:rsid w:val="00303408"/>
    <w:rsid w:val="0031143A"/>
    <w:rsid w:val="00314574"/>
    <w:rsid w:val="00315221"/>
    <w:rsid w:val="00321F4D"/>
    <w:rsid w:val="00324000"/>
    <w:rsid w:val="00335361"/>
    <w:rsid w:val="00356B3F"/>
    <w:rsid w:val="0035715C"/>
    <w:rsid w:val="00361E46"/>
    <w:rsid w:val="00375B19"/>
    <w:rsid w:val="00376595"/>
    <w:rsid w:val="00391191"/>
    <w:rsid w:val="003949FC"/>
    <w:rsid w:val="003A6C88"/>
    <w:rsid w:val="003B2971"/>
    <w:rsid w:val="003B693F"/>
    <w:rsid w:val="003C1E21"/>
    <w:rsid w:val="003D47AB"/>
    <w:rsid w:val="003E40FB"/>
    <w:rsid w:val="003E5DD4"/>
    <w:rsid w:val="003F6B8E"/>
    <w:rsid w:val="00401B9E"/>
    <w:rsid w:val="00403043"/>
    <w:rsid w:val="00407058"/>
    <w:rsid w:val="004203DC"/>
    <w:rsid w:val="004345DE"/>
    <w:rsid w:val="00437542"/>
    <w:rsid w:val="004402AB"/>
    <w:rsid w:val="004445FF"/>
    <w:rsid w:val="004451C3"/>
    <w:rsid w:val="00446079"/>
    <w:rsid w:val="00446FE7"/>
    <w:rsid w:val="00456472"/>
    <w:rsid w:val="004719F8"/>
    <w:rsid w:val="004759B4"/>
    <w:rsid w:val="0048134C"/>
    <w:rsid w:val="00487833"/>
    <w:rsid w:val="00490C8A"/>
    <w:rsid w:val="004916CF"/>
    <w:rsid w:val="00491F60"/>
    <w:rsid w:val="004A2485"/>
    <w:rsid w:val="004A5594"/>
    <w:rsid w:val="004B366A"/>
    <w:rsid w:val="004B3BA1"/>
    <w:rsid w:val="004B562B"/>
    <w:rsid w:val="004C1BA2"/>
    <w:rsid w:val="004D1167"/>
    <w:rsid w:val="004E00DC"/>
    <w:rsid w:val="004E27DD"/>
    <w:rsid w:val="00502112"/>
    <w:rsid w:val="005118F5"/>
    <w:rsid w:val="00512B60"/>
    <w:rsid w:val="005206B0"/>
    <w:rsid w:val="00524F4C"/>
    <w:rsid w:val="005551C7"/>
    <w:rsid w:val="00555D3A"/>
    <w:rsid w:val="0055634E"/>
    <w:rsid w:val="00564863"/>
    <w:rsid w:val="005743DD"/>
    <w:rsid w:val="005812D7"/>
    <w:rsid w:val="005822CE"/>
    <w:rsid w:val="00595CC0"/>
    <w:rsid w:val="00595E30"/>
    <w:rsid w:val="00596D04"/>
    <w:rsid w:val="005B73D3"/>
    <w:rsid w:val="005C29BF"/>
    <w:rsid w:val="005C712F"/>
    <w:rsid w:val="005E0E5F"/>
    <w:rsid w:val="005E1E28"/>
    <w:rsid w:val="005E61DF"/>
    <w:rsid w:val="00602369"/>
    <w:rsid w:val="006065A9"/>
    <w:rsid w:val="00610BFA"/>
    <w:rsid w:val="0061582C"/>
    <w:rsid w:val="00616360"/>
    <w:rsid w:val="00620357"/>
    <w:rsid w:val="006250EB"/>
    <w:rsid w:val="0063772C"/>
    <w:rsid w:val="00657D72"/>
    <w:rsid w:val="0066384F"/>
    <w:rsid w:val="00665595"/>
    <w:rsid w:val="00665604"/>
    <w:rsid w:val="00672DF2"/>
    <w:rsid w:val="00675726"/>
    <w:rsid w:val="0067671B"/>
    <w:rsid w:val="00685725"/>
    <w:rsid w:val="00693190"/>
    <w:rsid w:val="006A67C9"/>
    <w:rsid w:val="006B5424"/>
    <w:rsid w:val="006D3502"/>
    <w:rsid w:val="006E1452"/>
    <w:rsid w:val="006E2D46"/>
    <w:rsid w:val="006F7BE2"/>
    <w:rsid w:val="00700654"/>
    <w:rsid w:val="00700E79"/>
    <w:rsid w:val="00730B3B"/>
    <w:rsid w:val="00741BF7"/>
    <w:rsid w:val="007509D8"/>
    <w:rsid w:val="00761613"/>
    <w:rsid w:val="007619A5"/>
    <w:rsid w:val="0076413C"/>
    <w:rsid w:val="00790CC5"/>
    <w:rsid w:val="007A5020"/>
    <w:rsid w:val="007A7E1E"/>
    <w:rsid w:val="007C19F0"/>
    <w:rsid w:val="007C255F"/>
    <w:rsid w:val="007C6273"/>
    <w:rsid w:val="007C7B0F"/>
    <w:rsid w:val="007D356A"/>
    <w:rsid w:val="007D6994"/>
    <w:rsid w:val="007D6DE5"/>
    <w:rsid w:val="007E1C70"/>
    <w:rsid w:val="007E5E70"/>
    <w:rsid w:val="007F0E22"/>
    <w:rsid w:val="007F3E03"/>
    <w:rsid w:val="00802AB4"/>
    <w:rsid w:val="00803EB0"/>
    <w:rsid w:val="0082138C"/>
    <w:rsid w:val="00822FF0"/>
    <w:rsid w:val="00824C31"/>
    <w:rsid w:val="0083217E"/>
    <w:rsid w:val="008355F9"/>
    <w:rsid w:val="00840EB3"/>
    <w:rsid w:val="00842FD4"/>
    <w:rsid w:val="00853DC2"/>
    <w:rsid w:val="008540B7"/>
    <w:rsid w:val="0085795D"/>
    <w:rsid w:val="0086552C"/>
    <w:rsid w:val="008721F6"/>
    <w:rsid w:val="0087429A"/>
    <w:rsid w:val="00875B5D"/>
    <w:rsid w:val="00877404"/>
    <w:rsid w:val="0088632B"/>
    <w:rsid w:val="008913EB"/>
    <w:rsid w:val="00892EA7"/>
    <w:rsid w:val="00895063"/>
    <w:rsid w:val="0089623D"/>
    <w:rsid w:val="008A1F4F"/>
    <w:rsid w:val="008A5893"/>
    <w:rsid w:val="008B48F6"/>
    <w:rsid w:val="008B7EAF"/>
    <w:rsid w:val="008C5B70"/>
    <w:rsid w:val="008C5BE4"/>
    <w:rsid w:val="008D047E"/>
    <w:rsid w:val="008E19D6"/>
    <w:rsid w:val="008E48C9"/>
    <w:rsid w:val="00905A03"/>
    <w:rsid w:val="009078D6"/>
    <w:rsid w:val="00914F2C"/>
    <w:rsid w:val="00921476"/>
    <w:rsid w:val="00921CF0"/>
    <w:rsid w:val="00927595"/>
    <w:rsid w:val="0093110A"/>
    <w:rsid w:val="0093317A"/>
    <w:rsid w:val="00935181"/>
    <w:rsid w:val="00940A31"/>
    <w:rsid w:val="009454B5"/>
    <w:rsid w:val="00945D17"/>
    <w:rsid w:val="009509AD"/>
    <w:rsid w:val="00953BD8"/>
    <w:rsid w:val="0095538E"/>
    <w:rsid w:val="009575A2"/>
    <w:rsid w:val="00960BE7"/>
    <w:rsid w:val="00961EFE"/>
    <w:rsid w:val="00965873"/>
    <w:rsid w:val="00966AB5"/>
    <w:rsid w:val="00967EA2"/>
    <w:rsid w:val="00970C01"/>
    <w:rsid w:val="009719FE"/>
    <w:rsid w:val="00971A5A"/>
    <w:rsid w:val="00976F61"/>
    <w:rsid w:val="00977CF5"/>
    <w:rsid w:val="00985A9C"/>
    <w:rsid w:val="00995D31"/>
    <w:rsid w:val="009A27EE"/>
    <w:rsid w:val="009A3BAC"/>
    <w:rsid w:val="009B54BB"/>
    <w:rsid w:val="009B605F"/>
    <w:rsid w:val="009D38E9"/>
    <w:rsid w:val="009E22AE"/>
    <w:rsid w:val="009F5F10"/>
    <w:rsid w:val="00A02F82"/>
    <w:rsid w:val="00A077E0"/>
    <w:rsid w:val="00A10C27"/>
    <w:rsid w:val="00A10FAE"/>
    <w:rsid w:val="00A111BD"/>
    <w:rsid w:val="00A1289C"/>
    <w:rsid w:val="00A13C3B"/>
    <w:rsid w:val="00A16BEE"/>
    <w:rsid w:val="00A20590"/>
    <w:rsid w:val="00A24AC8"/>
    <w:rsid w:val="00A312C4"/>
    <w:rsid w:val="00A37ED6"/>
    <w:rsid w:val="00A41C86"/>
    <w:rsid w:val="00A5562C"/>
    <w:rsid w:val="00A62C42"/>
    <w:rsid w:val="00A73C26"/>
    <w:rsid w:val="00A745F2"/>
    <w:rsid w:val="00A86F31"/>
    <w:rsid w:val="00A87484"/>
    <w:rsid w:val="00A87782"/>
    <w:rsid w:val="00A9123B"/>
    <w:rsid w:val="00A93627"/>
    <w:rsid w:val="00A979FE"/>
    <w:rsid w:val="00AA16DF"/>
    <w:rsid w:val="00AB114E"/>
    <w:rsid w:val="00AC3A32"/>
    <w:rsid w:val="00AD5CCA"/>
    <w:rsid w:val="00AE4098"/>
    <w:rsid w:val="00AF3671"/>
    <w:rsid w:val="00AF6137"/>
    <w:rsid w:val="00B04B0C"/>
    <w:rsid w:val="00B12B3C"/>
    <w:rsid w:val="00B210EA"/>
    <w:rsid w:val="00B27203"/>
    <w:rsid w:val="00B31AA6"/>
    <w:rsid w:val="00B43DC1"/>
    <w:rsid w:val="00B44647"/>
    <w:rsid w:val="00B45095"/>
    <w:rsid w:val="00B47FDD"/>
    <w:rsid w:val="00B528FD"/>
    <w:rsid w:val="00B538A7"/>
    <w:rsid w:val="00B55246"/>
    <w:rsid w:val="00B66CC8"/>
    <w:rsid w:val="00B723F7"/>
    <w:rsid w:val="00B74698"/>
    <w:rsid w:val="00B81DF6"/>
    <w:rsid w:val="00B84058"/>
    <w:rsid w:val="00B85406"/>
    <w:rsid w:val="00B9358C"/>
    <w:rsid w:val="00BB0100"/>
    <w:rsid w:val="00BB0157"/>
    <w:rsid w:val="00BE0750"/>
    <w:rsid w:val="00BE0E55"/>
    <w:rsid w:val="00BE36F2"/>
    <w:rsid w:val="00BE3F73"/>
    <w:rsid w:val="00BF3D64"/>
    <w:rsid w:val="00BF7C4D"/>
    <w:rsid w:val="00C00AF0"/>
    <w:rsid w:val="00C00CFC"/>
    <w:rsid w:val="00C0761B"/>
    <w:rsid w:val="00C10600"/>
    <w:rsid w:val="00C1237E"/>
    <w:rsid w:val="00C14C85"/>
    <w:rsid w:val="00C14EE3"/>
    <w:rsid w:val="00C15F03"/>
    <w:rsid w:val="00C16984"/>
    <w:rsid w:val="00C2130F"/>
    <w:rsid w:val="00C22047"/>
    <w:rsid w:val="00C2717C"/>
    <w:rsid w:val="00C317E4"/>
    <w:rsid w:val="00C33D7F"/>
    <w:rsid w:val="00C40A35"/>
    <w:rsid w:val="00C4181C"/>
    <w:rsid w:val="00C47000"/>
    <w:rsid w:val="00C67113"/>
    <w:rsid w:val="00C870E0"/>
    <w:rsid w:val="00C8731B"/>
    <w:rsid w:val="00C90713"/>
    <w:rsid w:val="00CA1189"/>
    <w:rsid w:val="00CA43A3"/>
    <w:rsid w:val="00CA4BF2"/>
    <w:rsid w:val="00CB7D58"/>
    <w:rsid w:val="00CC1A2A"/>
    <w:rsid w:val="00CC3E7C"/>
    <w:rsid w:val="00CC662D"/>
    <w:rsid w:val="00CE36AF"/>
    <w:rsid w:val="00CF7EE0"/>
    <w:rsid w:val="00D0599C"/>
    <w:rsid w:val="00D1330F"/>
    <w:rsid w:val="00D14517"/>
    <w:rsid w:val="00D22D6E"/>
    <w:rsid w:val="00D22DB0"/>
    <w:rsid w:val="00D245D7"/>
    <w:rsid w:val="00D36310"/>
    <w:rsid w:val="00D36726"/>
    <w:rsid w:val="00D41934"/>
    <w:rsid w:val="00D5703F"/>
    <w:rsid w:val="00D62744"/>
    <w:rsid w:val="00D65727"/>
    <w:rsid w:val="00D73A30"/>
    <w:rsid w:val="00D834B2"/>
    <w:rsid w:val="00D839B2"/>
    <w:rsid w:val="00D84318"/>
    <w:rsid w:val="00D8453D"/>
    <w:rsid w:val="00D848D4"/>
    <w:rsid w:val="00D91BF2"/>
    <w:rsid w:val="00DA0DFF"/>
    <w:rsid w:val="00DA3ACA"/>
    <w:rsid w:val="00DA3F1E"/>
    <w:rsid w:val="00DA4F26"/>
    <w:rsid w:val="00DA512A"/>
    <w:rsid w:val="00DB06C5"/>
    <w:rsid w:val="00DB772D"/>
    <w:rsid w:val="00DC61F8"/>
    <w:rsid w:val="00DC74FF"/>
    <w:rsid w:val="00DD00E9"/>
    <w:rsid w:val="00DD769A"/>
    <w:rsid w:val="00DE1B29"/>
    <w:rsid w:val="00E02FAD"/>
    <w:rsid w:val="00E074DE"/>
    <w:rsid w:val="00E122B9"/>
    <w:rsid w:val="00E12360"/>
    <w:rsid w:val="00E1637C"/>
    <w:rsid w:val="00E22138"/>
    <w:rsid w:val="00E24A35"/>
    <w:rsid w:val="00E24CD6"/>
    <w:rsid w:val="00E36BA9"/>
    <w:rsid w:val="00E4098D"/>
    <w:rsid w:val="00E41AAC"/>
    <w:rsid w:val="00E41B1A"/>
    <w:rsid w:val="00E41F78"/>
    <w:rsid w:val="00E451CC"/>
    <w:rsid w:val="00E526D2"/>
    <w:rsid w:val="00E574AB"/>
    <w:rsid w:val="00E60F3C"/>
    <w:rsid w:val="00E6491B"/>
    <w:rsid w:val="00E72426"/>
    <w:rsid w:val="00E75206"/>
    <w:rsid w:val="00E80E9B"/>
    <w:rsid w:val="00E81500"/>
    <w:rsid w:val="00E9764D"/>
    <w:rsid w:val="00EB28A8"/>
    <w:rsid w:val="00EB2E39"/>
    <w:rsid w:val="00EB6A96"/>
    <w:rsid w:val="00EC337B"/>
    <w:rsid w:val="00EC5ADB"/>
    <w:rsid w:val="00EC66E2"/>
    <w:rsid w:val="00EE226C"/>
    <w:rsid w:val="00EE4271"/>
    <w:rsid w:val="00EF067D"/>
    <w:rsid w:val="00F021C5"/>
    <w:rsid w:val="00F040C4"/>
    <w:rsid w:val="00F1711A"/>
    <w:rsid w:val="00F30355"/>
    <w:rsid w:val="00F30A4C"/>
    <w:rsid w:val="00F3651C"/>
    <w:rsid w:val="00F4523A"/>
    <w:rsid w:val="00F46AD3"/>
    <w:rsid w:val="00F50B19"/>
    <w:rsid w:val="00F529D6"/>
    <w:rsid w:val="00F5556D"/>
    <w:rsid w:val="00F62D65"/>
    <w:rsid w:val="00F67A7A"/>
    <w:rsid w:val="00F70344"/>
    <w:rsid w:val="00F72797"/>
    <w:rsid w:val="00F74ADF"/>
    <w:rsid w:val="00F836EC"/>
    <w:rsid w:val="00F92406"/>
    <w:rsid w:val="00FA1AE0"/>
    <w:rsid w:val="00FA7C26"/>
    <w:rsid w:val="00FD03F3"/>
    <w:rsid w:val="00FD5167"/>
    <w:rsid w:val="00FF6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14B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1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1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15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15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15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15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15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15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15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5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15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15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15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15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15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15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15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1551"/>
    <w:rPr>
      <w:rFonts w:eastAsiaTheme="majorEastAsia" w:cstheme="majorBidi"/>
      <w:color w:val="272727" w:themeColor="text1" w:themeTint="D8"/>
    </w:rPr>
  </w:style>
  <w:style w:type="paragraph" w:styleId="Titel">
    <w:name w:val="Title"/>
    <w:basedOn w:val="Standaard"/>
    <w:next w:val="Standaard"/>
    <w:link w:val="TitelChar"/>
    <w:uiPriority w:val="10"/>
    <w:qFormat/>
    <w:rsid w:val="00191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5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15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5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15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551"/>
    <w:rPr>
      <w:i/>
      <w:iCs/>
      <w:color w:val="404040" w:themeColor="text1" w:themeTint="BF"/>
    </w:rPr>
  </w:style>
  <w:style w:type="paragraph" w:styleId="Lijstalinea">
    <w:name w:val="List Paragraph"/>
    <w:basedOn w:val="Standaard"/>
    <w:uiPriority w:val="34"/>
    <w:qFormat/>
    <w:rsid w:val="00191551"/>
    <w:pPr>
      <w:ind w:left="720"/>
      <w:contextualSpacing/>
    </w:pPr>
  </w:style>
  <w:style w:type="character" w:styleId="Intensievebenadrukking">
    <w:name w:val="Intense Emphasis"/>
    <w:basedOn w:val="Standaardalinea-lettertype"/>
    <w:uiPriority w:val="21"/>
    <w:qFormat/>
    <w:rsid w:val="00191551"/>
    <w:rPr>
      <w:i/>
      <w:iCs/>
      <w:color w:val="0F4761" w:themeColor="accent1" w:themeShade="BF"/>
    </w:rPr>
  </w:style>
  <w:style w:type="paragraph" w:styleId="Duidelijkcitaat">
    <w:name w:val="Intense Quote"/>
    <w:basedOn w:val="Standaard"/>
    <w:next w:val="Standaard"/>
    <w:link w:val="DuidelijkcitaatChar"/>
    <w:uiPriority w:val="30"/>
    <w:qFormat/>
    <w:rsid w:val="00191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1551"/>
    <w:rPr>
      <w:i/>
      <w:iCs/>
      <w:color w:val="0F4761" w:themeColor="accent1" w:themeShade="BF"/>
    </w:rPr>
  </w:style>
  <w:style w:type="character" w:styleId="Intensieveverwijzing">
    <w:name w:val="Intense Reference"/>
    <w:basedOn w:val="Standaardalinea-lettertype"/>
    <w:uiPriority w:val="32"/>
    <w:qFormat/>
    <w:rsid w:val="00191551"/>
    <w:rPr>
      <w:b/>
      <w:bCs/>
      <w:smallCaps/>
      <w:color w:val="0F4761" w:themeColor="accent1" w:themeShade="BF"/>
      <w:spacing w:val="5"/>
    </w:rPr>
  </w:style>
  <w:style w:type="paragraph" w:styleId="Voettekst">
    <w:name w:val="footer"/>
    <w:basedOn w:val="Standaard"/>
    <w:link w:val="VoettekstChar"/>
    <w:uiPriority w:val="99"/>
    <w:unhideWhenUsed/>
    <w:rsid w:val="001915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551"/>
  </w:style>
  <w:style w:type="paragraph" w:styleId="Koptekst">
    <w:name w:val="header"/>
    <w:basedOn w:val="Standaard"/>
    <w:link w:val="KoptekstChar"/>
    <w:uiPriority w:val="99"/>
    <w:unhideWhenUsed/>
    <w:rsid w:val="006638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384F"/>
  </w:style>
  <w:style w:type="table" w:styleId="Rastertabel5donker-Accent1">
    <w:name w:val="Grid Table 5 Dark Accent 1"/>
    <w:basedOn w:val="Standaardtabel"/>
    <w:uiPriority w:val="50"/>
    <w:rsid w:val="002169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Verwijzingopmerking">
    <w:name w:val="annotation reference"/>
    <w:basedOn w:val="Standaardalinea-lettertype"/>
    <w:uiPriority w:val="99"/>
    <w:semiHidden/>
    <w:unhideWhenUsed/>
    <w:rsid w:val="004C1BA2"/>
    <w:rPr>
      <w:sz w:val="16"/>
      <w:szCs w:val="16"/>
    </w:rPr>
  </w:style>
  <w:style w:type="paragraph" w:styleId="Tekstopmerking">
    <w:name w:val="annotation text"/>
    <w:basedOn w:val="Standaard"/>
    <w:link w:val="TekstopmerkingChar"/>
    <w:uiPriority w:val="99"/>
    <w:unhideWhenUsed/>
    <w:rsid w:val="004C1BA2"/>
    <w:pPr>
      <w:spacing w:line="240" w:lineRule="auto"/>
    </w:pPr>
    <w:rPr>
      <w:sz w:val="20"/>
      <w:szCs w:val="20"/>
    </w:rPr>
  </w:style>
  <w:style w:type="character" w:customStyle="1" w:styleId="TekstopmerkingChar">
    <w:name w:val="Tekst opmerking Char"/>
    <w:basedOn w:val="Standaardalinea-lettertype"/>
    <w:link w:val="Tekstopmerking"/>
    <w:uiPriority w:val="99"/>
    <w:rsid w:val="004C1BA2"/>
    <w:rPr>
      <w:sz w:val="20"/>
      <w:szCs w:val="20"/>
    </w:rPr>
  </w:style>
  <w:style w:type="paragraph" w:styleId="Onderwerpvanopmerking">
    <w:name w:val="annotation subject"/>
    <w:basedOn w:val="Tekstopmerking"/>
    <w:next w:val="Tekstopmerking"/>
    <w:link w:val="OnderwerpvanopmerkingChar"/>
    <w:uiPriority w:val="99"/>
    <w:semiHidden/>
    <w:unhideWhenUsed/>
    <w:rsid w:val="004C1BA2"/>
    <w:rPr>
      <w:b/>
      <w:bCs/>
    </w:rPr>
  </w:style>
  <w:style w:type="character" w:customStyle="1" w:styleId="OnderwerpvanopmerkingChar">
    <w:name w:val="Onderwerp van opmerking Char"/>
    <w:basedOn w:val="TekstopmerkingChar"/>
    <w:link w:val="Onderwerpvanopmerking"/>
    <w:uiPriority w:val="99"/>
    <w:semiHidden/>
    <w:rsid w:val="004C1BA2"/>
    <w:rPr>
      <w:b/>
      <w:bCs/>
      <w:sz w:val="20"/>
      <w:szCs w:val="20"/>
    </w:rPr>
  </w:style>
  <w:style w:type="paragraph" w:styleId="Revisie">
    <w:name w:val="Revision"/>
    <w:hidden/>
    <w:uiPriority w:val="99"/>
    <w:semiHidden/>
    <w:rsid w:val="00487833"/>
    <w:pPr>
      <w:spacing w:after="0" w:line="240" w:lineRule="auto"/>
    </w:pPr>
  </w:style>
  <w:style w:type="paragraph" w:styleId="Voetnoottekst">
    <w:name w:val="footnote text"/>
    <w:basedOn w:val="Standaard"/>
    <w:link w:val="VoetnoottekstChar"/>
    <w:uiPriority w:val="99"/>
    <w:semiHidden/>
    <w:unhideWhenUsed/>
    <w:rsid w:val="0086552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6552C"/>
    <w:rPr>
      <w:sz w:val="20"/>
      <w:szCs w:val="20"/>
    </w:rPr>
  </w:style>
  <w:style w:type="character" w:styleId="Voetnootmarkering">
    <w:name w:val="footnote reference"/>
    <w:basedOn w:val="Standaardalinea-lettertype"/>
    <w:semiHidden/>
    <w:unhideWhenUsed/>
    <w:rsid w:val="0086552C"/>
    <w:rPr>
      <w:vertAlign w:val="superscript"/>
    </w:rPr>
  </w:style>
  <w:style w:type="table" w:styleId="Rastertabel4-Accent4">
    <w:name w:val="Grid Table 4 Accent 4"/>
    <w:basedOn w:val="Standaardtabel"/>
    <w:uiPriority w:val="49"/>
    <w:rsid w:val="002A28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81">
      <w:bodyDiv w:val="1"/>
      <w:marLeft w:val="0"/>
      <w:marRight w:val="0"/>
      <w:marTop w:val="0"/>
      <w:marBottom w:val="0"/>
      <w:divBdr>
        <w:top w:val="none" w:sz="0" w:space="0" w:color="auto"/>
        <w:left w:val="none" w:sz="0" w:space="0" w:color="auto"/>
        <w:bottom w:val="none" w:sz="0" w:space="0" w:color="auto"/>
        <w:right w:val="none" w:sz="0" w:space="0" w:color="auto"/>
      </w:divBdr>
    </w:div>
    <w:div w:id="282268852">
      <w:bodyDiv w:val="1"/>
      <w:marLeft w:val="0"/>
      <w:marRight w:val="0"/>
      <w:marTop w:val="0"/>
      <w:marBottom w:val="0"/>
      <w:divBdr>
        <w:top w:val="none" w:sz="0" w:space="0" w:color="auto"/>
        <w:left w:val="none" w:sz="0" w:space="0" w:color="auto"/>
        <w:bottom w:val="none" w:sz="0" w:space="0" w:color="auto"/>
        <w:right w:val="none" w:sz="0" w:space="0" w:color="auto"/>
      </w:divBdr>
    </w:div>
    <w:div w:id="393623576">
      <w:bodyDiv w:val="1"/>
      <w:marLeft w:val="0"/>
      <w:marRight w:val="0"/>
      <w:marTop w:val="0"/>
      <w:marBottom w:val="0"/>
      <w:divBdr>
        <w:top w:val="none" w:sz="0" w:space="0" w:color="auto"/>
        <w:left w:val="none" w:sz="0" w:space="0" w:color="auto"/>
        <w:bottom w:val="none" w:sz="0" w:space="0" w:color="auto"/>
        <w:right w:val="none" w:sz="0" w:space="0" w:color="auto"/>
      </w:divBdr>
    </w:div>
    <w:div w:id="424612384">
      <w:bodyDiv w:val="1"/>
      <w:marLeft w:val="0"/>
      <w:marRight w:val="0"/>
      <w:marTop w:val="0"/>
      <w:marBottom w:val="0"/>
      <w:divBdr>
        <w:top w:val="none" w:sz="0" w:space="0" w:color="auto"/>
        <w:left w:val="none" w:sz="0" w:space="0" w:color="auto"/>
        <w:bottom w:val="none" w:sz="0" w:space="0" w:color="auto"/>
        <w:right w:val="none" w:sz="0" w:space="0" w:color="auto"/>
      </w:divBdr>
    </w:div>
    <w:div w:id="1129784892">
      <w:bodyDiv w:val="1"/>
      <w:marLeft w:val="0"/>
      <w:marRight w:val="0"/>
      <w:marTop w:val="0"/>
      <w:marBottom w:val="0"/>
      <w:divBdr>
        <w:top w:val="none" w:sz="0" w:space="0" w:color="auto"/>
        <w:left w:val="none" w:sz="0" w:space="0" w:color="auto"/>
        <w:bottom w:val="none" w:sz="0" w:space="0" w:color="auto"/>
        <w:right w:val="none" w:sz="0" w:space="0" w:color="auto"/>
      </w:divBdr>
    </w:div>
    <w:div w:id="1157111856">
      <w:bodyDiv w:val="1"/>
      <w:marLeft w:val="0"/>
      <w:marRight w:val="0"/>
      <w:marTop w:val="0"/>
      <w:marBottom w:val="0"/>
      <w:divBdr>
        <w:top w:val="none" w:sz="0" w:space="0" w:color="auto"/>
        <w:left w:val="none" w:sz="0" w:space="0" w:color="auto"/>
        <w:bottom w:val="none" w:sz="0" w:space="0" w:color="auto"/>
        <w:right w:val="none" w:sz="0" w:space="0" w:color="auto"/>
      </w:divBdr>
    </w:div>
    <w:div w:id="1364020842">
      <w:bodyDiv w:val="1"/>
      <w:marLeft w:val="0"/>
      <w:marRight w:val="0"/>
      <w:marTop w:val="0"/>
      <w:marBottom w:val="0"/>
      <w:divBdr>
        <w:top w:val="none" w:sz="0" w:space="0" w:color="auto"/>
        <w:left w:val="none" w:sz="0" w:space="0" w:color="auto"/>
        <w:bottom w:val="none" w:sz="0" w:space="0" w:color="auto"/>
        <w:right w:val="none" w:sz="0" w:space="0" w:color="auto"/>
      </w:divBdr>
    </w:div>
    <w:div w:id="20370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885</ap:Words>
  <ap:Characters>4872</ap:Characters>
  <ap:DocSecurity>0</ap:DocSecurity>
  <ap:Lines>40</ap:Lines>
  <ap:Paragraphs>11</ap:Paragraphs>
  <ap:ScaleCrop>false</ap:ScaleCrop>
  <ap:LinksUpToDate>false</ap:LinksUpToDate>
  <ap:CharactersWithSpaces>5746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2025-06-02T14:53:00.0000000Z</dcterms:created>
  <dcterms:modified xsi:type="dcterms:W3CDTF">2025-06-02T14:53:00.0000000Z</dcterms:modified>
  <version/>
  <category/>
</coreProperties>
</file>