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562" w:rsidP="000D1562" w:rsidRDefault="00A6315D" w14:paraId="78311B15" w14:textId="1DB3A12B">
      <w:pPr>
        <w:pStyle w:val="Duidelijkcitaat"/>
      </w:pPr>
      <w:r w:rsidRPr="00A6315D">
        <w:rPr>
          <w:b/>
          <w:bCs/>
          <w:i w:val="0"/>
          <w:iCs w:val="0"/>
          <w:color w:val="auto"/>
        </w:rPr>
        <w:t>Stuk 29A</w:t>
      </w:r>
      <w:r w:rsidRPr="00A6315D">
        <w:rPr>
          <w:color w:val="auto"/>
        </w:rPr>
        <w:t xml:space="preserve"> </w:t>
      </w:r>
      <w:r w:rsidR="000D1562">
        <w:t xml:space="preserve">Addendum op bespreekpuntennotitie </w:t>
      </w:r>
      <w:r w:rsidR="000D1562">
        <w:br/>
        <w:t xml:space="preserve">BWO Mobiliteit </w:t>
      </w:r>
      <w:r w:rsidR="00E65BBD">
        <w:t>5</w:t>
      </w:r>
      <w:r w:rsidR="000D1562">
        <w:t xml:space="preserve"> april</w:t>
      </w:r>
    </w:p>
    <w:p w:rsidR="000D1562" w:rsidP="000D1562" w:rsidRDefault="000D1562" w14:paraId="49AFE2D1" w14:textId="7A804D00">
      <w:pPr>
        <w:pStyle w:val="Lijstalinea"/>
        <w:numPr>
          <w:ilvl w:val="0"/>
          <w:numId w:val="1"/>
        </w:numPr>
        <w:rPr>
          <w:rFonts w:ascii="Verdana" w:hAnsi="Verdana"/>
          <w:b/>
          <w:bCs/>
          <w:sz w:val="18"/>
          <w:szCs w:val="18"/>
        </w:rPr>
      </w:pPr>
      <w:r w:rsidRPr="000D1562">
        <w:rPr>
          <w:rFonts w:ascii="Verdana" w:hAnsi="Verdana"/>
          <w:b/>
          <w:bCs/>
          <w:sz w:val="18"/>
          <w:szCs w:val="18"/>
        </w:rPr>
        <w:t>Nadere toelichting normering lease-markt</w:t>
      </w:r>
    </w:p>
    <w:p w:rsidRPr="00E32F2B" w:rsidR="000D1562" w:rsidP="000D1562" w:rsidRDefault="000D1562" w14:paraId="3E49EC1A" w14:textId="21AA6615">
      <w:pPr>
        <w:rPr>
          <w:rFonts w:ascii="Verdana" w:hAnsi="Verdana"/>
          <w:iCs/>
          <w:sz w:val="18"/>
          <w:szCs w:val="18"/>
        </w:rPr>
      </w:pPr>
      <w:r w:rsidRPr="00E32F2B">
        <w:rPr>
          <w:rFonts w:ascii="Verdana" w:hAnsi="Verdana"/>
          <w:iCs/>
          <w:sz w:val="18"/>
          <w:szCs w:val="18"/>
        </w:rPr>
        <w:t>Maatregel ziet toe op de invoering van de normering leasemarkt via de loonbelasting vanaf 2027.</w:t>
      </w:r>
      <w:r w:rsidR="003C582A">
        <w:rPr>
          <w:rFonts w:ascii="Verdana" w:hAnsi="Verdana"/>
          <w:iCs/>
          <w:sz w:val="18"/>
          <w:szCs w:val="18"/>
        </w:rPr>
        <w:t xml:space="preserve"> </w:t>
      </w:r>
      <w:r w:rsidRPr="00E32F2B">
        <w:rPr>
          <w:rFonts w:ascii="Verdana" w:hAnsi="Verdana"/>
          <w:iCs/>
          <w:sz w:val="18"/>
          <w:szCs w:val="18"/>
        </w:rPr>
        <w:t>Dit wordt opgenomen in het Belastingplan 2026 om duidelijkheid aan markt te geven en vanwege verschillende uitvoeringstechnische redenen. De derving die ontstaat door invoering van deze maatregel wordt gefinancierd buiten het autodomein. Hieronder is deze financiële reeks weergegeven.</w:t>
      </w:r>
    </w:p>
    <w:tbl>
      <w:tblPr>
        <w:tblStyle w:val="Rastertabel4-Accent4"/>
        <w:tblW w:w="8803" w:type="dxa"/>
        <w:tblLook w:val="04A0" w:firstRow="1" w:lastRow="0" w:firstColumn="1" w:lastColumn="0" w:noHBand="0" w:noVBand="1"/>
      </w:tblPr>
      <w:tblGrid>
        <w:gridCol w:w="1748"/>
        <w:gridCol w:w="1016"/>
        <w:gridCol w:w="1016"/>
        <w:gridCol w:w="1016"/>
        <w:gridCol w:w="1016"/>
        <w:gridCol w:w="1397"/>
        <w:gridCol w:w="1594"/>
      </w:tblGrid>
      <w:tr w:rsidRPr="00D00F6D" w:rsidR="004F75BD" w:rsidTr="003B1277" w14:paraId="73119FBE"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48" w:type="dxa"/>
            <w:noWrap/>
            <w:vAlign w:val="center"/>
            <w:hideMark/>
          </w:tcPr>
          <w:p w:rsidRPr="00D00F6D" w:rsidR="004F75BD" w:rsidP="00D00F6D" w:rsidRDefault="004F75BD" w14:paraId="3EDE4A72" w14:textId="77777777">
            <w:pPr>
              <w:jc w:val="right"/>
              <w:rPr>
                <w:rFonts w:ascii="Verdana" w:hAnsi="Verdana" w:eastAsia="Times New Roman" w:cs="Calibri"/>
                <w:color w:val="000000"/>
                <w:kern w:val="0"/>
                <w:sz w:val="16"/>
                <w:szCs w:val="16"/>
                <w:lang w:eastAsia="nl-NL"/>
              </w:rPr>
            </w:pPr>
          </w:p>
        </w:tc>
        <w:tc>
          <w:tcPr>
            <w:tcW w:w="1016" w:type="dxa"/>
            <w:noWrap/>
            <w:vAlign w:val="center"/>
            <w:hideMark/>
          </w:tcPr>
          <w:p w:rsidRPr="004F75BD" w:rsidR="004F75BD" w:rsidP="00D00F6D" w:rsidRDefault="004F75BD" w14:paraId="70DABDEB"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16"/>
                <w:szCs w:val="16"/>
                <w:lang w:eastAsia="nl-NL"/>
              </w:rPr>
            </w:pPr>
            <w:r w:rsidRPr="004F75BD">
              <w:rPr>
                <w:rFonts w:ascii="Verdana" w:hAnsi="Verdana" w:eastAsia="Times New Roman" w:cs="Calibri"/>
                <w:kern w:val="0"/>
                <w:sz w:val="16"/>
                <w:szCs w:val="16"/>
                <w:lang w:eastAsia="nl-NL"/>
              </w:rPr>
              <w:t>2026</w:t>
            </w:r>
          </w:p>
        </w:tc>
        <w:tc>
          <w:tcPr>
            <w:tcW w:w="1016" w:type="dxa"/>
            <w:noWrap/>
            <w:vAlign w:val="center"/>
            <w:hideMark/>
          </w:tcPr>
          <w:p w:rsidRPr="004F75BD" w:rsidR="004F75BD" w:rsidP="00D00F6D" w:rsidRDefault="004F75BD" w14:paraId="12B4DDA7"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16"/>
                <w:szCs w:val="16"/>
                <w:lang w:eastAsia="nl-NL"/>
              </w:rPr>
            </w:pPr>
            <w:r w:rsidRPr="004F75BD">
              <w:rPr>
                <w:rFonts w:ascii="Verdana" w:hAnsi="Verdana" w:eastAsia="Times New Roman" w:cs="Calibri"/>
                <w:kern w:val="0"/>
                <w:sz w:val="16"/>
                <w:szCs w:val="16"/>
                <w:lang w:eastAsia="nl-NL"/>
              </w:rPr>
              <w:t>2027</w:t>
            </w:r>
          </w:p>
        </w:tc>
        <w:tc>
          <w:tcPr>
            <w:tcW w:w="1016" w:type="dxa"/>
            <w:noWrap/>
            <w:vAlign w:val="center"/>
            <w:hideMark/>
          </w:tcPr>
          <w:p w:rsidRPr="004F75BD" w:rsidR="004F75BD" w:rsidP="00D00F6D" w:rsidRDefault="004F75BD" w14:paraId="3FA81E1E"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16"/>
                <w:szCs w:val="16"/>
                <w:lang w:eastAsia="nl-NL"/>
              </w:rPr>
            </w:pPr>
            <w:r w:rsidRPr="004F75BD">
              <w:rPr>
                <w:rFonts w:ascii="Verdana" w:hAnsi="Verdana" w:eastAsia="Times New Roman" w:cs="Calibri"/>
                <w:kern w:val="0"/>
                <w:sz w:val="16"/>
                <w:szCs w:val="16"/>
                <w:lang w:eastAsia="nl-NL"/>
              </w:rPr>
              <w:t>2028</w:t>
            </w:r>
          </w:p>
        </w:tc>
        <w:tc>
          <w:tcPr>
            <w:tcW w:w="1016" w:type="dxa"/>
            <w:noWrap/>
            <w:vAlign w:val="center"/>
            <w:hideMark/>
          </w:tcPr>
          <w:p w:rsidRPr="004F75BD" w:rsidR="004F75BD" w:rsidP="00D00F6D" w:rsidRDefault="004F75BD" w14:paraId="2F98458F"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16"/>
                <w:szCs w:val="16"/>
                <w:lang w:eastAsia="nl-NL"/>
              </w:rPr>
            </w:pPr>
            <w:r w:rsidRPr="004F75BD">
              <w:rPr>
                <w:rFonts w:ascii="Verdana" w:hAnsi="Verdana" w:eastAsia="Times New Roman" w:cs="Calibri"/>
                <w:kern w:val="0"/>
                <w:sz w:val="16"/>
                <w:szCs w:val="16"/>
                <w:lang w:eastAsia="nl-NL"/>
              </w:rPr>
              <w:t>2029</w:t>
            </w:r>
          </w:p>
        </w:tc>
        <w:tc>
          <w:tcPr>
            <w:tcW w:w="1397" w:type="dxa"/>
            <w:vAlign w:val="center"/>
          </w:tcPr>
          <w:p w:rsidRPr="004F75BD" w:rsidR="004F75BD" w:rsidP="00D00F6D" w:rsidRDefault="004F75BD" w14:paraId="7FB13E8F"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16"/>
                <w:szCs w:val="16"/>
                <w:lang w:eastAsia="nl-NL"/>
              </w:rPr>
            </w:pPr>
            <w:r w:rsidRPr="004F75BD">
              <w:rPr>
                <w:rFonts w:ascii="Verdana" w:hAnsi="Verdana" w:eastAsia="Times New Roman" w:cs="Calibri"/>
                <w:kern w:val="0"/>
                <w:sz w:val="16"/>
                <w:szCs w:val="16"/>
                <w:lang w:eastAsia="nl-NL"/>
              </w:rPr>
              <w:t>2030</w:t>
            </w:r>
          </w:p>
        </w:tc>
        <w:tc>
          <w:tcPr>
            <w:tcW w:w="1594" w:type="dxa"/>
            <w:noWrap/>
            <w:vAlign w:val="center"/>
            <w:hideMark/>
          </w:tcPr>
          <w:p w:rsidRPr="004F75BD" w:rsidR="004F75BD" w:rsidP="00D00F6D" w:rsidRDefault="004F75BD" w14:paraId="4DB9FC51"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kern w:val="0"/>
                <w:sz w:val="16"/>
                <w:szCs w:val="16"/>
                <w:lang w:eastAsia="nl-NL"/>
              </w:rPr>
            </w:pPr>
            <w:proofErr w:type="spellStart"/>
            <w:r w:rsidRPr="004F75BD">
              <w:rPr>
                <w:rFonts w:ascii="Verdana" w:hAnsi="Verdana" w:eastAsia="Times New Roman" w:cs="Calibri"/>
                <w:kern w:val="0"/>
                <w:sz w:val="16"/>
                <w:szCs w:val="16"/>
                <w:lang w:eastAsia="nl-NL"/>
              </w:rPr>
              <w:t>Struc</w:t>
            </w:r>
            <w:proofErr w:type="spellEnd"/>
          </w:p>
        </w:tc>
      </w:tr>
      <w:tr w:rsidRPr="00D00F6D" w:rsidR="004F75BD" w:rsidTr="003B1277" w14:paraId="0120FDF2"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48" w:type="dxa"/>
            <w:noWrap/>
            <w:vAlign w:val="center"/>
            <w:hideMark/>
          </w:tcPr>
          <w:p w:rsidRPr="00D00F6D" w:rsidR="004F75BD" w:rsidP="00D00F6D" w:rsidRDefault="004F75BD" w14:paraId="062A2095" w14:textId="77777777">
            <w:pPr>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Invoering normering lease 2027</w:t>
            </w:r>
          </w:p>
        </w:tc>
        <w:tc>
          <w:tcPr>
            <w:tcW w:w="1016" w:type="dxa"/>
            <w:noWrap/>
            <w:vAlign w:val="center"/>
            <w:hideMark/>
          </w:tcPr>
          <w:p w:rsidRPr="00D00F6D" w:rsidR="004F75BD" w:rsidP="00D00F6D" w:rsidRDefault="004F75BD" w14:paraId="19309E9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164</w:t>
            </w:r>
          </w:p>
        </w:tc>
        <w:tc>
          <w:tcPr>
            <w:tcW w:w="1016" w:type="dxa"/>
            <w:noWrap/>
            <w:vAlign w:val="center"/>
            <w:hideMark/>
          </w:tcPr>
          <w:p w:rsidRPr="00D00F6D" w:rsidR="004F75BD" w:rsidP="00D00F6D" w:rsidRDefault="004F75BD" w14:paraId="7941C67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-262</w:t>
            </w:r>
          </w:p>
        </w:tc>
        <w:tc>
          <w:tcPr>
            <w:tcW w:w="1016" w:type="dxa"/>
            <w:noWrap/>
            <w:vAlign w:val="center"/>
            <w:hideMark/>
          </w:tcPr>
          <w:p w:rsidRPr="00D00F6D" w:rsidR="004F75BD" w:rsidP="00D00F6D" w:rsidRDefault="004F75BD" w14:paraId="6B68F1B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-222</w:t>
            </w:r>
          </w:p>
        </w:tc>
        <w:tc>
          <w:tcPr>
            <w:tcW w:w="1016" w:type="dxa"/>
            <w:noWrap/>
            <w:vAlign w:val="center"/>
            <w:hideMark/>
          </w:tcPr>
          <w:p w:rsidRPr="00D00F6D" w:rsidR="004F75BD" w:rsidP="00D00F6D" w:rsidRDefault="004F75BD" w14:paraId="340D015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-196</w:t>
            </w:r>
          </w:p>
        </w:tc>
        <w:tc>
          <w:tcPr>
            <w:tcW w:w="1397" w:type="dxa"/>
            <w:vAlign w:val="center"/>
          </w:tcPr>
          <w:p w:rsidRPr="00D00F6D" w:rsidR="004F75BD" w:rsidP="00D00F6D" w:rsidRDefault="004F75BD" w14:paraId="71FA6CE7"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-126</w:t>
            </w:r>
          </w:p>
        </w:tc>
        <w:tc>
          <w:tcPr>
            <w:tcW w:w="1594" w:type="dxa"/>
            <w:noWrap/>
            <w:vAlign w:val="center"/>
            <w:hideMark/>
          </w:tcPr>
          <w:p w:rsidRPr="00D00F6D" w:rsidR="004F75BD" w:rsidP="00D00F6D" w:rsidRDefault="004F75BD" w14:paraId="2F30E07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-58</w:t>
            </w:r>
          </w:p>
        </w:tc>
      </w:tr>
      <w:tr w:rsidRPr="00D00F6D" w:rsidR="004F75BD" w:rsidTr="003B1277" w14:paraId="45291EE8" w14:textId="77777777">
        <w:trPr>
          <w:trHeight w:val="290"/>
        </w:trPr>
        <w:tc>
          <w:tcPr>
            <w:cnfStyle w:val="001000000000" w:firstRow="0" w:lastRow="0" w:firstColumn="1" w:lastColumn="0" w:oddVBand="0" w:evenVBand="0" w:oddHBand="0" w:evenHBand="0" w:firstRowFirstColumn="0" w:firstRowLastColumn="0" w:lastRowFirstColumn="0" w:lastRowLastColumn="0"/>
            <w:tcW w:w="1748" w:type="dxa"/>
            <w:noWrap/>
            <w:vAlign w:val="center"/>
            <w:hideMark/>
          </w:tcPr>
          <w:p w:rsidRPr="00D00F6D" w:rsidR="004F75BD" w:rsidP="00D00F6D" w:rsidRDefault="004F75BD" w14:paraId="69BADAEB" w14:textId="77777777">
            <w:pPr>
              <w:rPr>
                <w:rFonts w:ascii="Verdana" w:hAnsi="Verdana" w:eastAsia="Times New Roman" w:cs="Calibri"/>
                <w:i/>
                <w:iCs/>
                <w:color w:val="000000"/>
                <w:kern w:val="0"/>
                <w:sz w:val="16"/>
                <w:szCs w:val="16"/>
                <w:lang w:eastAsia="nl-NL"/>
              </w:rPr>
            </w:pPr>
            <w:r w:rsidRPr="00D00F6D">
              <w:rPr>
                <w:rFonts w:ascii="Verdana" w:hAnsi="Verdana" w:eastAsia="Times New Roman" w:cs="Calibri"/>
                <w:i/>
                <w:iCs/>
                <w:color w:val="000000"/>
                <w:kern w:val="0"/>
                <w:sz w:val="16"/>
                <w:szCs w:val="16"/>
                <w:lang w:eastAsia="nl-NL"/>
              </w:rPr>
              <w:t>BOL</w:t>
            </w:r>
          </w:p>
        </w:tc>
        <w:tc>
          <w:tcPr>
            <w:tcW w:w="1016" w:type="dxa"/>
            <w:noWrap/>
            <w:vAlign w:val="center"/>
            <w:hideMark/>
          </w:tcPr>
          <w:p w:rsidRPr="00D00F6D" w:rsidR="004F75BD" w:rsidP="00D00F6D" w:rsidRDefault="004F75BD" w14:paraId="406D577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55</w:t>
            </w:r>
          </w:p>
        </w:tc>
        <w:tc>
          <w:tcPr>
            <w:tcW w:w="1016" w:type="dxa"/>
            <w:noWrap/>
            <w:vAlign w:val="center"/>
            <w:hideMark/>
          </w:tcPr>
          <w:p w:rsidRPr="00D00F6D" w:rsidR="004F75BD" w:rsidP="00D00F6D" w:rsidRDefault="004F75BD" w14:paraId="3DC068D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90</w:t>
            </w:r>
          </w:p>
        </w:tc>
        <w:tc>
          <w:tcPr>
            <w:tcW w:w="1016" w:type="dxa"/>
            <w:noWrap/>
            <w:vAlign w:val="center"/>
            <w:hideMark/>
          </w:tcPr>
          <w:p w:rsidRPr="00D00F6D" w:rsidR="004F75BD" w:rsidP="00D00F6D" w:rsidRDefault="004F75BD" w14:paraId="1982AAF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90</w:t>
            </w:r>
          </w:p>
        </w:tc>
        <w:tc>
          <w:tcPr>
            <w:tcW w:w="1016" w:type="dxa"/>
            <w:noWrap/>
            <w:vAlign w:val="center"/>
            <w:hideMark/>
          </w:tcPr>
          <w:p w:rsidRPr="00D00F6D" w:rsidR="004F75BD" w:rsidP="00D00F6D" w:rsidRDefault="004F75BD" w14:paraId="44E59BA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90</w:t>
            </w:r>
          </w:p>
        </w:tc>
        <w:tc>
          <w:tcPr>
            <w:tcW w:w="1397" w:type="dxa"/>
            <w:vAlign w:val="center"/>
          </w:tcPr>
          <w:p w:rsidRPr="00D00F6D" w:rsidR="004F75BD" w:rsidP="00D00F6D" w:rsidRDefault="004F75BD" w14:paraId="3791FC7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90</w:t>
            </w:r>
          </w:p>
        </w:tc>
        <w:tc>
          <w:tcPr>
            <w:tcW w:w="1594" w:type="dxa"/>
            <w:noWrap/>
            <w:vAlign w:val="center"/>
            <w:hideMark/>
          </w:tcPr>
          <w:p w:rsidRPr="00D00F6D" w:rsidR="004F75BD" w:rsidP="00D00F6D" w:rsidRDefault="004F75BD" w14:paraId="768E1E3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90</w:t>
            </w:r>
          </w:p>
        </w:tc>
      </w:tr>
      <w:tr w:rsidRPr="00D00F6D" w:rsidR="004F75BD" w:rsidTr="003B1277" w14:paraId="680C1507"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48" w:type="dxa"/>
            <w:noWrap/>
            <w:vAlign w:val="center"/>
            <w:hideMark/>
          </w:tcPr>
          <w:p w:rsidRPr="00D00F6D" w:rsidR="004F75BD" w:rsidP="00D00F6D" w:rsidRDefault="004F75BD" w14:paraId="559393B4" w14:textId="77777777">
            <w:pPr>
              <w:rPr>
                <w:rFonts w:ascii="Verdana" w:hAnsi="Verdana" w:eastAsia="Times New Roman" w:cs="Calibri"/>
                <w:i/>
                <w:iCs/>
                <w:color w:val="000000"/>
                <w:kern w:val="0"/>
                <w:sz w:val="16"/>
                <w:szCs w:val="16"/>
                <w:lang w:eastAsia="nl-NL"/>
              </w:rPr>
            </w:pPr>
            <w:r w:rsidRPr="00D00F6D">
              <w:rPr>
                <w:rFonts w:ascii="Verdana" w:hAnsi="Verdana" w:eastAsia="Times New Roman" w:cs="Calibri"/>
                <w:i/>
                <w:iCs/>
                <w:color w:val="000000"/>
                <w:kern w:val="0"/>
                <w:sz w:val="16"/>
                <w:szCs w:val="16"/>
                <w:lang w:eastAsia="nl-NL"/>
              </w:rPr>
              <w:t xml:space="preserve">ETS2 </w:t>
            </w:r>
            <w:proofErr w:type="spellStart"/>
            <w:r w:rsidRPr="00D00F6D">
              <w:rPr>
                <w:rFonts w:ascii="Verdana" w:hAnsi="Verdana" w:eastAsia="Times New Roman" w:cs="Calibri"/>
                <w:i/>
                <w:iCs/>
                <w:color w:val="000000"/>
                <w:kern w:val="0"/>
                <w:sz w:val="16"/>
                <w:szCs w:val="16"/>
                <w:lang w:eastAsia="nl-NL"/>
              </w:rPr>
              <w:t>opt</w:t>
            </w:r>
            <w:proofErr w:type="spellEnd"/>
            <w:r w:rsidRPr="00D00F6D">
              <w:rPr>
                <w:rFonts w:ascii="Verdana" w:hAnsi="Verdana" w:eastAsia="Times New Roman" w:cs="Calibri"/>
                <w:i/>
                <w:iCs/>
                <w:color w:val="000000"/>
                <w:kern w:val="0"/>
                <w:sz w:val="16"/>
                <w:szCs w:val="16"/>
                <w:lang w:eastAsia="nl-NL"/>
              </w:rPr>
              <w:t>-in middelen</w:t>
            </w:r>
          </w:p>
        </w:tc>
        <w:tc>
          <w:tcPr>
            <w:tcW w:w="1016" w:type="dxa"/>
            <w:noWrap/>
            <w:vAlign w:val="center"/>
            <w:hideMark/>
          </w:tcPr>
          <w:p w:rsidRPr="00D00F6D" w:rsidR="004F75BD" w:rsidP="00D00F6D" w:rsidRDefault="004F75BD" w14:paraId="19965009"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i/>
                <w:iCs/>
                <w:color w:val="000000"/>
                <w:kern w:val="0"/>
                <w:sz w:val="16"/>
                <w:szCs w:val="16"/>
                <w:lang w:eastAsia="nl-NL"/>
              </w:rPr>
            </w:pPr>
            <w:r w:rsidRPr="00D00F6D">
              <w:rPr>
                <w:rFonts w:ascii="Verdana" w:hAnsi="Verdana" w:eastAsia="Times New Roman" w:cs="Calibri"/>
                <w:i/>
                <w:iCs/>
                <w:color w:val="000000"/>
                <w:kern w:val="0"/>
                <w:sz w:val="16"/>
                <w:szCs w:val="16"/>
                <w:lang w:eastAsia="nl-NL"/>
              </w:rPr>
              <w:t>0</w:t>
            </w:r>
          </w:p>
        </w:tc>
        <w:tc>
          <w:tcPr>
            <w:tcW w:w="1016" w:type="dxa"/>
            <w:noWrap/>
            <w:vAlign w:val="center"/>
            <w:hideMark/>
          </w:tcPr>
          <w:p w:rsidRPr="00D00F6D" w:rsidR="004F75BD" w:rsidP="00D00F6D" w:rsidRDefault="004F75BD" w14:paraId="36893579"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kern w:val="0"/>
                <w:sz w:val="16"/>
                <w:szCs w:val="16"/>
                <w:lang w:eastAsia="nl-NL"/>
              </w:rPr>
            </w:pPr>
            <w:r w:rsidRPr="00D00F6D">
              <w:rPr>
                <w:rFonts w:ascii="Verdana" w:hAnsi="Verdana" w:eastAsia="Times New Roman" w:cs="Times New Roman"/>
                <w:kern w:val="0"/>
                <w:sz w:val="16"/>
                <w:szCs w:val="16"/>
                <w:lang w:eastAsia="nl-NL"/>
              </w:rPr>
              <w:t>0</w:t>
            </w:r>
          </w:p>
        </w:tc>
        <w:tc>
          <w:tcPr>
            <w:tcW w:w="1016" w:type="dxa"/>
            <w:noWrap/>
            <w:vAlign w:val="center"/>
            <w:hideMark/>
          </w:tcPr>
          <w:p w:rsidRPr="00D00F6D" w:rsidR="004F75BD" w:rsidP="00D00F6D" w:rsidRDefault="004F75BD" w14:paraId="48D5326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kern w:val="0"/>
                <w:sz w:val="16"/>
                <w:szCs w:val="16"/>
                <w:lang w:eastAsia="nl-NL"/>
              </w:rPr>
            </w:pPr>
            <w:r w:rsidRPr="00D00F6D">
              <w:rPr>
                <w:rFonts w:ascii="Verdana" w:hAnsi="Verdana" w:eastAsia="Times New Roman" w:cs="Times New Roman"/>
                <w:kern w:val="0"/>
                <w:sz w:val="16"/>
                <w:szCs w:val="16"/>
                <w:lang w:eastAsia="nl-NL"/>
              </w:rPr>
              <w:t>0</w:t>
            </w:r>
          </w:p>
        </w:tc>
        <w:tc>
          <w:tcPr>
            <w:tcW w:w="1016" w:type="dxa"/>
            <w:noWrap/>
            <w:vAlign w:val="center"/>
            <w:hideMark/>
          </w:tcPr>
          <w:p w:rsidRPr="00D00F6D" w:rsidR="004F75BD" w:rsidP="00D00F6D" w:rsidRDefault="004F75BD" w14:paraId="35FAA1C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kern w:val="0"/>
                <w:sz w:val="16"/>
                <w:szCs w:val="16"/>
                <w:lang w:eastAsia="nl-NL"/>
              </w:rPr>
            </w:pPr>
            <w:r w:rsidRPr="00D00F6D">
              <w:rPr>
                <w:rFonts w:ascii="Verdana" w:hAnsi="Verdana" w:eastAsia="Times New Roman" w:cs="Times New Roman"/>
                <w:kern w:val="0"/>
                <w:sz w:val="16"/>
                <w:szCs w:val="16"/>
                <w:lang w:eastAsia="nl-NL"/>
              </w:rPr>
              <w:t>0</w:t>
            </w:r>
          </w:p>
        </w:tc>
        <w:tc>
          <w:tcPr>
            <w:tcW w:w="1397" w:type="dxa"/>
            <w:vAlign w:val="center"/>
          </w:tcPr>
          <w:p w:rsidRPr="00D00F6D" w:rsidR="004F75BD" w:rsidP="00D00F6D" w:rsidRDefault="004F75BD" w14:paraId="6B1C663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142</w:t>
            </w:r>
          </w:p>
        </w:tc>
        <w:tc>
          <w:tcPr>
            <w:tcW w:w="1594" w:type="dxa"/>
            <w:noWrap/>
            <w:vAlign w:val="center"/>
            <w:hideMark/>
          </w:tcPr>
          <w:p w:rsidRPr="00D00F6D" w:rsidR="004F75BD" w:rsidP="00D00F6D" w:rsidRDefault="004F75BD" w14:paraId="3B8B3F67"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0</w:t>
            </w:r>
          </w:p>
        </w:tc>
      </w:tr>
      <w:tr w:rsidRPr="00D00F6D" w:rsidR="004F75BD" w:rsidTr="003B1277" w14:paraId="06CA54D0" w14:textId="77777777">
        <w:trPr>
          <w:trHeight w:val="290"/>
        </w:trPr>
        <w:tc>
          <w:tcPr>
            <w:cnfStyle w:val="001000000000" w:firstRow="0" w:lastRow="0" w:firstColumn="1" w:lastColumn="0" w:oddVBand="0" w:evenVBand="0" w:oddHBand="0" w:evenHBand="0" w:firstRowFirstColumn="0" w:firstRowLastColumn="0" w:lastRowFirstColumn="0" w:lastRowLastColumn="0"/>
            <w:tcW w:w="1748" w:type="dxa"/>
            <w:noWrap/>
            <w:vAlign w:val="center"/>
          </w:tcPr>
          <w:p w:rsidRPr="00D00F6D" w:rsidR="004F75BD" w:rsidP="00D00F6D" w:rsidRDefault="004F75BD" w14:paraId="328F99BE" w14:textId="77777777">
            <w:pPr>
              <w:rPr>
                <w:rFonts w:ascii="Verdana" w:hAnsi="Verdana" w:eastAsia="Times New Roman" w:cs="Calibri"/>
                <w:i/>
                <w:iCs/>
                <w:color w:val="000000"/>
                <w:kern w:val="0"/>
                <w:sz w:val="16"/>
                <w:szCs w:val="16"/>
                <w:lang w:eastAsia="nl-NL"/>
              </w:rPr>
            </w:pPr>
            <w:r w:rsidRPr="00D00F6D">
              <w:rPr>
                <w:rFonts w:ascii="Verdana" w:hAnsi="Verdana" w:eastAsia="Times New Roman" w:cs="Calibri"/>
                <w:i/>
                <w:iCs/>
                <w:color w:val="000000"/>
                <w:kern w:val="0"/>
                <w:sz w:val="16"/>
                <w:szCs w:val="16"/>
                <w:lang w:eastAsia="nl-NL"/>
              </w:rPr>
              <w:t>Inzet KF-middelen</w:t>
            </w:r>
          </w:p>
        </w:tc>
        <w:tc>
          <w:tcPr>
            <w:tcW w:w="1016" w:type="dxa"/>
            <w:noWrap/>
            <w:vAlign w:val="center"/>
          </w:tcPr>
          <w:p w:rsidRPr="00D00F6D" w:rsidR="004F75BD" w:rsidP="00D00F6D" w:rsidRDefault="004F75BD" w14:paraId="4A09CC9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i/>
                <w:iCs/>
                <w:color w:val="000000"/>
                <w:kern w:val="0"/>
                <w:sz w:val="16"/>
                <w:szCs w:val="16"/>
                <w:lang w:eastAsia="nl-NL"/>
              </w:rPr>
            </w:pPr>
            <w:r w:rsidRPr="00D00F6D">
              <w:rPr>
                <w:rFonts w:ascii="Verdana" w:hAnsi="Verdana" w:eastAsia="Times New Roman" w:cs="Calibri"/>
                <w:i/>
                <w:iCs/>
                <w:color w:val="000000"/>
                <w:kern w:val="0"/>
                <w:sz w:val="16"/>
                <w:szCs w:val="16"/>
                <w:lang w:eastAsia="nl-NL"/>
              </w:rPr>
              <w:t>0</w:t>
            </w:r>
          </w:p>
        </w:tc>
        <w:tc>
          <w:tcPr>
            <w:tcW w:w="1016" w:type="dxa"/>
            <w:noWrap/>
            <w:vAlign w:val="center"/>
          </w:tcPr>
          <w:p w:rsidRPr="00D00F6D" w:rsidR="004F75BD" w:rsidP="00D00F6D" w:rsidRDefault="004F75BD" w14:paraId="74FA8A0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kern w:val="0"/>
                <w:sz w:val="16"/>
                <w:szCs w:val="16"/>
                <w:lang w:eastAsia="nl-NL"/>
              </w:rPr>
            </w:pPr>
            <w:r w:rsidRPr="00D00F6D">
              <w:rPr>
                <w:rFonts w:ascii="Verdana" w:hAnsi="Verdana" w:eastAsia="Times New Roman" w:cs="Times New Roman"/>
                <w:kern w:val="0"/>
                <w:sz w:val="16"/>
                <w:szCs w:val="16"/>
                <w:lang w:eastAsia="nl-NL"/>
              </w:rPr>
              <w:t>45</w:t>
            </w:r>
          </w:p>
        </w:tc>
        <w:tc>
          <w:tcPr>
            <w:tcW w:w="1016" w:type="dxa"/>
            <w:noWrap/>
            <w:vAlign w:val="center"/>
          </w:tcPr>
          <w:p w:rsidRPr="00D00F6D" w:rsidR="004F75BD" w:rsidP="00D00F6D" w:rsidRDefault="004F75BD" w14:paraId="4A8E323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kern w:val="0"/>
                <w:sz w:val="16"/>
                <w:szCs w:val="16"/>
                <w:lang w:eastAsia="nl-NL"/>
              </w:rPr>
            </w:pPr>
            <w:r w:rsidRPr="00D00F6D">
              <w:rPr>
                <w:rFonts w:ascii="Verdana" w:hAnsi="Verdana" w:eastAsia="Times New Roman" w:cs="Times New Roman"/>
                <w:kern w:val="0"/>
                <w:sz w:val="16"/>
                <w:szCs w:val="16"/>
                <w:lang w:eastAsia="nl-NL"/>
              </w:rPr>
              <w:t>40</w:t>
            </w:r>
          </w:p>
        </w:tc>
        <w:tc>
          <w:tcPr>
            <w:tcW w:w="1016" w:type="dxa"/>
            <w:noWrap/>
            <w:vAlign w:val="center"/>
          </w:tcPr>
          <w:p w:rsidRPr="00D00F6D" w:rsidR="004F75BD" w:rsidP="00D00F6D" w:rsidRDefault="004F75BD" w14:paraId="4C28612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kern w:val="0"/>
                <w:sz w:val="16"/>
                <w:szCs w:val="16"/>
                <w:lang w:eastAsia="nl-NL"/>
              </w:rPr>
            </w:pPr>
            <w:r w:rsidRPr="00D00F6D">
              <w:rPr>
                <w:rFonts w:ascii="Verdana" w:hAnsi="Verdana" w:eastAsia="Times New Roman" w:cs="Times New Roman"/>
                <w:kern w:val="0"/>
                <w:sz w:val="16"/>
                <w:szCs w:val="16"/>
                <w:lang w:eastAsia="nl-NL"/>
              </w:rPr>
              <w:t>0</w:t>
            </w:r>
          </w:p>
        </w:tc>
        <w:tc>
          <w:tcPr>
            <w:tcW w:w="1397" w:type="dxa"/>
            <w:vAlign w:val="center"/>
          </w:tcPr>
          <w:p w:rsidRPr="00D00F6D" w:rsidR="004F75BD" w:rsidP="00D00F6D" w:rsidRDefault="004F75BD" w14:paraId="44252AA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0</w:t>
            </w:r>
          </w:p>
        </w:tc>
        <w:tc>
          <w:tcPr>
            <w:tcW w:w="1594" w:type="dxa"/>
            <w:noWrap/>
            <w:vAlign w:val="center"/>
          </w:tcPr>
          <w:p w:rsidRPr="00D00F6D" w:rsidR="004F75BD" w:rsidP="00D00F6D" w:rsidRDefault="004F75BD" w14:paraId="60E3308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0</w:t>
            </w:r>
          </w:p>
        </w:tc>
      </w:tr>
      <w:tr w:rsidRPr="00D00F6D" w:rsidR="004F75BD" w:rsidTr="003B1277" w14:paraId="6276FF8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48" w:type="dxa"/>
            <w:noWrap/>
            <w:vAlign w:val="center"/>
            <w:hideMark/>
          </w:tcPr>
          <w:p w:rsidRPr="00D00F6D" w:rsidR="004F75BD" w:rsidP="00D00F6D" w:rsidRDefault="004F75BD" w14:paraId="1B245CE6" w14:textId="77777777">
            <w:pPr>
              <w:rPr>
                <w:rFonts w:ascii="Verdana" w:hAnsi="Verdana" w:eastAsia="Times New Roman" w:cs="Calibri"/>
                <w:i/>
                <w:iCs/>
                <w:color w:val="000000"/>
                <w:kern w:val="0"/>
                <w:sz w:val="16"/>
                <w:szCs w:val="16"/>
                <w:lang w:eastAsia="nl-NL"/>
              </w:rPr>
            </w:pPr>
            <w:r w:rsidRPr="00D00F6D">
              <w:rPr>
                <w:rFonts w:ascii="Verdana" w:hAnsi="Verdana" w:eastAsia="Times New Roman" w:cs="Calibri"/>
                <w:i/>
                <w:iCs/>
                <w:color w:val="000000"/>
                <w:kern w:val="0"/>
                <w:sz w:val="16"/>
                <w:szCs w:val="16"/>
                <w:lang w:eastAsia="nl-NL"/>
              </w:rPr>
              <w:t>Totaal</w:t>
            </w:r>
          </w:p>
        </w:tc>
        <w:tc>
          <w:tcPr>
            <w:tcW w:w="1016" w:type="dxa"/>
            <w:noWrap/>
            <w:hideMark/>
          </w:tcPr>
          <w:p w:rsidRPr="00D00F6D" w:rsidR="004F75BD" w:rsidP="00D00F6D" w:rsidRDefault="004F75BD" w14:paraId="5D0C92E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sz w:val="16"/>
                <w:szCs w:val="16"/>
              </w:rPr>
              <w:t>219</w:t>
            </w:r>
          </w:p>
        </w:tc>
        <w:tc>
          <w:tcPr>
            <w:tcW w:w="1016" w:type="dxa"/>
            <w:noWrap/>
            <w:hideMark/>
          </w:tcPr>
          <w:p w:rsidRPr="00D00F6D" w:rsidR="004F75BD" w:rsidP="00D00F6D" w:rsidRDefault="004F75BD" w14:paraId="466CC6B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sz w:val="16"/>
                <w:szCs w:val="16"/>
              </w:rPr>
              <w:t>-127</w:t>
            </w:r>
          </w:p>
        </w:tc>
        <w:tc>
          <w:tcPr>
            <w:tcW w:w="1016" w:type="dxa"/>
            <w:noWrap/>
            <w:hideMark/>
          </w:tcPr>
          <w:p w:rsidRPr="00D00F6D" w:rsidR="004F75BD" w:rsidP="00D00F6D" w:rsidRDefault="004F75BD" w14:paraId="560F4A2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sz w:val="16"/>
                <w:szCs w:val="16"/>
              </w:rPr>
              <w:t>-92</w:t>
            </w:r>
          </w:p>
        </w:tc>
        <w:tc>
          <w:tcPr>
            <w:tcW w:w="1016" w:type="dxa"/>
            <w:noWrap/>
            <w:hideMark/>
          </w:tcPr>
          <w:p w:rsidRPr="00D00F6D" w:rsidR="004F75BD" w:rsidP="00D00F6D" w:rsidRDefault="004F75BD" w14:paraId="239D339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sz w:val="16"/>
                <w:szCs w:val="16"/>
              </w:rPr>
              <w:t>-106</w:t>
            </w:r>
          </w:p>
        </w:tc>
        <w:tc>
          <w:tcPr>
            <w:tcW w:w="1397" w:type="dxa"/>
          </w:tcPr>
          <w:p w:rsidRPr="00D00F6D" w:rsidR="004F75BD" w:rsidP="00D00F6D" w:rsidRDefault="004F75BD" w14:paraId="60D18EE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sz w:val="16"/>
                <w:szCs w:val="16"/>
              </w:rPr>
              <w:t>106</w:t>
            </w:r>
          </w:p>
        </w:tc>
        <w:tc>
          <w:tcPr>
            <w:tcW w:w="1594" w:type="dxa"/>
            <w:noWrap/>
            <w:vAlign w:val="center"/>
            <w:hideMark/>
          </w:tcPr>
          <w:p w:rsidRPr="00D00F6D" w:rsidR="004F75BD" w:rsidP="00D00F6D" w:rsidRDefault="004F75BD" w14:paraId="6265478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kern w:val="0"/>
                <w:sz w:val="16"/>
                <w:szCs w:val="16"/>
                <w:lang w:eastAsia="nl-NL"/>
              </w:rPr>
            </w:pPr>
            <w:r w:rsidRPr="00D00F6D">
              <w:rPr>
                <w:rFonts w:ascii="Verdana" w:hAnsi="Verdana" w:eastAsia="Times New Roman" w:cs="Calibri"/>
                <w:color w:val="000000"/>
                <w:kern w:val="0"/>
                <w:sz w:val="16"/>
                <w:szCs w:val="16"/>
                <w:lang w:eastAsia="nl-NL"/>
              </w:rPr>
              <w:t>-32</w:t>
            </w:r>
          </w:p>
        </w:tc>
      </w:tr>
    </w:tbl>
    <w:p w:rsidR="000D1562" w:rsidP="004F75BD" w:rsidRDefault="00F1291A" w14:paraId="73394958" w14:textId="4928ADE6">
      <w:pPr>
        <w:rPr>
          <w:rFonts w:ascii="Verdana" w:hAnsi="Verdana"/>
          <w:sz w:val="18"/>
          <w:szCs w:val="18"/>
        </w:rPr>
      </w:pPr>
      <w:r>
        <w:rPr>
          <w:rFonts w:ascii="Verdana" w:hAnsi="Verdana"/>
          <w:sz w:val="18"/>
          <w:szCs w:val="18"/>
        </w:rPr>
        <w:t xml:space="preserve">Toelichting tabel: </w:t>
      </w:r>
      <w:r w:rsidR="00E32F2B">
        <w:rPr>
          <w:rFonts w:ascii="Verdana" w:hAnsi="Verdana"/>
          <w:sz w:val="18"/>
          <w:szCs w:val="18"/>
        </w:rPr>
        <w:t xml:space="preserve">Middelen vanuit ETS2 </w:t>
      </w:r>
      <w:proofErr w:type="spellStart"/>
      <w:r w:rsidR="00E32F2B">
        <w:rPr>
          <w:rFonts w:ascii="Verdana" w:hAnsi="Verdana"/>
          <w:sz w:val="18"/>
          <w:szCs w:val="18"/>
        </w:rPr>
        <w:t>opt</w:t>
      </w:r>
      <w:proofErr w:type="spellEnd"/>
      <w:r w:rsidR="00E32F2B">
        <w:rPr>
          <w:rFonts w:ascii="Verdana" w:hAnsi="Verdana"/>
          <w:sz w:val="18"/>
          <w:szCs w:val="18"/>
        </w:rPr>
        <w:t xml:space="preserve">-in worden deels ingezet voor dekking in de periode na 2028. In de periode 2026 t/m 2028 wordt </w:t>
      </w:r>
      <w:r w:rsidR="000D1562">
        <w:rPr>
          <w:rFonts w:ascii="Verdana" w:hAnsi="Verdana"/>
          <w:sz w:val="18"/>
          <w:szCs w:val="18"/>
        </w:rPr>
        <w:t xml:space="preserve">85 miljoen </w:t>
      </w:r>
      <w:r w:rsidR="00E868CD">
        <w:rPr>
          <w:rFonts w:ascii="Verdana" w:hAnsi="Verdana"/>
          <w:sz w:val="18"/>
          <w:szCs w:val="18"/>
        </w:rPr>
        <w:t xml:space="preserve">uit het Klimaatfonds </w:t>
      </w:r>
      <w:r w:rsidR="000D1562">
        <w:rPr>
          <w:rFonts w:ascii="Verdana" w:hAnsi="Verdana"/>
          <w:sz w:val="18"/>
          <w:szCs w:val="18"/>
        </w:rPr>
        <w:t>ter beschikking gesteld</w:t>
      </w:r>
      <w:r w:rsidR="00E32F2B">
        <w:rPr>
          <w:rFonts w:ascii="Verdana" w:hAnsi="Verdana"/>
          <w:sz w:val="18"/>
          <w:szCs w:val="18"/>
        </w:rPr>
        <w:t xml:space="preserve"> om tot een budgetneutraal pakket te komen.</w:t>
      </w:r>
    </w:p>
    <w:p w:rsidRPr="000D1562" w:rsidR="003B1277" w:rsidP="003B1277" w:rsidRDefault="003B1277" w14:paraId="46F4E6B7" w14:textId="77777777">
      <w:pPr>
        <w:rPr>
          <w:rFonts w:ascii="Verdana" w:hAnsi="Verdana"/>
          <w:i/>
          <w:sz w:val="18"/>
          <w:szCs w:val="18"/>
        </w:rPr>
      </w:pPr>
      <w:r w:rsidRPr="00E32F2B">
        <w:rPr>
          <w:rFonts w:ascii="Verdana" w:hAnsi="Verdana"/>
          <w:iCs/>
          <w:sz w:val="18"/>
          <w:szCs w:val="18"/>
        </w:rPr>
        <w:t>Eind 2025 wordt een voorstel verwacht vanuit de EC voor Europese normering van de lease-markt. Dit voorstel zal zo goed mogelijk worden meegenomen. Indien hiermee richting VJN2026 blijkt dat een deel van de nationale normering hiermee kan vervallen, zal de technische dekking nader worden bezien en evt. wijzigingen in het Belastingplan 2027 worden meegenomen. Mochten er o.b.v. dit Europese voorstel geen of minder middelen nodig zijn, dan vloeien deze terug naar het Klimaatfonds</w:t>
      </w:r>
      <w:r>
        <w:rPr>
          <w:rFonts w:ascii="Verdana" w:hAnsi="Verdana"/>
          <w:iCs/>
          <w:sz w:val="18"/>
          <w:szCs w:val="18"/>
        </w:rPr>
        <w:t xml:space="preserve"> (met een max van 85 mln.)</w:t>
      </w:r>
      <w:r w:rsidRPr="00E32F2B">
        <w:rPr>
          <w:rFonts w:ascii="Verdana" w:hAnsi="Verdana"/>
          <w:iCs/>
          <w:sz w:val="18"/>
          <w:szCs w:val="18"/>
        </w:rPr>
        <w:t xml:space="preserve"> en blijven beschikbaar voor verduurzaming van de mobiliteit</w:t>
      </w:r>
      <w:r w:rsidRPr="000D1562">
        <w:rPr>
          <w:rFonts w:ascii="Verdana" w:hAnsi="Verdana"/>
          <w:i/>
          <w:sz w:val="18"/>
          <w:szCs w:val="18"/>
        </w:rPr>
        <w:t>.</w:t>
      </w:r>
    </w:p>
    <w:p w:rsidR="003B1277" w:rsidP="004F75BD" w:rsidRDefault="003B1277" w14:paraId="4A840D09" w14:textId="77777777">
      <w:pPr>
        <w:rPr>
          <w:rFonts w:ascii="Verdana" w:hAnsi="Verdana"/>
          <w:sz w:val="18"/>
          <w:szCs w:val="18"/>
        </w:rPr>
      </w:pPr>
    </w:p>
    <w:p w:rsidR="000D1562" w:rsidP="000D1562" w:rsidRDefault="000D1562" w14:paraId="1C7F8022" w14:textId="50C853DD">
      <w:pPr>
        <w:pStyle w:val="Lijstalinea"/>
        <w:numPr>
          <w:ilvl w:val="0"/>
          <w:numId w:val="1"/>
        </w:numPr>
        <w:rPr>
          <w:rFonts w:ascii="Verdana" w:hAnsi="Verdana"/>
          <w:b/>
          <w:bCs/>
          <w:sz w:val="18"/>
          <w:szCs w:val="18"/>
        </w:rPr>
      </w:pPr>
      <w:r w:rsidRPr="000D1562">
        <w:rPr>
          <w:rFonts w:ascii="Verdana" w:hAnsi="Verdana"/>
          <w:b/>
          <w:bCs/>
          <w:sz w:val="18"/>
          <w:szCs w:val="18"/>
        </w:rPr>
        <w:t xml:space="preserve">Nadere toelichting </w:t>
      </w:r>
      <w:r>
        <w:rPr>
          <w:rFonts w:ascii="Verdana" w:hAnsi="Verdana"/>
          <w:b/>
          <w:bCs/>
          <w:sz w:val="18"/>
          <w:szCs w:val="18"/>
        </w:rPr>
        <w:t>voorstellen Klimaatfonds en SCF</w:t>
      </w:r>
    </w:p>
    <w:p w:rsidRPr="00445424" w:rsidR="00AF08FF" w:rsidP="000D1562" w:rsidRDefault="000D1562" w14:paraId="58927145" w14:textId="01C1532A">
      <w:pPr>
        <w:rPr>
          <w:rFonts w:ascii="Verdana" w:hAnsi="Verdana"/>
          <w:sz w:val="18"/>
          <w:szCs w:val="18"/>
        </w:rPr>
      </w:pPr>
      <w:r w:rsidRPr="00445424">
        <w:rPr>
          <w:rFonts w:ascii="Verdana" w:hAnsi="Verdana"/>
          <w:sz w:val="18"/>
          <w:szCs w:val="18"/>
        </w:rPr>
        <w:t xml:space="preserve">In de ambtelijke beoordeling van het Klimaatfonds hebben verschillende voorstellen van </w:t>
      </w:r>
      <w:proofErr w:type="spellStart"/>
      <w:r w:rsidRPr="00445424">
        <w:rPr>
          <w:rFonts w:ascii="Verdana" w:hAnsi="Verdana"/>
          <w:sz w:val="18"/>
          <w:szCs w:val="18"/>
        </w:rPr>
        <w:t>IenW</w:t>
      </w:r>
      <w:proofErr w:type="spellEnd"/>
      <w:r w:rsidRPr="00445424">
        <w:rPr>
          <w:rFonts w:ascii="Verdana" w:hAnsi="Verdana"/>
          <w:sz w:val="18"/>
          <w:szCs w:val="18"/>
        </w:rPr>
        <w:t xml:space="preserve"> een positieve beoordeling gekregen.</w:t>
      </w:r>
      <w:r w:rsidRPr="00445424" w:rsidR="00AF08FF">
        <w:rPr>
          <w:rFonts w:ascii="Verdana" w:hAnsi="Verdana"/>
          <w:sz w:val="18"/>
          <w:szCs w:val="18"/>
        </w:rPr>
        <w:t xml:space="preserve"> </w:t>
      </w:r>
      <w:r w:rsidRPr="00445424" w:rsidR="00985898">
        <w:rPr>
          <w:rFonts w:ascii="Verdana" w:hAnsi="Verdana"/>
          <w:sz w:val="18"/>
          <w:szCs w:val="18"/>
        </w:rPr>
        <w:t xml:space="preserve">In het BWO heeft </w:t>
      </w:r>
      <w:proofErr w:type="spellStart"/>
      <w:r w:rsidRPr="00445424" w:rsidR="00985898">
        <w:rPr>
          <w:rFonts w:ascii="Verdana" w:hAnsi="Verdana"/>
          <w:sz w:val="18"/>
          <w:szCs w:val="18"/>
        </w:rPr>
        <w:t>IenW</w:t>
      </w:r>
      <w:proofErr w:type="spellEnd"/>
      <w:r w:rsidRPr="00445424" w:rsidR="00985898">
        <w:rPr>
          <w:rFonts w:ascii="Verdana" w:hAnsi="Verdana"/>
          <w:sz w:val="18"/>
          <w:szCs w:val="18"/>
        </w:rPr>
        <w:t xml:space="preserve"> verschillende voorstellen aangedragen om alsnog via het Klimaatfonds te financieren. </w:t>
      </w:r>
      <w:r w:rsidRPr="00445424" w:rsidR="00AF08FF">
        <w:rPr>
          <w:rFonts w:ascii="Verdana" w:hAnsi="Verdana"/>
          <w:sz w:val="18"/>
          <w:szCs w:val="18"/>
        </w:rPr>
        <w:t xml:space="preserve">Afhankelijk van het ambitieniveau van het maatregelenpakket in de mobiliteit kunnen daarbij </w:t>
      </w:r>
      <w:r w:rsidRPr="00445424" w:rsidR="00985898">
        <w:rPr>
          <w:rFonts w:ascii="Verdana" w:hAnsi="Verdana"/>
          <w:sz w:val="18"/>
          <w:szCs w:val="18"/>
        </w:rPr>
        <w:t xml:space="preserve">aanvullend </w:t>
      </w:r>
      <w:r w:rsidRPr="00445424" w:rsidR="00AF08FF">
        <w:rPr>
          <w:rFonts w:ascii="Verdana" w:hAnsi="Verdana"/>
          <w:sz w:val="18"/>
          <w:szCs w:val="18"/>
        </w:rPr>
        <w:t>middelen worden vrijgemaakt</w:t>
      </w:r>
      <w:r w:rsidRPr="00445424" w:rsidR="0015566E">
        <w:rPr>
          <w:rFonts w:ascii="Verdana" w:hAnsi="Verdana"/>
          <w:sz w:val="18"/>
          <w:szCs w:val="18"/>
        </w:rPr>
        <w:t xml:space="preserve"> in het Klimaatfonds</w:t>
      </w:r>
      <w:r w:rsidRPr="00445424" w:rsidR="00AF08FF">
        <w:rPr>
          <w:rFonts w:ascii="Verdana" w:hAnsi="Verdana"/>
          <w:sz w:val="18"/>
          <w:szCs w:val="18"/>
        </w:rPr>
        <w:t xml:space="preserve"> voor:</w:t>
      </w:r>
    </w:p>
    <w:p w:rsidRPr="00445424" w:rsidR="00AF08FF" w:rsidP="00AF08FF" w:rsidRDefault="00AF08FF" w14:paraId="2AC45DEB" w14:textId="0E2CD3FD">
      <w:pPr>
        <w:pStyle w:val="Lijstalinea"/>
        <w:numPr>
          <w:ilvl w:val="0"/>
          <w:numId w:val="4"/>
        </w:numPr>
        <w:rPr>
          <w:rFonts w:ascii="Verdana" w:hAnsi="Verdana"/>
          <w:sz w:val="18"/>
          <w:szCs w:val="18"/>
        </w:rPr>
      </w:pPr>
      <w:proofErr w:type="spellStart"/>
      <w:r w:rsidRPr="00445424">
        <w:rPr>
          <w:rFonts w:ascii="Verdana" w:hAnsi="Verdana"/>
          <w:sz w:val="18"/>
          <w:szCs w:val="18"/>
        </w:rPr>
        <w:t>OV-kaartjes</w:t>
      </w:r>
      <w:proofErr w:type="spellEnd"/>
      <w:r w:rsidRPr="00445424">
        <w:rPr>
          <w:rFonts w:ascii="Verdana" w:hAnsi="Verdana"/>
          <w:sz w:val="18"/>
          <w:szCs w:val="18"/>
        </w:rPr>
        <w:t xml:space="preserve"> voor mensen met laag inkomen</w:t>
      </w:r>
    </w:p>
    <w:p w:rsidRPr="00445424" w:rsidR="00E32F2B" w:rsidP="000D1562" w:rsidRDefault="00AF08FF" w14:paraId="5426400C" w14:textId="38993DC8">
      <w:pPr>
        <w:pStyle w:val="Lijstalinea"/>
        <w:numPr>
          <w:ilvl w:val="0"/>
          <w:numId w:val="4"/>
        </w:numPr>
        <w:rPr>
          <w:rFonts w:ascii="Verdana" w:hAnsi="Verdana"/>
          <w:sz w:val="18"/>
          <w:szCs w:val="18"/>
        </w:rPr>
      </w:pPr>
      <w:r w:rsidRPr="00445424">
        <w:rPr>
          <w:rFonts w:ascii="Verdana" w:hAnsi="Verdana"/>
          <w:sz w:val="18"/>
          <w:szCs w:val="18"/>
        </w:rPr>
        <w:t>Stopcontact op land</w:t>
      </w:r>
    </w:p>
    <w:p w:rsidRPr="00450E9F" w:rsidR="00450E9F" w:rsidP="00450E9F" w:rsidRDefault="00450E9F" w14:paraId="18E9DFD6" w14:textId="49A482E7">
      <w:pPr>
        <w:rPr>
          <w:rFonts w:ascii="Verdana" w:hAnsi="Verdana"/>
          <w:sz w:val="18"/>
          <w:szCs w:val="18"/>
        </w:rPr>
      </w:pPr>
      <w:r w:rsidRPr="008A18E0">
        <w:rPr>
          <w:rFonts w:ascii="Verdana" w:hAnsi="Verdana"/>
          <w:sz w:val="18"/>
          <w:szCs w:val="18"/>
        </w:rPr>
        <w:t xml:space="preserve">De verdeling van de SCF middelen </w:t>
      </w:r>
      <w:r w:rsidR="008A18E0">
        <w:rPr>
          <w:rFonts w:ascii="Verdana" w:hAnsi="Verdana"/>
          <w:sz w:val="18"/>
          <w:szCs w:val="18"/>
        </w:rPr>
        <w:t xml:space="preserve">ligt </w:t>
      </w:r>
      <w:r w:rsidRPr="008A18E0">
        <w:rPr>
          <w:rFonts w:ascii="Verdana" w:hAnsi="Verdana"/>
          <w:sz w:val="18"/>
          <w:szCs w:val="18"/>
        </w:rPr>
        <w:t xml:space="preserve">aanstaande dinsdag 8 april ter besluitvorming in de RFL voor. Voorstel is om tijdens de RFL het voorstel in te brengen om 150 mln. van de SCF middelen te reserveren voor </w:t>
      </w:r>
      <w:proofErr w:type="spellStart"/>
      <w:r w:rsidRPr="008A18E0">
        <w:rPr>
          <w:rFonts w:ascii="Verdana" w:hAnsi="Verdana"/>
          <w:sz w:val="18"/>
          <w:szCs w:val="18"/>
        </w:rPr>
        <w:t>OV-kaartjes</w:t>
      </w:r>
      <w:proofErr w:type="spellEnd"/>
      <w:r w:rsidRPr="008A18E0">
        <w:rPr>
          <w:rFonts w:ascii="Verdana" w:hAnsi="Verdana"/>
          <w:sz w:val="18"/>
          <w:szCs w:val="18"/>
        </w:rPr>
        <w:t xml:space="preserve"> voor mensen met een laag inkomen. Indien dit voorstel in de RFL akkoord wordt bevonden, dan wordt ook 150 mln. in het Klimaatfonds gereserveerd voor dit plan. Na nadere uitwerking en toetsing door Fondsbeheer/KGG en FIN </w:t>
      </w:r>
      <w:r w:rsidRPr="008A18E0" w:rsidR="001C7A46">
        <w:rPr>
          <w:rFonts w:ascii="Verdana" w:hAnsi="Verdana"/>
          <w:sz w:val="18"/>
          <w:szCs w:val="18"/>
        </w:rPr>
        <w:t>worden</w:t>
      </w:r>
      <w:r w:rsidRPr="008A18E0">
        <w:rPr>
          <w:rFonts w:ascii="Verdana" w:hAnsi="Verdana"/>
          <w:sz w:val="18"/>
          <w:szCs w:val="18"/>
        </w:rPr>
        <w:t xml:space="preserve"> de middelen bij een volgend begrotingsmoment overgeheveld.</w:t>
      </w:r>
    </w:p>
    <w:p w:rsidR="00AF08FF" w:rsidP="00E32F2B" w:rsidRDefault="00AF08FF" w14:paraId="70866257" w14:textId="7837D490">
      <w:pPr>
        <w:rPr>
          <w:rFonts w:ascii="Verdana" w:hAnsi="Verdana"/>
          <w:sz w:val="18"/>
          <w:szCs w:val="18"/>
        </w:rPr>
      </w:pPr>
      <w:r w:rsidRPr="00E32F2B">
        <w:rPr>
          <w:rFonts w:ascii="Verdana" w:hAnsi="Verdana"/>
          <w:sz w:val="18"/>
          <w:szCs w:val="18"/>
        </w:rPr>
        <w:t>Hieronder is een overzicht opgenomen van de wijzigingen in het Klimaatfonds t.o.v. de ambtelijke beoordeling</w:t>
      </w:r>
      <w:r w:rsidR="00A24EC7">
        <w:rPr>
          <w:rFonts w:ascii="Verdana" w:hAnsi="Verdana"/>
          <w:sz w:val="18"/>
          <w:szCs w:val="18"/>
        </w:rPr>
        <w:t>.</w:t>
      </w:r>
    </w:p>
    <w:p w:rsidR="00E3097C" w:rsidP="00E32F2B" w:rsidRDefault="00E3097C" w14:paraId="091F2720" w14:textId="77777777">
      <w:pPr>
        <w:rPr>
          <w:rFonts w:ascii="Verdana" w:hAnsi="Verdana"/>
          <w:sz w:val="18"/>
          <w:szCs w:val="18"/>
        </w:rPr>
      </w:pPr>
    </w:p>
    <w:p w:rsidRPr="00E32F2B" w:rsidR="00E3097C" w:rsidP="00E32F2B" w:rsidRDefault="00E3097C" w14:paraId="4DEABD92" w14:textId="77777777">
      <w:pPr>
        <w:rPr>
          <w:rFonts w:ascii="Verdana" w:hAnsi="Verdana"/>
          <w:sz w:val="18"/>
          <w:szCs w:val="18"/>
        </w:rPr>
      </w:pPr>
    </w:p>
    <w:tbl>
      <w:tblPr>
        <w:tblStyle w:val="Rastertabel4-Accent1"/>
        <w:tblW w:w="9229" w:type="dxa"/>
        <w:tblInd w:w="-431" w:type="dxa"/>
        <w:tblLook w:val="04A0" w:firstRow="1" w:lastRow="0" w:firstColumn="1" w:lastColumn="0" w:noHBand="0" w:noVBand="1"/>
      </w:tblPr>
      <w:tblGrid>
        <w:gridCol w:w="6658"/>
        <w:gridCol w:w="2551"/>
        <w:gridCol w:w="20"/>
      </w:tblGrid>
      <w:tr w:rsidRPr="00AF08FF" w:rsidR="00AF08FF" w:rsidTr="00AF08FF" w14:paraId="3CFAD0D0"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229" w:type="dxa"/>
            <w:gridSpan w:val="3"/>
            <w:noWrap/>
            <w:hideMark/>
          </w:tcPr>
          <w:p w:rsidRPr="00AF08FF" w:rsidR="00AF08FF" w:rsidP="00AF08FF" w:rsidRDefault="00AF08FF" w14:paraId="1935B8AF" w14:textId="1C7A5D39">
            <w:pPr>
              <w:rPr>
                <w:rFonts w:ascii="Calibri" w:hAnsi="Calibri" w:eastAsia="Times New Roman" w:cs="Calibri"/>
                <w:color w:val="000000"/>
                <w:kern w:val="0"/>
                <w:lang w:eastAsia="nl-NL"/>
              </w:rPr>
            </w:pPr>
            <w:r w:rsidRPr="00E868CD">
              <w:rPr>
                <w:rFonts w:ascii="Calibri" w:hAnsi="Calibri" w:eastAsia="Times New Roman" w:cs="Calibri"/>
                <w:kern w:val="0"/>
                <w:lang w:eastAsia="nl-NL"/>
              </w:rPr>
              <w:lastRenderedPageBreak/>
              <w:t>Wijzigingen in voorstellen Klimaatfonds mobiliteit</w:t>
            </w:r>
          </w:p>
        </w:tc>
      </w:tr>
      <w:tr w:rsidRPr="00AF08FF" w:rsidR="00AF08FF" w:rsidTr="00AF08FF" w14:paraId="7C896CD6" w14:textId="77777777">
        <w:trPr>
          <w:gridAfter w:val="1"/>
          <w:cnfStyle w:val="000000100000" w:firstRow="0" w:lastRow="0" w:firstColumn="0" w:lastColumn="0" w:oddVBand="0" w:evenVBand="0" w:oddHBand="1" w:evenHBand="0" w:firstRowFirstColumn="0" w:firstRowLastColumn="0" w:lastRowFirstColumn="0" w:lastRowLastColumn="0"/>
          <w:wAfter w:w="20" w:type="dxa"/>
          <w:trHeight w:val="290"/>
        </w:trPr>
        <w:tc>
          <w:tcPr>
            <w:cnfStyle w:val="001000000000" w:firstRow="0" w:lastRow="0" w:firstColumn="1" w:lastColumn="0" w:oddVBand="0" w:evenVBand="0" w:oddHBand="0" w:evenHBand="0" w:firstRowFirstColumn="0" w:firstRowLastColumn="0" w:lastRowFirstColumn="0" w:lastRowLastColumn="0"/>
            <w:tcW w:w="6658" w:type="dxa"/>
            <w:noWrap/>
            <w:hideMark/>
          </w:tcPr>
          <w:p w:rsidRPr="00AF08FF" w:rsidR="00AF08FF" w:rsidP="00AF08FF" w:rsidRDefault="00AF08FF" w14:paraId="7D29A116" w14:textId="5478A24E">
            <w:pPr>
              <w:rPr>
                <w:rFonts w:ascii="Calibri" w:hAnsi="Calibri" w:eastAsia="Times New Roman" w:cs="Calibri"/>
                <w:color w:val="000000"/>
                <w:kern w:val="0"/>
                <w:lang w:eastAsia="nl-NL"/>
              </w:rPr>
            </w:pPr>
            <w:r>
              <w:rPr>
                <w:rFonts w:ascii="Calibri" w:hAnsi="Calibri" w:eastAsia="Times New Roman" w:cs="Calibri"/>
                <w:color w:val="000000"/>
                <w:kern w:val="0"/>
                <w:lang w:eastAsia="nl-NL"/>
              </w:rPr>
              <w:t xml:space="preserve">Vervallen: </w:t>
            </w:r>
            <w:r w:rsidRPr="00AF08FF">
              <w:rPr>
                <w:rFonts w:ascii="Calibri" w:hAnsi="Calibri" w:eastAsia="Times New Roman" w:cs="Calibri"/>
                <w:b w:val="0"/>
                <w:bCs w:val="0"/>
                <w:color w:val="000000"/>
                <w:kern w:val="0"/>
                <w:lang w:eastAsia="nl-NL"/>
              </w:rPr>
              <w:t>Rode Diesel</w:t>
            </w:r>
          </w:p>
        </w:tc>
        <w:tc>
          <w:tcPr>
            <w:tcW w:w="2551" w:type="dxa"/>
            <w:noWrap/>
            <w:hideMark/>
          </w:tcPr>
          <w:p w:rsidRPr="00AF08FF" w:rsidR="00AF08FF" w:rsidP="00AF08FF" w:rsidRDefault="00AF08FF" w14:paraId="4115CDEA" w14:textId="7746DFDF">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kern w:val="0"/>
                <w:lang w:eastAsia="nl-NL"/>
              </w:rPr>
            </w:pPr>
            <w:r w:rsidRPr="00AF08FF">
              <w:rPr>
                <w:rFonts w:ascii="Calibri" w:hAnsi="Calibri" w:eastAsia="Times New Roman" w:cs="Calibri"/>
                <w:color w:val="000000"/>
                <w:kern w:val="0"/>
                <w:lang w:eastAsia="nl-NL"/>
              </w:rPr>
              <w:t xml:space="preserve"> </w:t>
            </w:r>
            <w:r w:rsidR="00E32F2B">
              <w:rPr>
                <w:rFonts w:ascii="Calibri" w:hAnsi="Calibri" w:eastAsia="Times New Roman" w:cs="Calibri"/>
                <w:color w:val="000000"/>
                <w:kern w:val="0"/>
                <w:lang w:eastAsia="nl-NL"/>
              </w:rPr>
              <w:t>-</w:t>
            </w:r>
            <w:r w:rsidRPr="00AF08FF">
              <w:rPr>
                <w:rFonts w:ascii="Calibri" w:hAnsi="Calibri" w:eastAsia="Times New Roman" w:cs="Calibri"/>
                <w:color w:val="000000"/>
                <w:kern w:val="0"/>
                <w:lang w:eastAsia="nl-NL"/>
              </w:rPr>
              <w:t xml:space="preserve">€ 243,78 </w:t>
            </w:r>
          </w:p>
        </w:tc>
      </w:tr>
      <w:tr w:rsidRPr="00AF08FF" w:rsidR="00AF08FF" w:rsidTr="00AF08FF" w14:paraId="1E840EEA" w14:textId="77777777">
        <w:trPr>
          <w:gridAfter w:val="1"/>
          <w:wAfter w:w="20" w:type="dxa"/>
          <w:trHeight w:val="290"/>
        </w:trPr>
        <w:tc>
          <w:tcPr>
            <w:cnfStyle w:val="001000000000" w:firstRow="0" w:lastRow="0" w:firstColumn="1" w:lastColumn="0" w:oddVBand="0" w:evenVBand="0" w:oddHBand="0" w:evenHBand="0" w:firstRowFirstColumn="0" w:firstRowLastColumn="0" w:lastRowFirstColumn="0" w:lastRowLastColumn="0"/>
            <w:tcW w:w="6658" w:type="dxa"/>
            <w:noWrap/>
            <w:hideMark/>
          </w:tcPr>
          <w:p w:rsidRPr="00AF08FF" w:rsidR="00AF08FF" w:rsidP="00AF08FF" w:rsidRDefault="00AF08FF" w14:paraId="3F213DFC" w14:textId="473B231E">
            <w:pPr>
              <w:rPr>
                <w:rFonts w:ascii="Calibri" w:hAnsi="Calibri" w:eastAsia="Times New Roman" w:cs="Calibri"/>
                <w:color w:val="000000"/>
                <w:kern w:val="0"/>
                <w:lang w:eastAsia="nl-NL"/>
              </w:rPr>
            </w:pPr>
            <w:r>
              <w:rPr>
                <w:rFonts w:ascii="Calibri" w:hAnsi="Calibri" w:eastAsia="Times New Roman" w:cs="Calibri"/>
                <w:color w:val="000000"/>
                <w:kern w:val="0"/>
                <w:lang w:eastAsia="nl-NL"/>
              </w:rPr>
              <w:t xml:space="preserve">Vervallen: </w:t>
            </w:r>
            <w:r w:rsidRPr="00AF08FF">
              <w:rPr>
                <w:rFonts w:ascii="Calibri" w:hAnsi="Calibri" w:eastAsia="Times New Roman" w:cs="Calibri"/>
                <w:b w:val="0"/>
                <w:bCs w:val="0"/>
                <w:color w:val="000000"/>
                <w:kern w:val="0"/>
                <w:lang w:eastAsia="nl-NL"/>
              </w:rPr>
              <w:t>Aanscherpen normen duurzaam inkopen</w:t>
            </w:r>
          </w:p>
        </w:tc>
        <w:tc>
          <w:tcPr>
            <w:tcW w:w="2551" w:type="dxa"/>
            <w:noWrap/>
            <w:hideMark/>
          </w:tcPr>
          <w:p w:rsidRPr="00AF08FF" w:rsidR="00AF08FF" w:rsidP="00AF08FF" w:rsidRDefault="00AF08FF" w14:paraId="7953CA47" w14:textId="75075D6D">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kern w:val="0"/>
                <w:lang w:eastAsia="nl-NL"/>
              </w:rPr>
            </w:pPr>
            <w:r w:rsidRPr="00AF08FF">
              <w:rPr>
                <w:rFonts w:ascii="Calibri" w:hAnsi="Calibri" w:eastAsia="Times New Roman" w:cs="Calibri"/>
                <w:color w:val="000000"/>
                <w:kern w:val="0"/>
                <w:lang w:eastAsia="nl-NL"/>
              </w:rPr>
              <w:t xml:space="preserve"> </w:t>
            </w:r>
            <w:r w:rsidR="00E32F2B">
              <w:rPr>
                <w:rFonts w:ascii="Calibri" w:hAnsi="Calibri" w:eastAsia="Times New Roman" w:cs="Calibri"/>
                <w:color w:val="000000"/>
                <w:kern w:val="0"/>
                <w:lang w:eastAsia="nl-NL"/>
              </w:rPr>
              <w:t>-</w:t>
            </w:r>
            <w:r w:rsidRPr="00AF08FF">
              <w:rPr>
                <w:rFonts w:ascii="Calibri" w:hAnsi="Calibri" w:eastAsia="Times New Roman" w:cs="Calibri"/>
                <w:color w:val="000000"/>
                <w:kern w:val="0"/>
                <w:lang w:eastAsia="nl-NL"/>
              </w:rPr>
              <w:t xml:space="preserve">€ 30,20 </w:t>
            </w:r>
          </w:p>
        </w:tc>
      </w:tr>
      <w:tr w:rsidRPr="00AF08FF" w:rsidR="00AF08FF" w:rsidTr="00AF08FF" w14:paraId="5DA3AD7D" w14:textId="77777777">
        <w:trPr>
          <w:gridAfter w:val="1"/>
          <w:cnfStyle w:val="000000100000" w:firstRow="0" w:lastRow="0" w:firstColumn="0" w:lastColumn="0" w:oddVBand="0" w:evenVBand="0" w:oddHBand="1" w:evenHBand="0" w:firstRowFirstColumn="0" w:firstRowLastColumn="0" w:lastRowFirstColumn="0" w:lastRowLastColumn="0"/>
          <w:wAfter w:w="20" w:type="dxa"/>
          <w:trHeight w:val="290"/>
        </w:trPr>
        <w:tc>
          <w:tcPr>
            <w:cnfStyle w:val="001000000000" w:firstRow="0" w:lastRow="0" w:firstColumn="1" w:lastColumn="0" w:oddVBand="0" w:evenVBand="0" w:oddHBand="0" w:evenHBand="0" w:firstRowFirstColumn="0" w:firstRowLastColumn="0" w:lastRowFirstColumn="0" w:lastRowLastColumn="0"/>
            <w:tcW w:w="6658" w:type="dxa"/>
            <w:noWrap/>
            <w:hideMark/>
          </w:tcPr>
          <w:p w:rsidRPr="00AF08FF" w:rsidR="00AF08FF" w:rsidP="00AF08FF" w:rsidRDefault="00AF08FF" w14:paraId="4B3CEA11" w14:textId="541ECFED">
            <w:pPr>
              <w:rPr>
                <w:rFonts w:ascii="Calibri" w:hAnsi="Calibri" w:eastAsia="Times New Roman" w:cs="Calibri"/>
                <w:color w:val="000000"/>
                <w:kern w:val="0"/>
                <w:lang w:eastAsia="nl-NL"/>
              </w:rPr>
            </w:pPr>
            <w:r>
              <w:rPr>
                <w:rFonts w:ascii="Calibri" w:hAnsi="Calibri" w:eastAsia="Times New Roman" w:cs="Calibri"/>
                <w:color w:val="000000"/>
                <w:kern w:val="0"/>
                <w:lang w:eastAsia="nl-NL"/>
              </w:rPr>
              <w:t xml:space="preserve">Vervallen: </w:t>
            </w:r>
            <w:r w:rsidRPr="00AF08FF">
              <w:rPr>
                <w:rFonts w:ascii="Calibri" w:hAnsi="Calibri" w:eastAsia="Times New Roman" w:cs="Calibri"/>
                <w:b w:val="0"/>
                <w:bCs w:val="0"/>
                <w:color w:val="000000"/>
                <w:kern w:val="0"/>
                <w:lang w:eastAsia="nl-NL"/>
              </w:rPr>
              <w:t>Inkomensgerichte bijdrage voor vervanging van oude, fossiele brandstofauto</w:t>
            </w:r>
          </w:p>
        </w:tc>
        <w:tc>
          <w:tcPr>
            <w:tcW w:w="2551" w:type="dxa"/>
            <w:noWrap/>
            <w:hideMark/>
          </w:tcPr>
          <w:p w:rsidRPr="00AF08FF" w:rsidR="00AF08FF" w:rsidP="00AF08FF" w:rsidRDefault="00AF08FF" w14:paraId="7AEC7DD1" w14:textId="369822B2">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kern w:val="0"/>
                <w:lang w:eastAsia="nl-NL"/>
              </w:rPr>
            </w:pPr>
            <w:r w:rsidRPr="00AF08FF">
              <w:rPr>
                <w:rFonts w:ascii="Calibri" w:hAnsi="Calibri" w:eastAsia="Times New Roman" w:cs="Calibri"/>
                <w:color w:val="000000"/>
                <w:kern w:val="0"/>
                <w:lang w:eastAsia="nl-NL"/>
              </w:rPr>
              <w:t xml:space="preserve"> </w:t>
            </w:r>
            <w:r w:rsidR="00E32F2B">
              <w:rPr>
                <w:rFonts w:ascii="Calibri" w:hAnsi="Calibri" w:eastAsia="Times New Roman" w:cs="Calibri"/>
                <w:color w:val="000000"/>
                <w:kern w:val="0"/>
                <w:lang w:eastAsia="nl-NL"/>
              </w:rPr>
              <w:t>-</w:t>
            </w:r>
            <w:r w:rsidRPr="00AF08FF">
              <w:rPr>
                <w:rFonts w:ascii="Calibri" w:hAnsi="Calibri" w:eastAsia="Times New Roman" w:cs="Calibri"/>
                <w:color w:val="000000"/>
                <w:kern w:val="0"/>
                <w:lang w:eastAsia="nl-NL"/>
              </w:rPr>
              <w:t>€</w:t>
            </w:r>
            <w:r>
              <w:rPr>
                <w:rFonts w:ascii="Calibri" w:hAnsi="Calibri" w:eastAsia="Times New Roman" w:cs="Calibri"/>
                <w:color w:val="000000"/>
                <w:kern w:val="0"/>
                <w:lang w:eastAsia="nl-NL"/>
              </w:rPr>
              <w:t xml:space="preserve"> </w:t>
            </w:r>
            <w:r w:rsidRPr="00AF08FF">
              <w:rPr>
                <w:rFonts w:ascii="Calibri" w:hAnsi="Calibri" w:eastAsia="Times New Roman" w:cs="Calibri"/>
                <w:color w:val="000000"/>
                <w:kern w:val="0"/>
                <w:lang w:eastAsia="nl-NL"/>
              </w:rPr>
              <w:t xml:space="preserve">120,00 </w:t>
            </w:r>
          </w:p>
        </w:tc>
      </w:tr>
      <w:tr w:rsidRPr="00AF08FF" w:rsidR="00AF08FF" w:rsidTr="00AF08FF" w14:paraId="72CA103B" w14:textId="77777777">
        <w:trPr>
          <w:gridAfter w:val="1"/>
          <w:wAfter w:w="20" w:type="dxa"/>
          <w:trHeight w:val="290"/>
        </w:trPr>
        <w:tc>
          <w:tcPr>
            <w:cnfStyle w:val="001000000000" w:firstRow="0" w:lastRow="0" w:firstColumn="1" w:lastColumn="0" w:oddVBand="0" w:evenVBand="0" w:oddHBand="0" w:evenHBand="0" w:firstRowFirstColumn="0" w:firstRowLastColumn="0" w:lastRowFirstColumn="0" w:lastRowLastColumn="0"/>
            <w:tcW w:w="6658" w:type="dxa"/>
            <w:noWrap/>
            <w:hideMark/>
          </w:tcPr>
          <w:p w:rsidRPr="00AF08FF" w:rsidR="00AF08FF" w:rsidP="00AF08FF" w:rsidRDefault="00AF08FF" w14:paraId="6B438A45" w14:textId="44DA7CF9">
            <w:pPr>
              <w:rPr>
                <w:rFonts w:ascii="Calibri" w:hAnsi="Calibri" w:eastAsia="Times New Roman" w:cs="Calibri"/>
                <w:color w:val="000000"/>
                <w:kern w:val="0"/>
                <w:lang w:eastAsia="nl-NL"/>
              </w:rPr>
            </w:pPr>
            <w:r>
              <w:rPr>
                <w:rFonts w:ascii="Calibri" w:hAnsi="Calibri" w:eastAsia="Times New Roman" w:cs="Calibri"/>
                <w:color w:val="000000"/>
                <w:kern w:val="0"/>
                <w:lang w:eastAsia="nl-NL"/>
              </w:rPr>
              <w:t xml:space="preserve">Nieuw: </w:t>
            </w:r>
            <w:r w:rsidRPr="00AF08FF">
              <w:rPr>
                <w:rFonts w:ascii="Calibri" w:hAnsi="Calibri" w:eastAsia="Times New Roman" w:cs="Calibri"/>
                <w:b w:val="0"/>
                <w:bCs w:val="0"/>
                <w:color w:val="000000"/>
                <w:kern w:val="0"/>
                <w:lang w:eastAsia="nl-NL"/>
              </w:rPr>
              <w:t>Normering lease</w:t>
            </w:r>
            <w:r w:rsidRPr="00E868CD">
              <w:rPr>
                <w:rFonts w:ascii="Calibri" w:hAnsi="Calibri" w:eastAsia="Times New Roman" w:cs="Calibri"/>
                <w:b w:val="0"/>
                <w:bCs w:val="0"/>
                <w:color w:val="000000"/>
                <w:kern w:val="0"/>
                <w:lang w:eastAsia="nl-NL"/>
              </w:rPr>
              <w:t xml:space="preserve"> per 2027</w:t>
            </w:r>
          </w:p>
        </w:tc>
        <w:tc>
          <w:tcPr>
            <w:tcW w:w="2551" w:type="dxa"/>
            <w:noWrap/>
            <w:hideMark/>
          </w:tcPr>
          <w:p w:rsidRPr="00AF08FF" w:rsidR="00AF08FF" w:rsidP="00AF08FF" w:rsidRDefault="00AF08FF" w14:paraId="191C6E8F" w14:textId="0577E980">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kern w:val="0"/>
                <w:lang w:eastAsia="nl-NL"/>
              </w:rPr>
            </w:pPr>
            <w:r w:rsidRPr="00AF08FF">
              <w:rPr>
                <w:rFonts w:ascii="Calibri" w:hAnsi="Calibri" w:eastAsia="Times New Roman" w:cs="Calibri"/>
                <w:color w:val="000000"/>
                <w:kern w:val="0"/>
                <w:lang w:eastAsia="nl-NL"/>
              </w:rPr>
              <w:t xml:space="preserve"> € 85,00 </w:t>
            </w:r>
          </w:p>
        </w:tc>
      </w:tr>
      <w:tr w:rsidRPr="00AF08FF" w:rsidR="00AF08FF" w:rsidTr="00AF08FF" w14:paraId="24AB8502" w14:textId="77777777">
        <w:trPr>
          <w:gridAfter w:val="1"/>
          <w:cnfStyle w:val="000000100000" w:firstRow="0" w:lastRow="0" w:firstColumn="0" w:lastColumn="0" w:oddVBand="0" w:evenVBand="0" w:oddHBand="1" w:evenHBand="0" w:firstRowFirstColumn="0" w:firstRowLastColumn="0" w:lastRowFirstColumn="0" w:lastRowLastColumn="0"/>
          <w:wAfter w:w="20" w:type="dxa"/>
          <w:trHeight w:val="290"/>
        </w:trPr>
        <w:tc>
          <w:tcPr>
            <w:cnfStyle w:val="001000000000" w:firstRow="0" w:lastRow="0" w:firstColumn="1" w:lastColumn="0" w:oddVBand="0" w:evenVBand="0" w:oddHBand="0" w:evenHBand="0" w:firstRowFirstColumn="0" w:firstRowLastColumn="0" w:lastRowFirstColumn="0" w:lastRowLastColumn="0"/>
            <w:tcW w:w="6658" w:type="dxa"/>
            <w:noWrap/>
            <w:hideMark/>
          </w:tcPr>
          <w:p w:rsidRPr="00AF08FF" w:rsidR="00AF08FF" w:rsidP="00AF08FF" w:rsidRDefault="00AF08FF" w14:paraId="4CDD8EAF" w14:textId="3919117E">
            <w:pPr>
              <w:rPr>
                <w:rFonts w:ascii="Calibri" w:hAnsi="Calibri" w:eastAsia="Times New Roman" w:cs="Calibri"/>
                <w:color w:val="000000"/>
                <w:kern w:val="0"/>
                <w:lang w:eastAsia="nl-NL"/>
              </w:rPr>
            </w:pPr>
            <w:r>
              <w:rPr>
                <w:rFonts w:ascii="Calibri" w:hAnsi="Calibri" w:eastAsia="Times New Roman" w:cs="Calibri"/>
                <w:color w:val="000000"/>
                <w:kern w:val="0"/>
                <w:lang w:eastAsia="nl-NL"/>
              </w:rPr>
              <w:t xml:space="preserve">Nieuw: </w:t>
            </w:r>
            <w:r w:rsidRPr="00AF08FF">
              <w:rPr>
                <w:rFonts w:ascii="Calibri" w:hAnsi="Calibri" w:eastAsia="Times New Roman" w:cs="Calibri"/>
                <w:b w:val="0"/>
                <w:bCs w:val="0"/>
                <w:color w:val="000000"/>
                <w:kern w:val="0"/>
                <w:lang w:eastAsia="nl-NL"/>
              </w:rPr>
              <w:t>MRB gewichtscorrectie</w:t>
            </w:r>
            <w:r w:rsidRPr="00E868CD">
              <w:rPr>
                <w:rFonts w:ascii="Calibri" w:hAnsi="Calibri" w:eastAsia="Times New Roman" w:cs="Calibri"/>
                <w:b w:val="0"/>
                <w:bCs w:val="0"/>
                <w:color w:val="000000"/>
                <w:kern w:val="0"/>
                <w:lang w:eastAsia="nl-NL"/>
              </w:rPr>
              <w:t xml:space="preserve"> 2026 t/m 2028</w:t>
            </w:r>
          </w:p>
        </w:tc>
        <w:tc>
          <w:tcPr>
            <w:tcW w:w="2551" w:type="dxa"/>
            <w:noWrap/>
            <w:hideMark/>
          </w:tcPr>
          <w:p w:rsidRPr="00AF08FF" w:rsidR="00AF08FF" w:rsidP="00AF08FF" w:rsidRDefault="00AF08FF" w14:paraId="6AB7B51A" w14:textId="64457704">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kern w:val="0"/>
                <w:lang w:eastAsia="nl-NL"/>
              </w:rPr>
            </w:pPr>
            <w:r w:rsidRPr="00AF08FF">
              <w:rPr>
                <w:rFonts w:ascii="Calibri" w:hAnsi="Calibri" w:eastAsia="Times New Roman" w:cs="Calibri"/>
                <w:color w:val="000000"/>
                <w:kern w:val="0"/>
                <w:lang w:eastAsia="nl-NL"/>
              </w:rPr>
              <w:t xml:space="preserve"> € 86,00 </w:t>
            </w:r>
          </w:p>
        </w:tc>
      </w:tr>
      <w:tr w:rsidRPr="00AF08FF" w:rsidR="00AF08FF" w:rsidTr="00AF08FF" w14:paraId="01B281CE" w14:textId="77777777">
        <w:trPr>
          <w:gridAfter w:val="1"/>
          <w:wAfter w:w="20" w:type="dxa"/>
          <w:trHeight w:val="290"/>
        </w:trPr>
        <w:tc>
          <w:tcPr>
            <w:cnfStyle w:val="001000000000" w:firstRow="0" w:lastRow="0" w:firstColumn="1" w:lastColumn="0" w:oddVBand="0" w:evenVBand="0" w:oddHBand="0" w:evenHBand="0" w:firstRowFirstColumn="0" w:firstRowLastColumn="0" w:lastRowFirstColumn="0" w:lastRowLastColumn="0"/>
            <w:tcW w:w="6658" w:type="dxa"/>
            <w:noWrap/>
            <w:hideMark/>
          </w:tcPr>
          <w:p w:rsidRPr="00AF08FF" w:rsidR="00AF08FF" w:rsidP="00AF08FF" w:rsidRDefault="00AF08FF" w14:paraId="631A5A0B" w14:textId="4A03C498">
            <w:pPr>
              <w:rPr>
                <w:rFonts w:ascii="Calibri" w:hAnsi="Calibri" w:eastAsia="Times New Roman" w:cs="Calibri"/>
                <w:color w:val="000000"/>
                <w:kern w:val="0"/>
                <w:lang w:eastAsia="nl-NL"/>
              </w:rPr>
            </w:pPr>
            <w:r>
              <w:rPr>
                <w:rFonts w:ascii="Calibri" w:hAnsi="Calibri" w:eastAsia="Times New Roman" w:cs="Calibri"/>
                <w:color w:val="000000"/>
                <w:kern w:val="0"/>
                <w:lang w:eastAsia="nl-NL"/>
              </w:rPr>
              <w:t xml:space="preserve">Nieuw: </w:t>
            </w:r>
            <w:r w:rsidRPr="00AF08FF">
              <w:rPr>
                <w:rFonts w:ascii="Calibri" w:hAnsi="Calibri" w:eastAsia="Times New Roman" w:cs="Calibri"/>
                <w:b w:val="0"/>
                <w:bCs w:val="0"/>
                <w:color w:val="000000"/>
                <w:kern w:val="0"/>
                <w:lang w:eastAsia="nl-NL"/>
              </w:rPr>
              <w:t>Stopcontact op Land</w:t>
            </w:r>
            <w:r w:rsidR="00E868CD">
              <w:rPr>
                <w:rFonts w:ascii="Calibri" w:hAnsi="Calibri" w:eastAsia="Times New Roman" w:cs="Calibri"/>
                <w:color w:val="000000"/>
                <w:kern w:val="0"/>
                <w:lang w:eastAsia="nl-NL"/>
              </w:rPr>
              <w:t xml:space="preserve"> </w:t>
            </w:r>
          </w:p>
        </w:tc>
        <w:tc>
          <w:tcPr>
            <w:tcW w:w="2551" w:type="dxa"/>
            <w:noWrap/>
            <w:hideMark/>
          </w:tcPr>
          <w:p w:rsidRPr="00AF08FF" w:rsidR="00AF08FF" w:rsidP="00AF08FF" w:rsidRDefault="00AF08FF" w14:paraId="04FD3A4E" w14:textId="57F3B20A">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kern w:val="0"/>
                <w:lang w:eastAsia="nl-NL"/>
              </w:rPr>
            </w:pPr>
            <w:r w:rsidRPr="00AF08FF">
              <w:rPr>
                <w:rFonts w:ascii="Calibri" w:hAnsi="Calibri" w:eastAsia="Times New Roman" w:cs="Calibri"/>
                <w:color w:val="000000"/>
                <w:kern w:val="0"/>
                <w:lang w:eastAsia="nl-NL"/>
              </w:rPr>
              <w:t xml:space="preserve"> € 70,00 </w:t>
            </w:r>
          </w:p>
        </w:tc>
      </w:tr>
      <w:tr w:rsidRPr="00AF08FF" w:rsidR="00AF08FF" w:rsidTr="00AF08FF" w14:paraId="34D6401C" w14:textId="77777777">
        <w:trPr>
          <w:gridAfter w:val="1"/>
          <w:cnfStyle w:val="000000100000" w:firstRow="0" w:lastRow="0" w:firstColumn="0" w:lastColumn="0" w:oddVBand="0" w:evenVBand="0" w:oddHBand="1" w:evenHBand="0" w:firstRowFirstColumn="0" w:firstRowLastColumn="0" w:lastRowFirstColumn="0" w:lastRowLastColumn="0"/>
          <w:wAfter w:w="20" w:type="dxa"/>
          <w:trHeight w:val="290"/>
        </w:trPr>
        <w:tc>
          <w:tcPr>
            <w:cnfStyle w:val="001000000000" w:firstRow="0" w:lastRow="0" w:firstColumn="1" w:lastColumn="0" w:oddVBand="0" w:evenVBand="0" w:oddHBand="0" w:evenHBand="0" w:firstRowFirstColumn="0" w:firstRowLastColumn="0" w:lastRowFirstColumn="0" w:lastRowLastColumn="0"/>
            <w:tcW w:w="6658" w:type="dxa"/>
            <w:noWrap/>
            <w:hideMark/>
          </w:tcPr>
          <w:p w:rsidRPr="00AF08FF" w:rsidR="00AF08FF" w:rsidP="00AF08FF" w:rsidRDefault="00AF08FF" w14:paraId="382A698B" w14:textId="4A872F2F">
            <w:pPr>
              <w:rPr>
                <w:rFonts w:ascii="Calibri" w:hAnsi="Calibri" w:eastAsia="Times New Roman" w:cs="Calibri"/>
                <w:color w:val="000000"/>
                <w:kern w:val="0"/>
                <w:lang w:eastAsia="nl-NL"/>
              </w:rPr>
            </w:pPr>
            <w:r>
              <w:rPr>
                <w:rFonts w:ascii="Calibri" w:hAnsi="Calibri" w:eastAsia="Times New Roman" w:cs="Calibri"/>
                <w:color w:val="000000"/>
                <w:kern w:val="0"/>
                <w:lang w:eastAsia="nl-NL"/>
              </w:rPr>
              <w:t xml:space="preserve">Nieuw: </w:t>
            </w:r>
            <w:proofErr w:type="spellStart"/>
            <w:r w:rsidRPr="00E868CD">
              <w:rPr>
                <w:rFonts w:ascii="Verdana" w:hAnsi="Verdana"/>
                <w:b w:val="0"/>
                <w:bCs w:val="0"/>
                <w:sz w:val="18"/>
                <w:szCs w:val="18"/>
              </w:rPr>
              <w:t>OV-kaartjes</w:t>
            </w:r>
            <w:proofErr w:type="spellEnd"/>
            <w:r w:rsidRPr="00E868CD">
              <w:rPr>
                <w:rFonts w:ascii="Verdana" w:hAnsi="Verdana"/>
                <w:b w:val="0"/>
                <w:bCs w:val="0"/>
                <w:sz w:val="18"/>
                <w:szCs w:val="18"/>
              </w:rPr>
              <w:t xml:space="preserve"> voor mensen met laag inkomen</w:t>
            </w:r>
            <w:r w:rsidRPr="00E868CD" w:rsidR="00E868CD">
              <w:rPr>
                <w:rFonts w:ascii="Verdana" w:hAnsi="Verdana"/>
                <w:b w:val="0"/>
                <w:bCs w:val="0"/>
                <w:sz w:val="18"/>
                <w:szCs w:val="18"/>
              </w:rPr>
              <w:t xml:space="preserve"> (daarnaast </w:t>
            </w:r>
            <w:r w:rsidR="0015566E">
              <w:rPr>
                <w:rFonts w:ascii="Verdana" w:hAnsi="Verdana"/>
                <w:b w:val="0"/>
                <w:bCs w:val="0"/>
                <w:sz w:val="18"/>
                <w:szCs w:val="18"/>
              </w:rPr>
              <w:t>€</w:t>
            </w:r>
            <w:r w:rsidRPr="00E868CD" w:rsidR="00E868CD">
              <w:rPr>
                <w:rFonts w:ascii="Verdana" w:hAnsi="Verdana"/>
                <w:b w:val="0"/>
                <w:bCs w:val="0"/>
                <w:sz w:val="18"/>
                <w:szCs w:val="18"/>
              </w:rPr>
              <w:t xml:space="preserve">150 </w:t>
            </w:r>
            <w:proofErr w:type="spellStart"/>
            <w:r w:rsidRPr="00E868CD" w:rsidR="00E868CD">
              <w:rPr>
                <w:rFonts w:ascii="Verdana" w:hAnsi="Verdana"/>
                <w:b w:val="0"/>
                <w:bCs w:val="0"/>
                <w:sz w:val="18"/>
                <w:szCs w:val="18"/>
              </w:rPr>
              <w:t>mln</w:t>
            </w:r>
            <w:proofErr w:type="spellEnd"/>
            <w:r w:rsidRPr="00E868CD" w:rsidR="00E868CD">
              <w:rPr>
                <w:rFonts w:ascii="Verdana" w:hAnsi="Verdana"/>
                <w:b w:val="0"/>
                <w:bCs w:val="0"/>
                <w:sz w:val="18"/>
                <w:szCs w:val="18"/>
              </w:rPr>
              <w:t xml:space="preserve"> via SCF</w:t>
            </w:r>
            <w:r w:rsidR="0015566E">
              <w:rPr>
                <w:rStyle w:val="Voetnootmarkering"/>
                <w:rFonts w:ascii="Verdana" w:hAnsi="Verdana"/>
                <w:b w:val="0"/>
                <w:bCs w:val="0"/>
                <w:sz w:val="18"/>
                <w:szCs w:val="18"/>
              </w:rPr>
              <w:footnoteReference w:id="2"/>
            </w:r>
            <w:r w:rsidRPr="00E868CD" w:rsidR="00E868CD">
              <w:rPr>
                <w:rFonts w:ascii="Verdana" w:hAnsi="Verdana"/>
                <w:b w:val="0"/>
                <w:bCs w:val="0"/>
                <w:sz w:val="18"/>
                <w:szCs w:val="18"/>
              </w:rPr>
              <w:t xml:space="preserve"> en </w:t>
            </w:r>
            <w:r w:rsidR="0015566E">
              <w:rPr>
                <w:rFonts w:ascii="Verdana" w:hAnsi="Verdana"/>
                <w:b w:val="0"/>
                <w:bCs w:val="0"/>
                <w:sz w:val="18"/>
                <w:szCs w:val="18"/>
              </w:rPr>
              <w:t>€</w:t>
            </w:r>
            <w:r w:rsidRPr="00E868CD" w:rsidR="00E868CD">
              <w:rPr>
                <w:rFonts w:ascii="Verdana" w:hAnsi="Verdana"/>
                <w:b w:val="0"/>
                <w:bCs w:val="0"/>
                <w:sz w:val="18"/>
                <w:szCs w:val="18"/>
              </w:rPr>
              <w:t xml:space="preserve">102,5 </w:t>
            </w:r>
            <w:proofErr w:type="spellStart"/>
            <w:r w:rsidRPr="00E868CD" w:rsidR="00E868CD">
              <w:rPr>
                <w:rFonts w:ascii="Verdana" w:hAnsi="Verdana"/>
                <w:b w:val="0"/>
                <w:bCs w:val="0"/>
                <w:sz w:val="18"/>
                <w:szCs w:val="18"/>
              </w:rPr>
              <w:t>mln</w:t>
            </w:r>
            <w:proofErr w:type="spellEnd"/>
            <w:r w:rsidRPr="00E868CD" w:rsidR="00E868CD">
              <w:rPr>
                <w:rFonts w:ascii="Verdana" w:hAnsi="Verdana"/>
                <w:b w:val="0"/>
                <w:bCs w:val="0"/>
                <w:sz w:val="18"/>
                <w:szCs w:val="18"/>
              </w:rPr>
              <w:t xml:space="preserve"> uit de regio’s).</w:t>
            </w:r>
          </w:p>
        </w:tc>
        <w:tc>
          <w:tcPr>
            <w:tcW w:w="2551" w:type="dxa"/>
            <w:noWrap/>
            <w:hideMark/>
          </w:tcPr>
          <w:p w:rsidRPr="00AF08FF" w:rsidR="00AF08FF" w:rsidP="00AF08FF" w:rsidRDefault="00AF08FF" w14:paraId="4E1FCBB2" w14:textId="3B01FE74">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kern w:val="0"/>
                <w:lang w:eastAsia="nl-NL"/>
              </w:rPr>
            </w:pPr>
            <w:r w:rsidRPr="00AF08FF">
              <w:rPr>
                <w:rFonts w:ascii="Calibri" w:hAnsi="Calibri" w:eastAsia="Times New Roman" w:cs="Calibri"/>
                <w:color w:val="000000"/>
                <w:kern w:val="0"/>
                <w:lang w:eastAsia="nl-NL"/>
              </w:rPr>
              <w:t xml:space="preserve"> € 150,00 </w:t>
            </w:r>
          </w:p>
        </w:tc>
      </w:tr>
    </w:tbl>
    <w:p w:rsidRPr="000D1562" w:rsidR="000D1562" w:rsidP="000D1562" w:rsidRDefault="000D1562" w14:paraId="48FFE84C" w14:textId="77777777">
      <w:pPr>
        <w:rPr>
          <w:rFonts w:ascii="Verdana" w:hAnsi="Verdana"/>
          <w:sz w:val="18"/>
          <w:szCs w:val="18"/>
        </w:rPr>
      </w:pPr>
    </w:p>
    <w:sectPr w:rsidRPr="000D1562" w:rsidR="000D1562" w:rsidSect="00E3097C">
      <w:footerReference w:type="even" r:id="rId7"/>
      <w:footerReference w:type="default" r:id="rId8"/>
      <w:footerReference w:type="first" r:id="rId9"/>
      <w:pgSz w:w="11906" w:h="16838"/>
      <w:pgMar w:top="1135"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0B78" w14:textId="77777777" w:rsidR="00E868CD" w:rsidRDefault="00E868CD" w:rsidP="00E868CD">
      <w:pPr>
        <w:spacing w:after="0" w:line="240" w:lineRule="auto"/>
      </w:pPr>
      <w:r>
        <w:separator/>
      </w:r>
    </w:p>
  </w:endnote>
  <w:endnote w:type="continuationSeparator" w:id="0">
    <w:p w14:paraId="0833431F" w14:textId="77777777" w:rsidR="00E868CD" w:rsidRDefault="00E868CD" w:rsidP="00E868CD">
      <w:pPr>
        <w:spacing w:after="0" w:line="240" w:lineRule="auto"/>
      </w:pPr>
      <w:r>
        <w:continuationSeparator/>
      </w:r>
    </w:p>
  </w:endnote>
  <w:endnote w:type="continuationNotice" w:id="1">
    <w:p w14:paraId="4A8A2854" w14:textId="77777777" w:rsidR="00BB388C" w:rsidRDefault="00BB3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25B1" w14:textId="26D9A8FC" w:rsidR="00E868CD" w:rsidRDefault="00E868CD">
    <w:pPr>
      <w:pStyle w:val="Voettekst"/>
    </w:pPr>
    <w:r>
      <w:rPr>
        <w:noProof/>
      </w:rPr>
      <mc:AlternateContent>
        <mc:Choice Requires="wps">
          <w:drawing>
            <wp:anchor distT="0" distB="0" distL="0" distR="0" simplePos="0" relativeHeight="251658241" behindDoc="0" locked="0" layoutInCell="1" allowOverlap="1" wp14:anchorId="07349FFF" wp14:editId="48D0BFBD">
              <wp:simplePos x="635" y="635"/>
              <wp:positionH relativeFrom="page">
                <wp:align>left</wp:align>
              </wp:positionH>
              <wp:positionV relativeFrom="page">
                <wp:align>bottom</wp:align>
              </wp:positionV>
              <wp:extent cx="982345" cy="357505"/>
              <wp:effectExtent l="0" t="0" r="8255" b="0"/>
              <wp:wrapNone/>
              <wp:docPr id="106305675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28C3FF0" w14:textId="797D96F3" w:rsidR="00E868CD" w:rsidRPr="00E868CD" w:rsidRDefault="00E868CD" w:rsidP="00E868CD">
                          <w:pPr>
                            <w:spacing w:after="0"/>
                            <w:rPr>
                              <w:rFonts w:ascii="Calibri" w:eastAsia="Calibri" w:hAnsi="Calibri" w:cs="Calibri"/>
                              <w:noProof/>
                              <w:color w:val="000000"/>
                              <w:sz w:val="20"/>
                              <w:szCs w:val="20"/>
                            </w:rPr>
                          </w:pPr>
                          <w:r w:rsidRPr="00E868C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349FFF"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228C3FF0" w14:textId="797D96F3" w:rsidR="00E868CD" w:rsidRPr="00E868CD" w:rsidRDefault="00E868CD" w:rsidP="00E868CD">
                    <w:pPr>
                      <w:spacing w:after="0"/>
                      <w:rPr>
                        <w:rFonts w:ascii="Calibri" w:eastAsia="Calibri" w:hAnsi="Calibri" w:cs="Calibri"/>
                        <w:noProof/>
                        <w:color w:val="000000"/>
                        <w:sz w:val="20"/>
                        <w:szCs w:val="20"/>
                      </w:rPr>
                    </w:pPr>
                    <w:r w:rsidRPr="00E868C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D0DF" w14:textId="5ECB1B94" w:rsidR="00E868CD" w:rsidRDefault="00E868CD">
    <w:pPr>
      <w:pStyle w:val="Voettekst"/>
    </w:pPr>
    <w:r>
      <w:rPr>
        <w:noProof/>
      </w:rPr>
      <mc:AlternateContent>
        <mc:Choice Requires="wps">
          <w:drawing>
            <wp:anchor distT="0" distB="0" distL="0" distR="0" simplePos="0" relativeHeight="251658242" behindDoc="0" locked="0" layoutInCell="1" allowOverlap="1" wp14:anchorId="30EDD57B" wp14:editId="0C348415">
              <wp:simplePos x="898497" y="10074303"/>
              <wp:positionH relativeFrom="page">
                <wp:align>left</wp:align>
              </wp:positionH>
              <wp:positionV relativeFrom="page">
                <wp:align>bottom</wp:align>
              </wp:positionV>
              <wp:extent cx="982345" cy="357505"/>
              <wp:effectExtent l="0" t="0" r="8255" b="0"/>
              <wp:wrapNone/>
              <wp:docPr id="106151838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0EC3D197" w14:textId="094C41B6" w:rsidR="00E868CD" w:rsidRPr="00E868CD" w:rsidRDefault="00E868CD" w:rsidP="00E868CD">
                          <w:pPr>
                            <w:spacing w:after="0"/>
                            <w:rPr>
                              <w:rFonts w:ascii="Calibri" w:eastAsia="Calibri" w:hAnsi="Calibri" w:cs="Calibri"/>
                              <w:noProof/>
                              <w:color w:val="000000"/>
                              <w:sz w:val="20"/>
                              <w:szCs w:val="20"/>
                            </w:rPr>
                          </w:pPr>
                          <w:r w:rsidRPr="00E868C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EDD57B" id="_x0000_t202" coordsize="21600,21600" o:spt="202" path="m,l,21600r21600,l21600,xe">
              <v:stroke joinstyle="miter"/>
              <v:path gradientshapeok="t" o:connecttype="rect"/>
            </v:shapetype>
            <v:shape id="Tekstvak 3" o:spid="_x0000_s1027" type="#_x0000_t202" alt="Intern gebruik" style="position:absolute;margin-left:0;margin-top:0;width:77.3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0EC3D197" w14:textId="094C41B6" w:rsidR="00E868CD" w:rsidRPr="00E868CD" w:rsidRDefault="00E868CD" w:rsidP="00E868CD">
                    <w:pPr>
                      <w:spacing w:after="0"/>
                      <w:rPr>
                        <w:rFonts w:ascii="Calibri" w:eastAsia="Calibri" w:hAnsi="Calibri" w:cs="Calibri"/>
                        <w:noProof/>
                        <w:color w:val="000000"/>
                        <w:sz w:val="20"/>
                        <w:szCs w:val="20"/>
                      </w:rPr>
                    </w:pPr>
                    <w:r w:rsidRPr="00E868C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3ACF" w14:textId="27765CF7" w:rsidR="00E868CD" w:rsidRDefault="00E868CD">
    <w:pPr>
      <w:pStyle w:val="Voettekst"/>
    </w:pPr>
    <w:r>
      <w:rPr>
        <w:noProof/>
      </w:rPr>
      <mc:AlternateContent>
        <mc:Choice Requires="wps">
          <w:drawing>
            <wp:anchor distT="0" distB="0" distL="0" distR="0" simplePos="0" relativeHeight="251658240" behindDoc="0" locked="0" layoutInCell="1" allowOverlap="1" wp14:anchorId="02D92BAD" wp14:editId="0872F692">
              <wp:simplePos x="635" y="635"/>
              <wp:positionH relativeFrom="page">
                <wp:align>left</wp:align>
              </wp:positionH>
              <wp:positionV relativeFrom="page">
                <wp:align>bottom</wp:align>
              </wp:positionV>
              <wp:extent cx="982345" cy="357505"/>
              <wp:effectExtent l="0" t="0" r="8255" b="0"/>
              <wp:wrapNone/>
              <wp:docPr id="98693103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7D4AD18C" w14:textId="3A55E8F6" w:rsidR="00E868CD" w:rsidRPr="00E868CD" w:rsidRDefault="00E868CD" w:rsidP="00E868CD">
                          <w:pPr>
                            <w:spacing w:after="0"/>
                            <w:rPr>
                              <w:rFonts w:ascii="Calibri" w:eastAsia="Calibri" w:hAnsi="Calibri" w:cs="Calibri"/>
                              <w:noProof/>
                              <w:color w:val="000000"/>
                              <w:sz w:val="20"/>
                              <w:szCs w:val="20"/>
                            </w:rPr>
                          </w:pPr>
                          <w:r w:rsidRPr="00E868C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D92BAD" id="_x0000_t202" coordsize="21600,21600" o:spt="202" path="m,l,21600r21600,l21600,xe">
              <v:stroke joinstyle="miter"/>
              <v:path gradientshapeok="t" o:connecttype="rect"/>
            </v:shapetype>
            <v:shape id="Tekstvak 1" o:spid="_x0000_s1028"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ALFA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" filled="f" stroked="f">
              <v:textbox style="mso-fit-shape-to-text:t" inset="20pt,0,0,15pt">
                <w:txbxContent>
                  <w:p w14:paraId="7D4AD18C" w14:textId="3A55E8F6" w:rsidR="00E868CD" w:rsidRPr="00E868CD" w:rsidRDefault="00E868CD" w:rsidP="00E868CD">
                    <w:pPr>
                      <w:spacing w:after="0"/>
                      <w:rPr>
                        <w:rFonts w:ascii="Calibri" w:eastAsia="Calibri" w:hAnsi="Calibri" w:cs="Calibri"/>
                        <w:noProof/>
                        <w:color w:val="000000"/>
                        <w:sz w:val="20"/>
                        <w:szCs w:val="20"/>
                      </w:rPr>
                    </w:pPr>
                    <w:r w:rsidRPr="00E868C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BC5D" w14:textId="77777777" w:rsidR="00E868CD" w:rsidRDefault="00E868CD" w:rsidP="00E868CD">
      <w:pPr>
        <w:spacing w:after="0" w:line="240" w:lineRule="auto"/>
      </w:pPr>
      <w:r>
        <w:separator/>
      </w:r>
    </w:p>
  </w:footnote>
  <w:footnote w:type="continuationSeparator" w:id="0">
    <w:p w14:paraId="2D6B0D72" w14:textId="77777777" w:rsidR="00E868CD" w:rsidRDefault="00E868CD" w:rsidP="00E868CD">
      <w:pPr>
        <w:spacing w:after="0" w:line="240" w:lineRule="auto"/>
      </w:pPr>
      <w:r>
        <w:continuationSeparator/>
      </w:r>
    </w:p>
  </w:footnote>
  <w:footnote w:type="continuationNotice" w:id="1">
    <w:p w14:paraId="485C16B6" w14:textId="77777777" w:rsidR="00BB388C" w:rsidRDefault="00BB388C">
      <w:pPr>
        <w:spacing w:after="0" w:line="240" w:lineRule="auto"/>
      </w:pPr>
    </w:p>
  </w:footnote>
  <w:footnote w:id="2">
    <w:p w14:paraId="3F2A0926" w14:textId="29867496" w:rsidR="0015566E" w:rsidRDefault="0015566E">
      <w:pPr>
        <w:pStyle w:val="Voetnoottekst"/>
      </w:pPr>
      <w:r>
        <w:rPr>
          <w:rStyle w:val="Voetnootmarkering"/>
        </w:rPr>
        <w:footnoteRef/>
      </w:r>
      <w:r>
        <w:t xml:space="preserve"> Afhankelijk uitkomsten bespreking RFL 8 april over besteding SCF-middelen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A524F"/>
    <w:multiLevelType w:val="hybridMultilevel"/>
    <w:tmpl w:val="4594D0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DBA030D"/>
    <w:multiLevelType w:val="hybridMultilevel"/>
    <w:tmpl w:val="4594D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F4D330C"/>
    <w:multiLevelType w:val="hybridMultilevel"/>
    <w:tmpl w:val="D5722430"/>
    <w:lvl w:ilvl="0" w:tplc="0922A05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B7A536E"/>
    <w:multiLevelType w:val="hybridMultilevel"/>
    <w:tmpl w:val="61985E0A"/>
    <w:lvl w:ilvl="0" w:tplc="90B62734">
      <w:start w:val="2"/>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33521217">
    <w:abstractNumId w:val="0"/>
  </w:num>
  <w:num w:numId="2" w16cid:durableId="1353263690">
    <w:abstractNumId w:val="2"/>
  </w:num>
  <w:num w:numId="3" w16cid:durableId="1255746215">
    <w:abstractNumId w:val="1"/>
  </w:num>
  <w:num w:numId="4" w16cid:durableId="1618439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62"/>
    <w:rsid w:val="00086C1A"/>
    <w:rsid w:val="000D1562"/>
    <w:rsid w:val="000D2FFD"/>
    <w:rsid w:val="0015566E"/>
    <w:rsid w:val="0017496E"/>
    <w:rsid w:val="001C7A46"/>
    <w:rsid w:val="00223A13"/>
    <w:rsid w:val="002707C1"/>
    <w:rsid w:val="00312D39"/>
    <w:rsid w:val="00394D89"/>
    <w:rsid w:val="003A5101"/>
    <w:rsid w:val="003B1277"/>
    <w:rsid w:val="003C582A"/>
    <w:rsid w:val="00445424"/>
    <w:rsid w:val="00450E9F"/>
    <w:rsid w:val="004A23E2"/>
    <w:rsid w:val="004A4485"/>
    <w:rsid w:val="004B4A0B"/>
    <w:rsid w:val="004F66F4"/>
    <w:rsid w:val="004F75BD"/>
    <w:rsid w:val="005866A8"/>
    <w:rsid w:val="005E2AE1"/>
    <w:rsid w:val="005F0D6D"/>
    <w:rsid w:val="006C764D"/>
    <w:rsid w:val="006E118A"/>
    <w:rsid w:val="0079361C"/>
    <w:rsid w:val="00803EB0"/>
    <w:rsid w:val="00817874"/>
    <w:rsid w:val="00872EBA"/>
    <w:rsid w:val="008921C5"/>
    <w:rsid w:val="008A18E0"/>
    <w:rsid w:val="00951A5C"/>
    <w:rsid w:val="00985898"/>
    <w:rsid w:val="0099784E"/>
    <w:rsid w:val="009E44CC"/>
    <w:rsid w:val="009F3355"/>
    <w:rsid w:val="00A24EC7"/>
    <w:rsid w:val="00A53875"/>
    <w:rsid w:val="00A6315D"/>
    <w:rsid w:val="00A63488"/>
    <w:rsid w:val="00A90AD9"/>
    <w:rsid w:val="00AC3DB8"/>
    <w:rsid w:val="00AF08FF"/>
    <w:rsid w:val="00B074B8"/>
    <w:rsid w:val="00B9358C"/>
    <w:rsid w:val="00BB388C"/>
    <w:rsid w:val="00BC3E86"/>
    <w:rsid w:val="00BE10A8"/>
    <w:rsid w:val="00BF02F4"/>
    <w:rsid w:val="00C10600"/>
    <w:rsid w:val="00C3488D"/>
    <w:rsid w:val="00C84290"/>
    <w:rsid w:val="00CA2927"/>
    <w:rsid w:val="00CA676B"/>
    <w:rsid w:val="00CC02D2"/>
    <w:rsid w:val="00CE1BCC"/>
    <w:rsid w:val="00CE674B"/>
    <w:rsid w:val="00D15FD0"/>
    <w:rsid w:val="00D26E95"/>
    <w:rsid w:val="00D73A30"/>
    <w:rsid w:val="00DA25EC"/>
    <w:rsid w:val="00DB06C5"/>
    <w:rsid w:val="00DB5881"/>
    <w:rsid w:val="00E175B8"/>
    <w:rsid w:val="00E3097C"/>
    <w:rsid w:val="00E32F2B"/>
    <w:rsid w:val="00E65BBD"/>
    <w:rsid w:val="00E868CD"/>
    <w:rsid w:val="00EA1FF8"/>
    <w:rsid w:val="00EC7A56"/>
    <w:rsid w:val="00F1291A"/>
    <w:rsid w:val="00F26357"/>
    <w:rsid w:val="00F53454"/>
    <w:rsid w:val="00F545A9"/>
    <w:rsid w:val="00F920B7"/>
    <w:rsid w:val="00FC51C9"/>
    <w:rsid w:val="00FD0247"/>
    <w:rsid w:val="00FF3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CCC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1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1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15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15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15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15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15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15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15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15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15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15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15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15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15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15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15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1562"/>
    <w:rPr>
      <w:rFonts w:eastAsiaTheme="majorEastAsia" w:cstheme="majorBidi"/>
      <w:color w:val="272727" w:themeColor="text1" w:themeTint="D8"/>
    </w:rPr>
  </w:style>
  <w:style w:type="paragraph" w:styleId="Titel">
    <w:name w:val="Title"/>
    <w:basedOn w:val="Standaard"/>
    <w:next w:val="Standaard"/>
    <w:link w:val="TitelChar"/>
    <w:uiPriority w:val="10"/>
    <w:qFormat/>
    <w:rsid w:val="000D1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15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15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15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15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1562"/>
    <w:rPr>
      <w:i/>
      <w:iCs/>
      <w:color w:val="404040" w:themeColor="text1" w:themeTint="BF"/>
    </w:rPr>
  </w:style>
  <w:style w:type="paragraph" w:styleId="Lijstalinea">
    <w:name w:val="List Paragraph"/>
    <w:basedOn w:val="Standaard"/>
    <w:uiPriority w:val="34"/>
    <w:qFormat/>
    <w:rsid w:val="000D1562"/>
    <w:pPr>
      <w:ind w:left="720"/>
      <w:contextualSpacing/>
    </w:pPr>
  </w:style>
  <w:style w:type="character" w:styleId="Intensievebenadrukking">
    <w:name w:val="Intense Emphasis"/>
    <w:basedOn w:val="Standaardalinea-lettertype"/>
    <w:uiPriority w:val="21"/>
    <w:qFormat/>
    <w:rsid w:val="000D1562"/>
    <w:rPr>
      <w:i/>
      <w:iCs/>
      <w:color w:val="0F4761" w:themeColor="accent1" w:themeShade="BF"/>
    </w:rPr>
  </w:style>
  <w:style w:type="paragraph" w:styleId="Duidelijkcitaat">
    <w:name w:val="Intense Quote"/>
    <w:basedOn w:val="Standaard"/>
    <w:next w:val="Standaard"/>
    <w:link w:val="DuidelijkcitaatChar"/>
    <w:uiPriority w:val="30"/>
    <w:qFormat/>
    <w:rsid w:val="000D1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1562"/>
    <w:rPr>
      <w:i/>
      <w:iCs/>
      <w:color w:val="0F4761" w:themeColor="accent1" w:themeShade="BF"/>
    </w:rPr>
  </w:style>
  <w:style w:type="character" w:styleId="Intensieveverwijzing">
    <w:name w:val="Intense Reference"/>
    <w:basedOn w:val="Standaardalinea-lettertype"/>
    <w:uiPriority w:val="32"/>
    <w:qFormat/>
    <w:rsid w:val="000D1562"/>
    <w:rPr>
      <w:b/>
      <w:bCs/>
      <w:smallCaps/>
      <w:color w:val="0F4761" w:themeColor="accent1" w:themeShade="BF"/>
      <w:spacing w:val="5"/>
    </w:rPr>
  </w:style>
  <w:style w:type="table" w:styleId="Rastertabel4-Accent4">
    <w:name w:val="Grid Table 4 Accent 4"/>
    <w:basedOn w:val="Standaardtabel"/>
    <w:uiPriority w:val="49"/>
    <w:rsid w:val="000D1562"/>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4-Accent1">
    <w:name w:val="Grid Table 4 Accent 1"/>
    <w:basedOn w:val="Standaardtabel"/>
    <w:uiPriority w:val="49"/>
    <w:rsid w:val="00AF08F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Voettekst">
    <w:name w:val="footer"/>
    <w:basedOn w:val="Standaard"/>
    <w:link w:val="VoettekstChar"/>
    <w:uiPriority w:val="99"/>
    <w:unhideWhenUsed/>
    <w:rsid w:val="00E868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68CD"/>
  </w:style>
  <w:style w:type="character" w:styleId="Verwijzingopmerking">
    <w:name w:val="annotation reference"/>
    <w:basedOn w:val="Standaardalinea-lettertype"/>
    <w:uiPriority w:val="99"/>
    <w:semiHidden/>
    <w:unhideWhenUsed/>
    <w:rsid w:val="00223A13"/>
    <w:rPr>
      <w:sz w:val="16"/>
      <w:szCs w:val="16"/>
    </w:rPr>
  </w:style>
  <w:style w:type="paragraph" w:styleId="Tekstopmerking">
    <w:name w:val="annotation text"/>
    <w:basedOn w:val="Standaard"/>
    <w:link w:val="TekstopmerkingChar"/>
    <w:uiPriority w:val="99"/>
    <w:unhideWhenUsed/>
    <w:rsid w:val="00223A13"/>
    <w:pPr>
      <w:spacing w:line="240" w:lineRule="auto"/>
    </w:pPr>
    <w:rPr>
      <w:sz w:val="20"/>
      <w:szCs w:val="20"/>
    </w:rPr>
  </w:style>
  <w:style w:type="character" w:customStyle="1" w:styleId="TekstopmerkingChar">
    <w:name w:val="Tekst opmerking Char"/>
    <w:basedOn w:val="Standaardalinea-lettertype"/>
    <w:link w:val="Tekstopmerking"/>
    <w:uiPriority w:val="99"/>
    <w:rsid w:val="00223A13"/>
    <w:rPr>
      <w:sz w:val="20"/>
      <w:szCs w:val="20"/>
    </w:rPr>
  </w:style>
  <w:style w:type="paragraph" w:styleId="Onderwerpvanopmerking">
    <w:name w:val="annotation subject"/>
    <w:basedOn w:val="Tekstopmerking"/>
    <w:next w:val="Tekstopmerking"/>
    <w:link w:val="OnderwerpvanopmerkingChar"/>
    <w:uiPriority w:val="99"/>
    <w:semiHidden/>
    <w:unhideWhenUsed/>
    <w:rsid w:val="00223A13"/>
    <w:rPr>
      <w:b/>
      <w:bCs/>
    </w:rPr>
  </w:style>
  <w:style w:type="character" w:customStyle="1" w:styleId="OnderwerpvanopmerkingChar">
    <w:name w:val="Onderwerp van opmerking Char"/>
    <w:basedOn w:val="TekstopmerkingChar"/>
    <w:link w:val="Onderwerpvanopmerking"/>
    <w:uiPriority w:val="99"/>
    <w:semiHidden/>
    <w:rsid w:val="00223A13"/>
    <w:rPr>
      <w:b/>
      <w:bCs/>
      <w:sz w:val="20"/>
      <w:szCs w:val="20"/>
    </w:rPr>
  </w:style>
  <w:style w:type="paragraph" w:styleId="Koptekst">
    <w:name w:val="header"/>
    <w:basedOn w:val="Standaard"/>
    <w:link w:val="KoptekstChar"/>
    <w:uiPriority w:val="99"/>
    <w:unhideWhenUsed/>
    <w:rsid w:val="00BB38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388C"/>
  </w:style>
  <w:style w:type="paragraph" w:styleId="Voetnoottekst">
    <w:name w:val="footnote text"/>
    <w:basedOn w:val="Standaard"/>
    <w:link w:val="VoetnoottekstChar"/>
    <w:uiPriority w:val="99"/>
    <w:semiHidden/>
    <w:unhideWhenUsed/>
    <w:rsid w:val="0015566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5566E"/>
    <w:rPr>
      <w:sz w:val="20"/>
      <w:szCs w:val="20"/>
    </w:rPr>
  </w:style>
  <w:style w:type="character" w:styleId="Voetnootmarkering">
    <w:name w:val="footnote reference"/>
    <w:basedOn w:val="Standaardalinea-lettertype"/>
    <w:uiPriority w:val="99"/>
    <w:semiHidden/>
    <w:unhideWhenUsed/>
    <w:rsid w:val="001556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88998">
      <w:bodyDiv w:val="1"/>
      <w:marLeft w:val="0"/>
      <w:marRight w:val="0"/>
      <w:marTop w:val="0"/>
      <w:marBottom w:val="0"/>
      <w:divBdr>
        <w:top w:val="none" w:sz="0" w:space="0" w:color="auto"/>
        <w:left w:val="none" w:sz="0" w:space="0" w:color="auto"/>
        <w:bottom w:val="none" w:sz="0" w:space="0" w:color="auto"/>
        <w:right w:val="none" w:sz="0" w:space="0" w:color="auto"/>
      </w:divBdr>
    </w:div>
    <w:div w:id="639190148">
      <w:bodyDiv w:val="1"/>
      <w:marLeft w:val="0"/>
      <w:marRight w:val="0"/>
      <w:marTop w:val="0"/>
      <w:marBottom w:val="0"/>
      <w:divBdr>
        <w:top w:val="none" w:sz="0" w:space="0" w:color="auto"/>
        <w:left w:val="none" w:sz="0" w:space="0" w:color="auto"/>
        <w:bottom w:val="none" w:sz="0" w:space="0" w:color="auto"/>
        <w:right w:val="none" w:sz="0" w:space="0" w:color="auto"/>
      </w:divBdr>
    </w:div>
    <w:div w:id="1456168910">
      <w:bodyDiv w:val="1"/>
      <w:marLeft w:val="0"/>
      <w:marRight w:val="0"/>
      <w:marTop w:val="0"/>
      <w:marBottom w:val="0"/>
      <w:divBdr>
        <w:top w:val="none" w:sz="0" w:space="0" w:color="auto"/>
        <w:left w:val="none" w:sz="0" w:space="0" w:color="auto"/>
        <w:bottom w:val="none" w:sz="0" w:space="0" w:color="auto"/>
        <w:right w:val="none" w:sz="0" w:space="0" w:color="auto"/>
      </w:divBdr>
    </w:div>
    <w:div w:id="203780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483</ap:Words>
  <ap:Characters>2658</ap:Characters>
  <ap:DocSecurity>0</ap:DocSecurity>
  <ap:Lines>22</ap:Lines>
  <ap:Paragraphs>6</ap:Paragraphs>
  <ap:ScaleCrop>false</ap:ScaleCrop>
  <ap:LinksUpToDate>false</ap:LinksUpToDate>
  <ap:CharactersWithSpaces>3135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2025-06-02T14:53:00.0000000Z</dcterms:created>
  <dcterms:modified xsi:type="dcterms:W3CDTF">2025-06-02T14:53:00.0000000Z</dcterms:modified>
  <version/>
  <category/>
</coreProperties>
</file>