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485E" w:rsidRDefault="00D5485E" w14:paraId="7C7CCA24" w14:textId="77777777">
      <w:pPr>
        <w:rPr>
          <w:b/>
          <w:bCs/>
        </w:rPr>
      </w:pPr>
      <w:r>
        <w:rPr>
          <w:b/>
          <w:bCs/>
        </w:rPr>
        <w:t>Stuk 30A</w:t>
      </w:r>
    </w:p>
    <w:p w:rsidR="002A769E" w:rsidRDefault="00B6291D" w14:paraId="6032C8F5" w14:textId="3435514D">
      <w:pPr>
        <w:rPr>
          <w:b/>
          <w:bCs/>
        </w:rPr>
      </w:pPr>
      <w:r>
        <w:rPr>
          <w:b/>
          <w:bCs/>
        </w:rPr>
        <w:t xml:space="preserve">Pakketten </w:t>
      </w:r>
      <w:r w:rsidRPr="00F70261" w:rsidR="00F70261">
        <w:rPr>
          <w:b/>
          <w:bCs/>
        </w:rPr>
        <w:t>Glastuinbouw</w:t>
      </w:r>
    </w:p>
    <w:p w:rsidR="002A769E" w:rsidRDefault="002A769E" w14:paraId="14D08B3F" w14:textId="77777777">
      <w:pPr>
        <w:rPr>
          <w:b/>
          <w:bCs/>
        </w:rPr>
      </w:pPr>
    </w:p>
    <w:p w:rsidR="002A769E" w:rsidRDefault="002A769E" w14:paraId="5AF2C13D" w14:textId="49D5AB89">
      <w:pPr>
        <w:rPr>
          <w:b/>
          <w:bCs/>
        </w:rPr>
      </w:pPr>
      <w:r>
        <w:rPr>
          <w:b/>
          <w:bCs/>
        </w:rPr>
        <w:t>Aanleiding</w:t>
      </w:r>
    </w:p>
    <w:p w:rsidR="009B6F10" w:rsidP="003252DC" w:rsidRDefault="007255BC" w14:paraId="131190E3" w14:textId="65F55223">
      <w:pPr>
        <w:spacing w:line="360" w:lineRule="auto"/>
        <w:rPr>
          <w:szCs w:val="18"/>
        </w:rPr>
      </w:pPr>
      <w:r w:rsidRPr="00412448">
        <w:rPr>
          <w:szCs w:val="18"/>
        </w:rPr>
        <w:t>In het B</w:t>
      </w:r>
      <w:r w:rsidR="009B6F10">
        <w:rPr>
          <w:szCs w:val="18"/>
        </w:rPr>
        <w:t>W</w:t>
      </w:r>
      <w:r w:rsidRPr="00412448">
        <w:rPr>
          <w:szCs w:val="18"/>
        </w:rPr>
        <w:t xml:space="preserve">O </w:t>
      </w:r>
      <w:r w:rsidRPr="00412448" w:rsidR="00A0730A">
        <w:rPr>
          <w:szCs w:val="18"/>
        </w:rPr>
        <w:t xml:space="preserve">Glastuinbouw van </w:t>
      </w:r>
      <w:r w:rsidR="009B6F10">
        <w:rPr>
          <w:szCs w:val="18"/>
        </w:rPr>
        <w:t xml:space="preserve">31 maart </w:t>
      </w:r>
      <w:r w:rsidRPr="00412448" w:rsidR="00A0730A">
        <w:rPr>
          <w:szCs w:val="18"/>
        </w:rPr>
        <w:t xml:space="preserve">jl. </w:t>
      </w:r>
      <w:r w:rsidR="009B6F10">
        <w:rPr>
          <w:szCs w:val="18"/>
        </w:rPr>
        <w:t>zijn twee samenhangende pakketten voor de glastuinbouw besproken. Ambtelijk zijn de pakketten zodanig aangepast zodat pakket 2 mogelijk tijdens het BO van 10 april jl. geagendeerd kan worden. Onderstaand worden de twee pakketten toegelicht.</w:t>
      </w:r>
    </w:p>
    <w:p w:rsidR="009B6F10" w:rsidP="003252DC" w:rsidRDefault="009B6F10" w14:paraId="79B41005" w14:textId="77777777">
      <w:pPr>
        <w:spacing w:line="360" w:lineRule="auto"/>
        <w:rPr>
          <w:szCs w:val="18"/>
        </w:rPr>
      </w:pPr>
    </w:p>
    <w:p w:rsidRPr="009C47EA" w:rsidR="009C47EA" w:rsidP="003252DC" w:rsidRDefault="009C47EA" w14:paraId="0C0D0EF7" w14:textId="6CB1A5E9">
      <w:pPr>
        <w:spacing w:line="360" w:lineRule="auto"/>
        <w:rPr>
          <w:b/>
          <w:bCs/>
          <w:szCs w:val="18"/>
        </w:rPr>
      </w:pPr>
      <w:r w:rsidRPr="009C47EA">
        <w:rPr>
          <w:b/>
          <w:bCs/>
          <w:szCs w:val="18"/>
        </w:rPr>
        <w:t>Beslispunt</w:t>
      </w:r>
    </w:p>
    <w:p w:rsidRPr="004D0BF5" w:rsidR="009C47EA" w:rsidP="004D0BF5" w:rsidRDefault="009C47EA" w14:paraId="2D21F91B" w14:textId="200DB879">
      <w:pPr>
        <w:spacing w:line="360" w:lineRule="auto"/>
        <w:rPr>
          <w:szCs w:val="18"/>
        </w:rPr>
      </w:pPr>
      <w:r w:rsidRPr="004D0BF5">
        <w:rPr>
          <w:szCs w:val="18"/>
        </w:rPr>
        <w:t>Kunt u akkoord gaan met het bespreken van pakket 2 tijdens het Bestuurlijk overleg met Glastuinbouw Nederland?</w:t>
      </w:r>
    </w:p>
    <w:p w:rsidR="009C47EA" w:rsidP="003252DC" w:rsidRDefault="009C47EA" w14:paraId="6A206DB3" w14:textId="77777777">
      <w:pPr>
        <w:spacing w:line="360" w:lineRule="auto"/>
        <w:rPr>
          <w:szCs w:val="18"/>
        </w:rPr>
      </w:pPr>
    </w:p>
    <w:p w:rsidRPr="001A7203" w:rsidR="001A7203" w:rsidP="003252DC" w:rsidRDefault="001A7203" w14:paraId="28186B2C" w14:textId="785E831B">
      <w:pPr>
        <w:spacing w:line="360" w:lineRule="auto"/>
        <w:rPr>
          <w:b/>
          <w:bCs/>
        </w:rPr>
      </w:pPr>
      <w:r w:rsidRPr="001A7203">
        <w:rPr>
          <w:b/>
          <w:bCs/>
        </w:rPr>
        <w:t>Toelichting</w:t>
      </w:r>
      <w:r>
        <w:rPr>
          <w:b/>
          <w:bCs/>
        </w:rPr>
        <w:t xml:space="preserve"> </w:t>
      </w:r>
      <w:r w:rsidR="009B6F10">
        <w:rPr>
          <w:b/>
          <w:bCs/>
        </w:rPr>
        <w:t>pakketten</w:t>
      </w:r>
    </w:p>
    <w:p w:rsidR="00A0730A" w:rsidP="00A0730A" w:rsidRDefault="00A0730A" w14:paraId="3ED5971C" w14:textId="0A9A3F60">
      <w:pPr>
        <w:spacing w:line="360" w:lineRule="auto"/>
      </w:pPr>
    </w:p>
    <w:p w:rsidRPr="00A0730A" w:rsidR="00A0730A" w:rsidP="00A0730A" w:rsidRDefault="009B6F10" w14:paraId="2EF33670" w14:textId="200CC4AA">
      <w:pPr>
        <w:spacing w:line="360" w:lineRule="auto"/>
        <w:rPr>
          <w:u w:val="single"/>
        </w:rPr>
      </w:pPr>
      <w:r>
        <w:rPr>
          <w:u w:val="single"/>
        </w:rPr>
        <w:t>Pakket 1 (I</w:t>
      </w:r>
      <w:r w:rsidRPr="00A0730A" w:rsidR="00A0730A">
        <w:rPr>
          <w:u w:val="single"/>
        </w:rPr>
        <w:t>ntroductie ETS2 glastuinbouw</w:t>
      </w:r>
      <w:r>
        <w:rPr>
          <w:u w:val="single"/>
        </w:rPr>
        <w:t>)</w:t>
      </w:r>
    </w:p>
    <w:p w:rsidR="00A0730A" w:rsidP="005D7206" w:rsidRDefault="00A0730A" w14:paraId="294FCF0E" w14:textId="1488B4D3">
      <w:pPr>
        <w:pStyle w:val="Lijstalinea"/>
        <w:numPr>
          <w:ilvl w:val="0"/>
          <w:numId w:val="2"/>
        </w:numPr>
        <w:spacing w:line="360" w:lineRule="auto"/>
      </w:pPr>
      <w:r>
        <w:t xml:space="preserve">Het kabinet </w:t>
      </w:r>
      <w:r w:rsidR="009B6F10">
        <w:t xml:space="preserve">zet in </w:t>
      </w:r>
      <w:r>
        <w:t xml:space="preserve">op deelname van de glastuinbouw aan ETS2 via een </w:t>
      </w:r>
      <w:proofErr w:type="spellStart"/>
      <w:r>
        <w:t>opt</w:t>
      </w:r>
      <w:proofErr w:type="spellEnd"/>
      <w:r>
        <w:t>-in</w:t>
      </w:r>
      <w:r w:rsidR="00AA5CF7">
        <w:t xml:space="preserve"> vanaf 1 januari 2027</w:t>
      </w:r>
      <w:r>
        <w:t xml:space="preserve">. </w:t>
      </w:r>
      <w:r w:rsidR="00AA5CF7">
        <w:t xml:space="preserve">Dit om uitvoeringstechnische </w:t>
      </w:r>
      <w:r w:rsidR="004F0A8E">
        <w:t xml:space="preserve">redenen </w:t>
      </w:r>
      <w:r w:rsidR="00AA5CF7">
        <w:t>(</w:t>
      </w:r>
      <w:r w:rsidR="008C3814">
        <w:t>energieleveranciers kunnen</w:t>
      </w:r>
      <w:r w:rsidR="00AA5CF7">
        <w:t xml:space="preserve"> de glastuinbouw niet </w:t>
      </w:r>
      <w:r w:rsidR="004F0A8E">
        <w:t xml:space="preserve">op voorhand </w:t>
      </w:r>
      <w:r w:rsidR="00AA5CF7">
        <w:t>uitsluiten van ET</w:t>
      </w:r>
      <w:r w:rsidR="004F0A8E">
        <w:t>S</w:t>
      </w:r>
      <w:r w:rsidR="00A20582">
        <w:t>2</w:t>
      </w:r>
      <w:r w:rsidR="00AA5CF7">
        <w:t xml:space="preserve">) en budgettaire redenen (overheid mag extra emissierechten </w:t>
      </w:r>
      <w:r w:rsidR="004F0A8E">
        <w:t xml:space="preserve">wegens deelname </w:t>
      </w:r>
      <w:r w:rsidR="00AA5CF7">
        <w:t>glastuinbouw verkopen</w:t>
      </w:r>
      <w:r w:rsidR="008C3814">
        <w:t>, wat inkomsten oplevert</w:t>
      </w:r>
      <w:r w:rsidR="00AA5CF7">
        <w:t>).</w:t>
      </w:r>
    </w:p>
    <w:p w:rsidR="009B6F10" w:rsidP="00A20582" w:rsidRDefault="000463DF" w14:paraId="17972428" w14:textId="66CF519C">
      <w:pPr>
        <w:pStyle w:val="Lijstalinea"/>
        <w:numPr>
          <w:ilvl w:val="0"/>
          <w:numId w:val="2"/>
        </w:numPr>
        <w:spacing w:line="360" w:lineRule="auto"/>
        <w:ind w:left="714" w:hanging="357"/>
      </w:pPr>
      <w:r>
        <w:t xml:space="preserve">De CO2-heffing glastuinbouw wordt </w:t>
      </w:r>
      <w:r w:rsidR="009B6F10">
        <w:t xml:space="preserve">vanaf 1 januari 2027 </w:t>
      </w:r>
      <w:r>
        <w:t>afgeschaft.</w:t>
      </w:r>
      <w:r w:rsidR="009B6F10">
        <w:t xml:space="preserve"> Dit ter gedeeltelijke compensatie van de deelname van de glastuinbouw aan ETS2.</w:t>
      </w:r>
    </w:p>
    <w:p w:rsidR="00C742AA" w:rsidP="00C742AA" w:rsidRDefault="00C742AA" w14:paraId="11D5D8AC" w14:textId="5FEA3781">
      <w:pPr>
        <w:pStyle w:val="Lijstalinea"/>
        <w:numPr>
          <w:ilvl w:val="0"/>
          <w:numId w:val="2"/>
        </w:numPr>
        <w:spacing w:line="360" w:lineRule="auto"/>
        <w:ind w:left="714" w:hanging="357"/>
      </w:pPr>
      <w:r>
        <w:t>Het kabinet zet in op het zo spoedig mogelijk realiseren van een kostencompensatieregeling voor ETS2. Hiermee wordt de “</w:t>
      </w:r>
      <w:proofErr w:type="spellStart"/>
      <w:r>
        <w:t>overshoot</w:t>
      </w:r>
      <w:proofErr w:type="spellEnd"/>
      <w:r>
        <w:t>” van ETS2 op het Convenant Energietransitie Glastuinbouw voor ieder individueel glastuinbouwbedrijf direct gecompenseerd.</w:t>
      </w:r>
      <w:r w:rsidR="004662B0">
        <w:t xml:space="preserve"> De hoogte van de kostencompensatie zal tweejaarlijks worden afgestemd op de verduurzamingsambitie van de glastuinbouwsector conform het Convenant Energietransitie Glastuinbouw (conform systematiek huidige tariefstudie). </w:t>
      </w:r>
    </w:p>
    <w:p w:rsidRPr="00C742AA" w:rsidR="00C742AA" w:rsidP="007A7D81" w:rsidRDefault="004662B0" w14:paraId="4806D9C5" w14:textId="391E2AAC">
      <w:pPr>
        <w:pStyle w:val="Lijstalinea"/>
        <w:numPr>
          <w:ilvl w:val="0"/>
          <w:numId w:val="2"/>
        </w:numPr>
        <w:spacing w:line="360" w:lineRule="auto"/>
      </w:pPr>
      <w:r>
        <w:t xml:space="preserve">Er is een kans dat </w:t>
      </w:r>
      <w:r w:rsidR="00C742AA">
        <w:t xml:space="preserve">een kostencompensatieregeling voor ETS2 nog niet direct per 1 januari 2027 van start gaan. </w:t>
      </w:r>
      <w:r>
        <w:t xml:space="preserve">Om zekerheid te bieden over tijdige compensatie stelt het kabinet voor </w:t>
      </w:r>
      <w:r w:rsidR="00C742AA">
        <w:t xml:space="preserve">om de verlaagde energiebelastingtarieven zodanig te verlagen dat de </w:t>
      </w:r>
      <w:r>
        <w:t xml:space="preserve">macro-lasten van de </w:t>
      </w:r>
      <w:r w:rsidR="00C742AA">
        <w:t>“</w:t>
      </w:r>
      <w:proofErr w:type="spellStart"/>
      <w:r w:rsidR="00C742AA">
        <w:t>overshoot</w:t>
      </w:r>
      <w:proofErr w:type="spellEnd"/>
      <w:r w:rsidR="00C742AA">
        <w:t xml:space="preserve">” van ETS2 in 2027 en 2028 wordt gecompenseerd. </w:t>
      </w:r>
      <w:r w:rsidR="007A7D81">
        <w:t xml:space="preserve">Daartoe worden de bestaande verlaagde tarieven in 2027 en 2028 verlaagd tot </w:t>
      </w:r>
      <w:r w:rsidR="00B6291D">
        <w:t xml:space="preserve">maximaal </w:t>
      </w:r>
      <w:r w:rsidR="007A7D81">
        <w:t>het niveau van 2026</w:t>
      </w:r>
      <w:r w:rsidR="00B6291D">
        <w:t xml:space="preserve"> (in verband met het Herstel- en Veerkrachtplan)</w:t>
      </w:r>
      <w:r w:rsidR="007A7D81">
        <w:t xml:space="preserve">. Tevens wordt een aanvullend </w:t>
      </w:r>
      <w:r w:rsidRPr="00C742AA" w:rsidR="00C742AA">
        <w:t>verlaagd energiebelastingtarief (tot 10 mln. m3 aardgas) geïntroduceerd waarmee grote glastuinbouwbedrijven beter gecompenseerd kunnen worden.</w:t>
      </w:r>
      <w:r w:rsidR="009A395B">
        <w:t xml:space="preserve"> Bij ingang van de kostencompensatieregeling (uiterlijk 1 januari 2029) wordt teruggekeerd naar het huidige afbouwpad van de verlaagde energiebelastingtarieven.</w:t>
      </w:r>
    </w:p>
    <w:p w:rsidR="00C742AA" w:rsidP="00C742AA" w:rsidRDefault="00C742AA" w14:paraId="17CCB70B" w14:textId="03A4437A">
      <w:pPr>
        <w:pStyle w:val="Lijstalinea"/>
        <w:numPr>
          <w:ilvl w:val="0"/>
          <w:numId w:val="2"/>
        </w:numPr>
        <w:spacing w:line="360" w:lineRule="auto"/>
        <w:ind w:left="714" w:hanging="357"/>
      </w:pPr>
      <w:r>
        <w:lastRenderedPageBreak/>
        <w:t>Mocht het vooruitzicht zijn dat de kostencompensatieregeling per 1 januari 2029 nog niet kan worden geïntroduceerd, dan treedt het kabinet in overleg met de sector over de dan beschikbaar zijnde alternatieven.</w:t>
      </w:r>
      <w:r w:rsidR="004662B0">
        <w:t xml:space="preserve"> Daarbij zal ook worden overwogen om alsnog geen gebruik te maken van de </w:t>
      </w:r>
      <w:proofErr w:type="spellStart"/>
      <w:r w:rsidR="004662B0">
        <w:t>opt</w:t>
      </w:r>
      <w:proofErr w:type="spellEnd"/>
      <w:r w:rsidR="004662B0">
        <w:t>-in voor ETS2.</w:t>
      </w:r>
    </w:p>
    <w:p w:rsidR="00001C64" w:rsidP="00A20582" w:rsidRDefault="00001C64" w14:paraId="100F6B85" w14:textId="415E0AE6">
      <w:pPr>
        <w:pStyle w:val="Lijstalinea"/>
        <w:numPr>
          <w:ilvl w:val="0"/>
          <w:numId w:val="2"/>
        </w:numPr>
        <w:spacing w:line="360" w:lineRule="auto"/>
        <w:ind w:left="714" w:hanging="357"/>
      </w:pPr>
      <w:r>
        <w:t xml:space="preserve">De inkomsten die de </w:t>
      </w:r>
      <w:proofErr w:type="spellStart"/>
      <w:r>
        <w:t>opt</w:t>
      </w:r>
      <w:proofErr w:type="spellEnd"/>
      <w:r>
        <w:t>-in oplevert en niet nodig zijn voor het dekken van de compensatie voor de glastuinbouw, komen beschikbaar voor het verbeteren van de randvoorwaarden van de glastuinbouw via het Actieprogramma Randvoorwaarden Energietransitie Glastuinbouw. Naar huidige inzichten bedraagt dit cumulatief tot 2030 circa 300 mln. euro.</w:t>
      </w:r>
    </w:p>
    <w:p w:rsidR="00C974D9" w:rsidP="00C974D9" w:rsidRDefault="00C974D9" w14:paraId="6A665C24" w14:textId="45CE6C3A">
      <w:pPr>
        <w:pStyle w:val="Lijstalinea"/>
        <w:numPr>
          <w:ilvl w:val="0"/>
          <w:numId w:val="2"/>
        </w:numPr>
        <w:spacing w:line="360" w:lineRule="auto"/>
      </w:pPr>
      <w:r>
        <w:t xml:space="preserve">Berenschot en </w:t>
      </w:r>
      <w:proofErr w:type="spellStart"/>
      <w:r>
        <w:t>Kalavasta</w:t>
      </w:r>
      <w:proofErr w:type="spellEnd"/>
      <w:r>
        <w:t xml:space="preserve"> zullen worden gevraagd om een definitieve doorrekening te maken van het voorgestelde pakket aan maatregelen en effecten op verschillende typen glastuinbouwbedrijven (ook energiebedrijven voor de glastuinbouw). Hierbij kunnen de effecten nader worden geoptimaliseerd mede aan de hand van de wensen van Glastuinbouw Nederland. In de augustusbesluitvorming kunnen de definitieve tarieven worden vastgesteld.</w:t>
      </w:r>
    </w:p>
    <w:p w:rsidR="0045662A" w:rsidP="00A20582" w:rsidRDefault="00E84206" w14:paraId="1BAE9139" w14:textId="2239D87F">
      <w:pPr>
        <w:pStyle w:val="Lijstalinea"/>
        <w:numPr>
          <w:ilvl w:val="0"/>
          <w:numId w:val="2"/>
        </w:numPr>
        <w:spacing w:line="360" w:lineRule="auto"/>
        <w:ind w:left="714" w:hanging="357"/>
      </w:pPr>
      <w:r>
        <w:t xml:space="preserve">Het kabinet </w:t>
      </w:r>
      <w:r w:rsidR="00A20582">
        <w:t xml:space="preserve">stelt voor om </w:t>
      </w:r>
      <w:r w:rsidR="004662B0">
        <w:t xml:space="preserve">na dit voorjaar </w:t>
      </w:r>
      <w:r w:rsidR="009F4BA1">
        <w:t xml:space="preserve">samen afspraken te maken over de energietransitie van de glastuinbouw na 2030. </w:t>
      </w:r>
      <w:r w:rsidR="00A20582">
        <w:t>Als onderdeel hiervan kunnen afspraken worden gemaakt over de klimaatdoelen voor de glastuinbouw na 2030 en het benodigde beleidsinstrumentarium.</w:t>
      </w:r>
      <w:r w:rsidR="008C3814">
        <w:t xml:space="preserve"> </w:t>
      </w:r>
    </w:p>
    <w:p w:rsidR="00B6291D" w:rsidRDefault="00B6291D" w14:paraId="78A5F501" w14:textId="4FD4F677"/>
    <w:p w:rsidRPr="008C73AA" w:rsidR="008C73AA" w:rsidP="008C73AA" w:rsidRDefault="00C742AA" w14:paraId="56582149" w14:textId="37075EDE">
      <w:pPr>
        <w:spacing w:line="360" w:lineRule="auto"/>
        <w:rPr>
          <w:u w:val="single"/>
        </w:rPr>
      </w:pPr>
      <w:r>
        <w:rPr>
          <w:u w:val="single"/>
        </w:rPr>
        <w:t>Pakket 2 (</w:t>
      </w:r>
      <w:r w:rsidR="001A7203">
        <w:rPr>
          <w:u w:val="single"/>
        </w:rPr>
        <w:t>Introductie b</w:t>
      </w:r>
      <w:r w:rsidRPr="008C73AA" w:rsidR="008C73AA">
        <w:rPr>
          <w:u w:val="single"/>
        </w:rPr>
        <w:t>ijmengverplichting groen gas</w:t>
      </w:r>
      <w:r>
        <w:rPr>
          <w:u w:val="single"/>
        </w:rPr>
        <w:t>)</w:t>
      </w:r>
    </w:p>
    <w:p w:rsidR="00F66123" w:rsidP="005D7206" w:rsidRDefault="007C0E09" w14:paraId="6CFEDF69" w14:textId="58F8B5AD">
      <w:pPr>
        <w:pStyle w:val="Lijstalinea"/>
        <w:numPr>
          <w:ilvl w:val="0"/>
          <w:numId w:val="2"/>
        </w:numPr>
        <w:spacing w:line="360" w:lineRule="auto"/>
      </w:pPr>
      <w:r>
        <w:t>Pakket 2 is voor wat betreft de introductie van ETS2 gelijk aan pakket 1.</w:t>
      </w:r>
      <w:r w:rsidR="00001C64">
        <w:t xml:space="preserve"> De per saldo opbrengst wordt echter niet besteedt aan het Actieprogramma Randvoorwaarden Energietransitie, maar ter compensatie van de bijmengverplichting groen gas.</w:t>
      </w:r>
    </w:p>
    <w:p w:rsidR="00001C64" w:rsidP="005D7206" w:rsidRDefault="00001C64" w14:paraId="1EB8D9D7" w14:textId="0D55A9FC">
      <w:pPr>
        <w:pStyle w:val="Lijstalinea"/>
        <w:numPr>
          <w:ilvl w:val="0"/>
          <w:numId w:val="2"/>
        </w:numPr>
        <w:spacing w:line="360" w:lineRule="auto"/>
      </w:pPr>
      <w:r>
        <w:t>H</w:t>
      </w:r>
      <w:r w:rsidR="008C73AA">
        <w:t xml:space="preserve">et kabinet </w:t>
      </w:r>
      <w:r w:rsidR="78265E22">
        <w:t xml:space="preserve">streeft </w:t>
      </w:r>
      <w:r w:rsidR="00F66123">
        <w:t xml:space="preserve">ernaar </w:t>
      </w:r>
      <w:r w:rsidR="0096349F">
        <w:t xml:space="preserve">om </w:t>
      </w:r>
      <w:r w:rsidR="008C73AA">
        <w:t xml:space="preserve">per 1 januari 2027 een bijmengverplichting groen gas </w:t>
      </w:r>
      <w:r>
        <w:t xml:space="preserve">te </w:t>
      </w:r>
      <w:r w:rsidR="008C73AA">
        <w:t xml:space="preserve">introduceren voor ETS2 </w:t>
      </w:r>
      <w:r>
        <w:t xml:space="preserve">sectoren </w:t>
      </w:r>
      <w:r w:rsidR="008C73AA">
        <w:t xml:space="preserve">(incl. glastuinbouw). </w:t>
      </w:r>
      <w:r>
        <w:t>Dit omdat een bijmengverplichting belangrijk is voor een robuust toekomstig energiesysteem, voor het verdienvermogen en stikstof- en methaanreductie in de landbouw en voor het aanbod van duurzame CO2, waar de glastuinbouw ook baat bij heeft.</w:t>
      </w:r>
    </w:p>
    <w:p w:rsidR="008C73AA" w:rsidP="00001C64" w:rsidRDefault="00001C64" w14:paraId="5A047128" w14:textId="0D253B39">
      <w:pPr>
        <w:pStyle w:val="Lijstalinea"/>
        <w:numPr>
          <w:ilvl w:val="0"/>
          <w:numId w:val="2"/>
        </w:numPr>
        <w:spacing w:line="360" w:lineRule="auto"/>
      </w:pPr>
      <w:r>
        <w:t xml:space="preserve">Wel stelt het kabinet de ambitie van het huidige wetsvoorstel voor de bijmengverplichting op twee punten bij. In de eerste plaats gaat de bijmengverplichting per 1 januari 2027 gelden en in de tweede plaats wordt de verplichte hoeveelheid bij te mengen groen gas gereduceerd met 25%. </w:t>
      </w:r>
      <w:r w:rsidR="000B7566">
        <w:t xml:space="preserve">Beide aanpassingen leiden </w:t>
      </w:r>
      <w:r>
        <w:t>naar verwachting tot een halvering van de geraamde stijging van de aardgasprijs tot 2030.</w:t>
      </w:r>
    </w:p>
    <w:p w:rsidR="00F61E20" w:rsidP="00C974D9" w:rsidRDefault="00B7594E" w14:paraId="53115D0F" w14:textId="54D3E2E6">
      <w:pPr>
        <w:pStyle w:val="Lijstalinea"/>
        <w:numPr>
          <w:ilvl w:val="0"/>
          <w:numId w:val="2"/>
        </w:numPr>
        <w:spacing w:line="360" w:lineRule="auto"/>
      </w:pPr>
      <w:r>
        <w:t>De introductie van een bijmengverplichting per 1 januari 2027 zorgt voor een “</w:t>
      </w:r>
      <w:proofErr w:type="spellStart"/>
      <w:r>
        <w:t>overshoot</w:t>
      </w:r>
      <w:proofErr w:type="spellEnd"/>
      <w:r>
        <w:t xml:space="preserve">” ten opzichte van het Convenant Energietransitie Glastuinbouw. Het kabinet </w:t>
      </w:r>
      <w:r w:rsidR="007C0E09">
        <w:t xml:space="preserve">compenseert </w:t>
      </w:r>
      <w:r>
        <w:t>deze “</w:t>
      </w:r>
      <w:proofErr w:type="spellStart"/>
      <w:r>
        <w:t>overshoot</w:t>
      </w:r>
      <w:proofErr w:type="spellEnd"/>
      <w:r>
        <w:t xml:space="preserve">” middels het </w:t>
      </w:r>
      <w:r w:rsidR="00F66123">
        <w:t xml:space="preserve">(verder) </w:t>
      </w:r>
      <w:r>
        <w:t xml:space="preserve">verlagen van de </w:t>
      </w:r>
      <w:r w:rsidR="00F66123">
        <w:t xml:space="preserve">(nieuwe) </w:t>
      </w:r>
      <w:r>
        <w:t xml:space="preserve">verlaagde energiebelastingtarieven </w:t>
      </w:r>
      <w:r w:rsidR="00AB0897">
        <w:t>(tot 10 mln. m</w:t>
      </w:r>
      <w:r w:rsidRPr="00AB0897" w:rsidR="00AB0897">
        <w:rPr>
          <w:vertAlign w:val="superscript"/>
        </w:rPr>
        <w:t>3</w:t>
      </w:r>
      <w:r w:rsidR="00AB0897">
        <w:t xml:space="preserve"> aardgas)</w:t>
      </w:r>
      <w:r w:rsidR="00F66123">
        <w:t>.</w:t>
      </w:r>
      <w:r w:rsidR="002910F2">
        <w:t xml:space="preserve"> Deze verlaagde tarieven worden in de periode 2030-2035 volledig afgebouwd.</w:t>
      </w:r>
    </w:p>
    <w:p w:rsidR="00C974D9" w:rsidP="00C974D9" w:rsidRDefault="00C974D9" w14:paraId="5821CABD" w14:textId="4D79F95B">
      <w:pPr>
        <w:pStyle w:val="Lijstalinea"/>
        <w:numPr>
          <w:ilvl w:val="0"/>
          <w:numId w:val="2"/>
        </w:numPr>
        <w:spacing w:line="360" w:lineRule="auto"/>
      </w:pPr>
      <w:r>
        <w:t xml:space="preserve">Net als in pakket 1 zullen Berenschot en </w:t>
      </w:r>
      <w:proofErr w:type="spellStart"/>
      <w:r>
        <w:t>Kalavasta</w:t>
      </w:r>
      <w:proofErr w:type="spellEnd"/>
      <w:r>
        <w:t xml:space="preserve"> worden gevraagd om een definitieve doorrekening te maken van het voorgestelde pakket aan maatregelen (incl. bijmengverplichting) en effecten op verschillende typen glastuinbouwbedrijven (ook </w:t>
      </w:r>
      <w:r>
        <w:lastRenderedPageBreak/>
        <w:t>energiebedrijven voor de glastuinbouw). Hierbij kunnen de effecten nader worden geoptimaliseerd mede aan de hand van de wensen van Glastuinbouw Nederland. In de augustusbesluitvorming kunnen de definitieve tarieven worden vastgesteld.</w:t>
      </w:r>
    </w:p>
    <w:p w:rsidR="00B7594E" w:rsidP="00AB0897" w:rsidRDefault="00B7594E" w14:paraId="50CE6573" w14:textId="77777777">
      <w:pPr>
        <w:spacing w:line="360" w:lineRule="auto"/>
      </w:pPr>
    </w:p>
    <w:p w:rsidRPr="00AB0897" w:rsidR="00AB0897" w:rsidP="00AB0897" w:rsidRDefault="00F66123" w14:paraId="1956C804" w14:textId="6B461627">
      <w:pPr>
        <w:spacing w:line="360" w:lineRule="auto"/>
        <w:rPr>
          <w:u w:val="single"/>
        </w:rPr>
      </w:pPr>
      <w:r>
        <w:rPr>
          <w:u w:val="single"/>
        </w:rPr>
        <w:t>Pakket 2 (</w:t>
      </w:r>
      <w:r w:rsidR="001A7203">
        <w:rPr>
          <w:u w:val="single"/>
        </w:rPr>
        <w:t>Verbeteren r</w:t>
      </w:r>
      <w:r w:rsidRPr="00AB0897" w:rsidR="00AB0897">
        <w:rPr>
          <w:u w:val="single"/>
        </w:rPr>
        <w:t>andvoorwaarden</w:t>
      </w:r>
      <w:r w:rsidR="001A7203">
        <w:rPr>
          <w:u w:val="single"/>
        </w:rPr>
        <w:t xml:space="preserve"> verduurzaming</w:t>
      </w:r>
      <w:r>
        <w:rPr>
          <w:u w:val="single"/>
        </w:rPr>
        <w:t>)</w:t>
      </w:r>
    </w:p>
    <w:p w:rsidRPr="000574D4" w:rsidR="009F4BA1" w:rsidP="009F4BA1" w:rsidRDefault="009F4BA1" w14:paraId="4A2EC0AB" w14:textId="77777777">
      <w:pPr>
        <w:pStyle w:val="Lijstalinea"/>
        <w:numPr>
          <w:ilvl w:val="0"/>
          <w:numId w:val="2"/>
        </w:numPr>
        <w:spacing w:line="360" w:lineRule="auto"/>
      </w:pPr>
      <w:r w:rsidRPr="000574D4">
        <w:rPr>
          <w:rFonts w:cs="Calibri"/>
          <w:kern w:val="0"/>
          <w:szCs w:val="18"/>
          <w14:ligatures w14:val="none"/>
        </w:rPr>
        <w:t xml:space="preserve">Voor het realiseren van het CO2 restemissiedoel van de glastuinbouw is het belangrijk dat de randvoorwaarden voldoende op orde zijn. </w:t>
      </w:r>
    </w:p>
    <w:p w:rsidRPr="000574D4" w:rsidR="009F4BA1" w:rsidP="009F4BA1" w:rsidRDefault="009F4BA1" w14:paraId="7EA23815" w14:textId="0D68A379">
      <w:pPr>
        <w:pStyle w:val="Lijstalinea"/>
        <w:numPr>
          <w:ilvl w:val="0"/>
          <w:numId w:val="2"/>
        </w:numPr>
        <w:spacing w:line="360" w:lineRule="auto"/>
      </w:pPr>
      <w:r w:rsidRPr="000574D4">
        <w:rPr>
          <w:rFonts w:cs="Calibri"/>
          <w:kern w:val="0"/>
          <w:szCs w:val="18"/>
          <w14:ligatures w14:val="none"/>
        </w:rPr>
        <w:t xml:space="preserve">Om ook de glastuinbouw te faciliteren in de verduurzaming </w:t>
      </w:r>
      <w:r w:rsidRPr="000574D4" w:rsidR="000574D4">
        <w:rPr>
          <w:rFonts w:cs="Calibri"/>
          <w:kern w:val="0"/>
          <w:szCs w:val="18"/>
          <w14:ligatures w14:val="none"/>
        </w:rPr>
        <w:t>is</w:t>
      </w:r>
      <w:r w:rsidRPr="000574D4" w:rsidR="00412448">
        <w:rPr>
          <w:rFonts w:cs="Calibri"/>
          <w:kern w:val="0"/>
          <w:szCs w:val="18"/>
          <w14:ligatures w14:val="none"/>
        </w:rPr>
        <w:t xml:space="preserve"> </w:t>
      </w:r>
      <w:r w:rsidRPr="000574D4">
        <w:rPr>
          <w:rFonts w:cs="Calibri"/>
          <w:kern w:val="0"/>
          <w:szCs w:val="18"/>
          <w14:ligatures w14:val="none"/>
        </w:rPr>
        <w:t xml:space="preserve">het kabinet </w:t>
      </w:r>
      <w:r w:rsidRPr="000574D4" w:rsidR="000574D4">
        <w:rPr>
          <w:rFonts w:cs="Calibri"/>
          <w:kern w:val="0"/>
          <w:szCs w:val="18"/>
          <w14:ligatures w14:val="none"/>
        </w:rPr>
        <w:t xml:space="preserve">voornemens </w:t>
      </w:r>
      <w:r w:rsidRPr="000574D4">
        <w:rPr>
          <w:rFonts w:cs="Calibri"/>
          <w:kern w:val="0"/>
          <w:szCs w:val="18"/>
          <w14:ligatures w14:val="none"/>
        </w:rPr>
        <w:t xml:space="preserve">dit voorjaar prioriteit </w:t>
      </w:r>
      <w:r w:rsidRPr="000574D4" w:rsidR="00412448">
        <w:rPr>
          <w:rFonts w:cs="Calibri"/>
          <w:kern w:val="0"/>
          <w:szCs w:val="18"/>
          <w14:ligatures w14:val="none"/>
        </w:rPr>
        <w:t xml:space="preserve">geven </w:t>
      </w:r>
      <w:r w:rsidRPr="000574D4">
        <w:rPr>
          <w:rFonts w:cs="Calibri"/>
          <w:kern w:val="0"/>
          <w:szCs w:val="18"/>
          <w14:ligatures w14:val="none"/>
        </w:rPr>
        <w:t xml:space="preserve">aan het verbeteren van randvoorwaarden die </w:t>
      </w:r>
      <w:r w:rsidRPr="000574D4" w:rsidR="000574D4">
        <w:rPr>
          <w:rFonts w:cs="Calibri"/>
          <w:kern w:val="0"/>
          <w:szCs w:val="18"/>
          <w14:ligatures w14:val="none"/>
        </w:rPr>
        <w:t xml:space="preserve">ook </w:t>
      </w:r>
      <w:r w:rsidRPr="000574D4">
        <w:rPr>
          <w:rFonts w:cs="Calibri"/>
          <w:kern w:val="0"/>
          <w:szCs w:val="18"/>
          <w14:ligatures w14:val="none"/>
        </w:rPr>
        <w:t>belangrijk zijn voor het handelingsperspectief van de glastuinbouw. Dit betreft onder andere:</w:t>
      </w:r>
    </w:p>
    <w:p w:rsidRPr="000574D4" w:rsidR="009F4BA1" w:rsidP="000574D4" w:rsidRDefault="009F4BA1" w14:paraId="4FA855D4" w14:textId="52BDDAB5">
      <w:pPr>
        <w:pStyle w:val="Lijstalinea"/>
        <w:numPr>
          <w:ilvl w:val="1"/>
          <w:numId w:val="2"/>
        </w:numPr>
        <w:spacing w:line="360" w:lineRule="auto"/>
      </w:pPr>
      <w:r w:rsidRPr="000574D4">
        <w:rPr>
          <w:rFonts w:cs="Calibri"/>
          <w:kern w:val="0"/>
          <w:szCs w:val="18"/>
          <w14:ligatures w14:val="none"/>
        </w:rPr>
        <w:t xml:space="preserve">Inzet op warmte: dit voorjaar zet het kabinet in op een flinke impuls voor collectieve warmte, onder andere door hier middelen uit het Klimaatfonds voor beschikbaar te stellen. Door warmtenetten te ontwikkelen schaalt ook de productie op van duurzame warmte (geothermie, restwarmte en </w:t>
      </w:r>
      <w:proofErr w:type="spellStart"/>
      <w:r w:rsidRPr="000574D4">
        <w:rPr>
          <w:rFonts w:cs="Calibri"/>
          <w:kern w:val="0"/>
          <w:szCs w:val="18"/>
          <w14:ligatures w14:val="none"/>
        </w:rPr>
        <w:t>aquathermie</w:t>
      </w:r>
      <w:proofErr w:type="spellEnd"/>
      <w:r w:rsidRPr="000574D4">
        <w:rPr>
          <w:rFonts w:cs="Calibri"/>
          <w:kern w:val="0"/>
          <w:szCs w:val="18"/>
          <w14:ligatures w14:val="none"/>
        </w:rPr>
        <w:t xml:space="preserve">), wat kansen biedt voor duurzame warmte in de glastuinbouw. </w:t>
      </w:r>
    </w:p>
    <w:p w:rsidRPr="000574D4" w:rsidR="009F4BA1" w:rsidP="009F4BA1" w:rsidRDefault="009F4BA1" w14:paraId="07F19836" w14:textId="77777777">
      <w:pPr>
        <w:pStyle w:val="Lijstalinea"/>
        <w:numPr>
          <w:ilvl w:val="1"/>
          <w:numId w:val="2"/>
        </w:numPr>
        <w:spacing w:line="360" w:lineRule="auto"/>
      </w:pPr>
      <w:r w:rsidRPr="000574D4">
        <w:rPr>
          <w:rFonts w:cs="Calibri"/>
          <w:kern w:val="0"/>
          <w:szCs w:val="18"/>
          <w14:ligatures w14:val="none"/>
        </w:rPr>
        <w:t>Inzet op netcongestie: stevige inzet van het kabinet om netcongestie te beperken leidt tot versnelling in aanleg van elektriciteitsinfrastructuur, specifiek voor belangrijke projecten verspreid over het hele land. Dit ondersteunt de elektrificatiemogelijkheden voor de glastuinbouw.</w:t>
      </w:r>
    </w:p>
    <w:p w:rsidRPr="000574D4" w:rsidR="009F4BA1" w:rsidP="009F4BA1" w:rsidRDefault="009F4BA1" w14:paraId="08A00D4B" w14:textId="77777777">
      <w:pPr>
        <w:pStyle w:val="Lijstalinea"/>
        <w:numPr>
          <w:ilvl w:val="1"/>
          <w:numId w:val="2"/>
        </w:numPr>
        <w:spacing w:line="360" w:lineRule="auto"/>
      </w:pPr>
      <w:r w:rsidRPr="000574D4">
        <w:rPr>
          <w:rFonts w:cs="Calibri"/>
          <w:kern w:val="0"/>
          <w:szCs w:val="18"/>
          <w14:ligatures w14:val="none"/>
        </w:rPr>
        <w:t>SDE++: het kabinet zet erop in om de SDE++ in 2026 opnieuw open te stellen, waarmee ook de glastuinbouw kan verduurzamen, zoals met geothermieprojecten.</w:t>
      </w:r>
    </w:p>
    <w:p w:rsidRPr="000574D4" w:rsidR="009F4BA1" w:rsidP="009F4BA1" w:rsidRDefault="009F4BA1" w14:paraId="7F2AA4C6" w14:textId="342F5E5F">
      <w:pPr>
        <w:pStyle w:val="Lijstalinea"/>
        <w:numPr>
          <w:ilvl w:val="1"/>
          <w:numId w:val="2"/>
        </w:numPr>
        <w:spacing w:line="360" w:lineRule="auto"/>
      </w:pPr>
      <w:r w:rsidRPr="000574D4">
        <w:rPr>
          <w:rFonts w:cs="Calibri"/>
          <w:kern w:val="0"/>
          <w:szCs w:val="18"/>
          <w14:ligatures w14:val="none"/>
        </w:rPr>
        <w:t xml:space="preserve">Voldoende CO2 aanbod: door de bijmengverplichting groen gas door te voeren kan het aanbod van duurzame CO2 worden vergroot. </w:t>
      </w:r>
      <w:r w:rsidRPr="000574D4">
        <w:rPr>
          <w:szCs w:val="18"/>
        </w:rPr>
        <w:t xml:space="preserve">De opschaling van groen gas via de bijmengverplichting zorgt voor 1) een potentiële bron van 1,4 </w:t>
      </w:r>
      <w:proofErr w:type="spellStart"/>
      <w:r w:rsidRPr="000574D4">
        <w:rPr>
          <w:szCs w:val="18"/>
        </w:rPr>
        <w:t>Mton</w:t>
      </w:r>
      <w:proofErr w:type="spellEnd"/>
      <w:r w:rsidRPr="000574D4">
        <w:rPr>
          <w:szCs w:val="18"/>
        </w:rPr>
        <w:t xml:space="preserve"> biogene CO</w:t>
      </w:r>
      <w:r w:rsidRPr="000574D4">
        <w:rPr>
          <w:szCs w:val="18"/>
          <w:vertAlign w:val="subscript"/>
        </w:rPr>
        <w:t>2</w:t>
      </w:r>
      <w:r w:rsidRPr="000574D4">
        <w:rPr>
          <w:szCs w:val="18"/>
        </w:rPr>
        <w:t>, waarvan 2) de kosten gedeeltelijk worden gedekt door de extra waarde voor groen gas onder de bijmengverplichting.</w:t>
      </w:r>
    </w:p>
    <w:p w:rsidRPr="000574D4" w:rsidR="009F4BA1" w:rsidP="009F4BA1" w:rsidRDefault="009F4BA1" w14:paraId="2200386B" w14:textId="2AB29967">
      <w:pPr>
        <w:pStyle w:val="Lijstalinea"/>
        <w:numPr>
          <w:ilvl w:val="0"/>
          <w:numId w:val="2"/>
        </w:numPr>
        <w:spacing w:line="360" w:lineRule="auto"/>
      </w:pPr>
      <w:r w:rsidRPr="000574D4">
        <w:t>Daarnaast is het kabinet bereid om samen met de convenantspartijen te werken aan het verder op orde brengen van de randvoorwaarden indien dat aanvullend op bovenstaand nodig is om het restemissiedoel te realiseren.</w:t>
      </w:r>
      <w:r w:rsidRPr="000574D4" w:rsidR="000574D4">
        <w:t xml:space="preserve"> Hiervoor is het kabinet bereid om met convenantspartijen een Actieprogramma Randvoorwaarden Energietransitie Glastuinbouw uit te werken met specifiek op de glastuinbouw gerichte maatregelen. Met Prinsjesdag 2025 wordt het Actieprogramma gepresenteerd. KGG ziet mogelijk ruimte om voor dit Actieprogramma maximaal 200 mln. te vinden op de eigen begroting indien er besloten wordt tot de bijmengverplichting groen gas inclusief de glastuinbouw.</w:t>
      </w:r>
      <w:r w:rsidRPr="000574D4">
        <w:t xml:space="preserve">  </w:t>
      </w:r>
    </w:p>
    <w:p w:rsidRPr="003252DC" w:rsidR="002A769E" w:rsidRDefault="002A769E" w14:paraId="57C02A8E" w14:textId="77777777"/>
    <w:p w:rsidR="002A769E" w:rsidRDefault="002A769E" w14:paraId="7B13BC01" w14:textId="77777777">
      <w:pPr>
        <w:rPr>
          <w:b/>
          <w:bCs/>
        </w:rPr>
      </w:pPr>
    </w:p>
    <w:p w:rsidR="002A769E" w:rsidRDefault="002A769E" w14:paraId="421B92F4" w14:textId="77777777">
      <w:pPr>
        <w:rPr>
          <w:b/>
          <w:bCs/>
        </w:rPr>
      </w:pPr>
    </w:p>
    <w:p w:rsidRPr="002A769E" w:rsidR="002A769E" w:rsidRDefault="002A769E" w14:paraId="6A87C0BE" w14:textId="2E01256E">
      <w:pPr>
        <w:rPr>
          <w:b/>
          <w:bCs/>
        </w:rPr>
        <w:sectPr w:rsidRPr="002A769E" w:rsidR="002A769E" w:rsidSect="001E6A24">
          <w:pgSz w:w="11907" w:h="16840" w:code="9"/>
          <w:pgMar w:top="1440" w:right="1440" w:bottom="1440" w:left="1440" w:header="709" w:footer="709" w:gutter="0"/>
          <w:cols w:space="708"/>
          <w:docGrid w:linePitch="360"/>
        </w:sectPr>
      </w:pPr>
    </w:p>
    <w:tbl>
      <w:tblPr>
        <w:tblStyle w:val="Tabelraster"/>
        <w:tblW w:w="0" w:type="auto"/>
        <w:tblLook w:val="04A0" w:firstRow="1" w:lastRow="0" w:firstColumn="1" w:lastColumn="0" w:noHBand="0" w:noVBand="1"/>
      </w:tblPr>
      <w:tblGrid>
        <w:gridCol w:w="2972"/>
        <w:gridCol w:w="3827"/>
        <w:gridCol w:w="3663"/>
        <w:gridCol w:w="3488"/>
      </w:tblGrid>
      <w:tr w:rsidR="00F66123" w:rsidTr="00061670" w14:paraId="76F41B8E" w14:textId="77777777">
        <w:tc>
          <w:tcPr>
            <w:tcW w:w="2972" w:type="dxa"/>
          </w:tcPr>
          <w:p w:rsidR="00F66123" w:rsidP="00061670" w:rsidRDefault="00F66123" w14:paraId="4FD984F2" w14:textId="77777777"/>
        </w:tc>
        <w:tc>
          <w:tcPr>
            <w:tcW w:w="3827" w:type="dxa"/>
          </w:tcPr>
          <w:p w:rsidRPr="00F70261" w:rsidR="00F66123" w:rsidP="00061670" w:rsidRDefault="00F66123" w14:paraId="66CE1174" w14:textId="77777777">
            <w:pPr>
              <w:rPr>
                <w:b/>
                <w:bCs/>
              </w:rPr>
            </w:pPr>
            <w:r w:rsidRPr="00F70261">
              <w:rPr>
                <w:b/>
                <w:bCs/>
              </w:rPr>
              <w:t>Pakket 1</w:t>
            </w:r>
          </w:p>
        </w:tc>
        <w:tc>
          <w:tcPr>
            <w:tcW w:w="3663" w:type="dxa"/>
          </w:tcPr>
          <w:p w:rsidRPr="00F70261" w:rsidR="00F66123" w:rsidP="00061670" w:rsidRDefault="00F66123" w14:paraId="0A806B4E" w14:textId="77777777">
            <w:pPr>
              <w:rPr>
                <w:b/>
                <w:bCs/>
              </w:rPr>
            </w:pPr>
            <w:r w:rsidRPr="00F70261">
              <w:rPr>
                <w:b/>
                <w:bCs/>
              </w:rPr>
              <w:t>Pakket 2</w:t>
            </w:r>
          </w:p>
        </w:tc>
        <w:tc>
          <w:tcPr>
            <w:tcW w:w="3488" w:type="dxa"/>
          </w:tcPr>
          <w:p w:rsidRPr="00F70261" w:rsidR="00F66123" w:rsidP="00061670" w:rsidRDefault="00F66123" w14:paraId="7BA152D8" w14:textId="77777777">
            <w:pPr>
              <w:rPr>
                <w:b/>
                <w:bCs/>
              </w:rPr>
            </w:pPr>
            <w:r w:rsidRPr="00F70261">
              <w:rPr>
                <w:b/>
                <w:bCs/>
              </w:rPr>
              <w:t>Duiding</w:t>
            </w:r>
          </w:p>
        </w:tc>
      </w:tr>
      <w:tr w:rsidR="00F66123" w:rsidTr="00061670" w14:paraId="3F843D62" w14:textId="77777777">
        <w:tc>
          <w:tcPr>
            <w:tcW w:w="2972" w:type="dxa"/>
          </w:tcPr>
          <w:p w:rsidR="00F66123" w:rsidP="00061670" w:rsidRDefault="00F66123" w14:paraId="0DD216CB" w14:textId="77777777">
            <w:r>
              <w:t>ETS2</w:t>
            </w:r>
          </w:p>
        </w:tc>
        <w:tc>
          <w:tcPr>
            <w:tcW w:w="3827" w:type="dxa"/>
          </w:tcPr>
          <w:p w:rsidR="00F66123" w:rsidP="00061670" w:rsidRDefault="00F66123" w14:paraId="4FC11521" w14:textId="77777777">
            <w:r>
              <w:t xml:space="preserve">Van toepassing op de glastuinbouw via </w:t>
            </w:r>
            <w:proofErr w:type="spellStart"/>
            <w:r>
              <w:t>opt</w:t>
            </w:r>
            <w:proofErr w:type="spellEnd"/>
            <w:r>
              <w:t>-in</w:t>
            </w:r>
          </w:p>
        </w:tc>
        <w:tc>
          <w:tcPr>
            <w:tcW w:w="3663" w:type="dxa"/>
          </w:tcPr>
          <w:p w:rsidR="00F66123" w:rsidP="00061670" w:rsidRDefault="00F66123" w14:paraId="3D547359" w14:textId="77777777">
            <w:r>
              <w:t xml:space="preserve">Van toepassing op de glastuinbouw via </w:t>
            </w:r>
            <w:proofErr w:type="spellStart"/>
            <w:r>
              <w:t>opt</w:t>
            </w:r>
            <w:proofErr w:type="spellEnd"/>
            <w:r>
              <w:t>-in</w:t>
            </w:r>
          </w:p>
        </w:tc>
        <w:tc>
          <w:tcPr>
            <w:tcW w:w="3488" w:type="dxa"/>
          </w:tcPr>
          <w:p w:rsidR="00F66123" w:rsidP="00061670" w:rsidRDefault="00F66123" w14:paraId="6BD9E76F" w14:textId="77777777">
            <w:r>
              <w:t xml:space="preserve">Door de </w:t>
            </w:r>
            <w:proofErr w:type="spellStart"/>
            <w:r>
              <w:t>opt</w:t>
            </w:r>
            <w:proofErr w:type="spellEnd"/>
            <w:r>
              <w:t>-in kunnen er extra ETS2 emissierechten worden verkocht wat een budgettaire opbrengst heeft.</w:t>
            </w:r>
          </w:p>
          <w:p w:rsidR="00F66123" w:rsidP="00061670" w:rsidRDefault="00F66123" w14:paraId="21907FD1" w14:textId="77777777"/>
        </w:tc>
      </w:tr>
      <w:tr w:rsidR="00F66123" w:rsidTr="00061670" w14:paraId="70C3D58D" w14:textId="77777777">
        <w:tc>
          <w:tcPr>
            <w:tcW w:w="2972" w:type="dxa"/>
          </w:tcPr>
          <w:p w:rsidR="00F66123" w:rsidP="00061670" w:rsidRDefault="00F66123" w14:paraId="4F33A4E1" w14:textId="77777777">
            <w:r>
              <w:t>Bijmengverplichting groen gas</w:t>
            </w:r>
          </w:p>
        </w:tc>
        <w:tc>
          <w:tcPr>
            <w:tcW w:w="3827" w:type="dxa"/>
          </w:tcPr>
          <w:p w:rsidR="00F66123" w:rsidP="00061670" w:rsidRDefault="00F66123" w14:paraId="0B492222" w14:textId="77777777">
            <w:r>
              <w:t>Niet van toepassing op de glastuinbouw</w:t>
            </w:r>
          </w:p>
        </w:tc>
        <w:tc>
          <w:tcPr>
            <w:tcW w:w="3663" w:type="dxa"/>
          </w:tcPr>
          <w:p w:rsidR="00F66123" w:rsidP="00061670" w:rsidRDefault="00F66123" w14:paraId="0FAF3664" w14:textId="77777777">
            <w:r>
              <w:t>Brede toepassing (incl. glastuinbouw), ambitie 75%, start 1 januari 2027</w:t>
            </w:r>
          </w:p>
        </w:tc>
        <w:tc>
          <w:tcPr>
            <w:tcW w:w="3488" w:type="dxa"/>
          </w:tcPr>
          <w:p w:rsidR="00F66123" w:rsidP="00061670" w:rsidRDefault="00F66123" w14:paraId="4FC64B1B" w14:textId="77777777">
            <w:r>
              <w:t>In pakket 2 is de bijmengverplichting ook van toepassing op de glastuinbouw, in pakket 1 niet.</w:t>
            </w:r>
          </w:p>
          <w:p w:rsidR="00F66123" w:rsidP="00061670" w:rsidRDefault="00F66123" w14:paraId="053C2E2B" w14:textId="77777777"/>
        </w:tc>
      </w:tr>
      <w:tr w:rsidR="00F66123" w:rsidTr="00061670" w14:paraId="7CF53241" w14:textId="77777777">
        <w:tc>
          <w:tcPr>
            <w:tcW w:w="2972" w:type="dxa"/>
          </w:tcPr>
          <w:p w:rsidR="00F66123" w:rsidP="00061670" w:rsidRDefault="00F66123" w14:paraId="23E46953" w14:textId="77777777">
            <w:r>
              <w:t>CO2-heffing glastuinbouw</w:t>
            </w:r>
          </w:p>
        </w:tc>
        <w:tc>
          <w:tcPr>
            <w:tcW w:w="3827" w:type="dxa"/>
          </w:tcPr>
          <w:p w:rsidR="00F66123" w:rsidP="00061670" w:rsidRDefault="00F66123" w14:paraId="0CA96C99" w14:textId="045F0872">
            <w:r>
              <w:t>Afschaffen per 1 januari 2027</w:t>
            </w:r>
          </w:p>
        </w:tc>
        <w:tc>
          <w:tcPr>
            <w:tcW w:w="3663" w:type="dxa"/>
          </w:tcPr>
          <w:p w:rsidR="00F66123" w:rsidP="00061670" w:rsidRDefault="00F66123" w14:paraId="5AB7DC15" w14:textId="1710A47F">
            <w:r>
              <w:t>Afschaffen per 1 januari 2027</w:t>
            </w:r>
          </w:p>
        </w:tc>
        <w:tc>
          <w:tcPr>
            <w:tcW w:w="3488" w:type="dxa"/>
          </w:tcPr>
          <w:p w:rsidR="00F66123" w:rsidP="00061670" w:rsidRDefault="00F66123" w14:paraId="5A82FBCD" w14:textId="465A7FCE">
            <w:r>
              <w:t>Biedt gedeeltelijke compensatie voor ETS2.</w:t>
            </w:r>
          </w:p>
          <w:p w:rsidR="00F66123" w:rsidP="00061670" w:rsidRDefault="00F66123" w14:paraId="6E02D012" w14:textId="77777777"/>
        </w:tc>
      </w:tr>
      <w:tr w:rsidR="00F66123" w:rsidTr="00061670" w14:paraId="43E8E518" w14:textId="77777777">
        <w:tc>
          <w:tcPr>
            <w:tcW w:w="2972" w:type="dxa"/>
          </w:tcPr>
          <w:p w:rsidR="00F66123" w:rsidP="00061670" w:rsidRDefault="00F66123" w14:paraId="6595E138" w14:textId="77777777">
            <w:r>
              <w:t>Kostencompensatieregeling</w:t>
            </w:r>
          </w:p>
        </w:tc>
        <w:tc>
          <w:tcPr>
            <w:tcW w:w="3827" w:type="dxa"/>
          </w:tcPr>
          <w:p w:rsidR="00F66123" w:rsidP="00061670" w:rsidRDefault="00F66123" w14:paraId="41EE1A0E" w14:textId="06889615">
            <w:r>
              <w:t>Kostencompensatieregeling per 1 januari 202</w:t>
            </w:r>
            <w:r w:rsidR="00A52F20">
              <w:t>7</w:t>
            </w:r>
          </w:p>
        </w:tc>
        <w:tc>
          <w:tcPr>
            <w:tcW w:w="3663" w:type="dxa"/>
          </w:tcPr>
          <w:p w:rsidR="00F66123" w:rsidP="00061670" w:rsidRDefault="007A2FC3" w14:paraId="666A5676" w14:textId="40F267F7">
            <w:r>
              <w:t>Kostencompensatieregeling per 1 januari 202</w:t>
            </w:r>
            <w:r w:rsidR="00A52F20">
              <w:t>7</w:t>
            </w:r>
          </w:p>
        </w:tc>
        <w:tc>
          <w:tcPr>
            <w:tcW w:w="3488" w:type="dxa"/>
          </w:tcPr>
          <w:p w:rsidR="00F66123" w:rsidP="00F66123" w:rsidRDefault="00F66123" w14:paraId="1883E2BB" w14:textId="2DBA1178">
            <w:r>
              <w:t>Compenseert de “</w:t>
            </w:r>
            <w:proofErr w:type="spellStart"/>
            <w:r>
              <w:t>overshoot</w:t>
            </w:r>
            <w:proofErr w:type="spellEnd"/>
            <w:r>
              <w:t xml:space="preserve">” van ETS2 in ieder geval in 2029 en 2030. In pakket 2 is de kostencompensatieregeling </w:t>
            </w:r>
            <w:r w:rsidR="007A2FC3">
              <w:t xml:space="preserve">ook </w:t>
            </w:r>
            <w:r>
              <w:t>nodig om de verhoogde ambitie van de bijmengverplichting en afbouw verlaagde energiebelastingtarieven naar 2035 te accommoderen.</w:t>
            </w:r>
          </w:p>
          <w:p w:rsidR="00F66123" w:rsidP="00061670" w:rsidRDefault="00F66123" w14:paraId="169DEF10" w14:textId="77777777"/>
        </w:tc>
      </w:tr>
      <w:tr w:rsidR="00F66123" w:rsidTr="00061670" w14:paraId="21F168C2" w14:textId="77777777">
        <w:tc>
          <w:tcPr>
            <w:tcW w:w="2972" w:type="dxa"/>
          </w:tcPr>
          <w:p w:rsidR="00F66123" w:rsidP="00061670" w:rsidRDefault="00F66123" w14:paraId="58A9B0F8" w14:textId="77777777">
            <w:r>
              <w:t>Energiebelasting</w:t>
            </w:r>
          </w:p>
        </w:tc>
        <w:tc>
          <w:tcPr>
            <w:tcW w:w="3827" w:type="dxa"/>
          </w:tcPr>
          <w:p w:rsidR="00C2618D" w:rsidP="00C2618D" w:rsidRDefault="00C2618D" w14:paraId="1D761092" w14:textId="73E3C47F">
            <w:r>
              <w:t xml:space="preserve">Nieuwe verlaagde energiebelastingtarieven glastuinbouw (t/m 10 mln. m3) in 2027 en 2028, </w:t>
            </w:r>
            <w:r w:rsidR="007A2FC3">
              <w:t>terugkeer naar huidige afbouwpad bij introductie kostencompensatieregeling</w:t>
            </w:r>
          </w:p>
          <w:p w:rsidR="00F66123" w:rsidP="00061670" w:rsidRDefault="00F66123" w14:paraId="00F6FF7A" w14:textId="11F47BE7"/>
        </w:tc>
        <w:tc>
          <w:tcPr>
            <w:tcW w:w="3663" w:type="dxa"/>
          </w:tcPr>
          <w:p w:rsidR="00F66123" w:rsidP="00061670" w:rsidRDefault="00F66123" w14:paraId="1EB39595" w14:textId="77777777">
            <w:r>
              <w:t>Nieuwe verlaagde energiebelastingtarieven glastuinbouw (t/m 10 mln. m3) per 1-1-2027, lineaire afbouw 2031-2035</w:t>
            </w:r>
          </w:p>
          <w:p w:rsidR="00F66123" w:rsidP="00061670" w:rsidRDefault="00F66123" w14:paraId="6A7E39B0" w14:textId="77777777"/>
        </w:tc>
        <w:tc>
          <w:tcPr>
            <w:tcW w:w="3488" w:type="dxa"/>
          </w:tcPr>
          <w:p w:rsidR="00F66123" w:rsidP="00C2618D" w:rsidRDefault="00C2618D" w14:paraId="07780200" w14:textId="5C875CB5">
            <w:r>
              <w:t>Compenseert in pakket 2 de “</w:t>
            </w:r>
            <w:proofErr w:type="spellStart"/>
            <w:r>
              <w:t>overshoot</w:t>
            </w:r>
            <w:proofErr w:type="spellEnd"/>
            <w:r>
              <w:t xml:space="preserve">” van ETS2 en bijmengverplichting. Biedt in pakket </w:t>
            </w:r>
            <w:r w:rsidR="007A2FC3">
              <w:t>1</w:t>
            </w:r>
            <w:r>
              <w:t xml:space="preserve"> een terugvaloptie voor compensatie voor de </w:t>
            </w:r>
            <w:r w:rsidR="00F66123">
              <w:t>“</w:t>
            </w:r>
            <w:proofErr w:type="spellStart"/>
            <w:r w:rsidR="00F66123">
              <w:t>overshoot</w:t>
            </w:r>
            <w:proofErr w:type="spellEnd"/>
            <w:r w:rsidR="00F66123">
              <w:t xml:space="preserve">” van ETS2 </w:t>
            </w:r>
            <w:r>
              <w:t>in 2027</w:t>
            </w:r>
            <w:r w:rsidR="00A52F20">
              <w:t xml:space="preserve"> en</w:t>
            </w:r>
            <w:r>
              <w:t xml:space="preserve"> 2028</w:t>
            </w:r>
            <w:r w:rsidR="00A52F20">
              <w:t>.</w:t>
            </w:r>
          </w:p>
        </w:tc>
      </w:tr>
      <w:tr w:rsidR="00F66123" w:rsidTr="00061670" w14:paraId="28056FD9" w14:textId="77777777">
        <w:tc>
          <w:tcPr>
            <w:tcW w:w="2972" w:type="dxa"/>
          </w:tcPr>
          <w:p w:rsidR="00F66123" w:rsidP="00061670" w:rsidRDefault="00F66123" w14:paraId="454C9B24" w14:textId="77777777">
            <w:r>
              <w:t>Randvoorwaarden</w:t>
            </w:r>
          </w:p>
        </w:tc>
        <w:tc>
          <w:tcPr>
            <w:tcW w:w="3827" w:type="dxa"/>
          </w:tcPr>
          <w:p w:rsidRPr="00C2618D" w:rsidR="00F66123" w:rsidP="00061670" w:rsidRDefault="000574D4" w14:paraId="26E8848E" w14:textId="3BB93220">
            <w:pPr>
              <w:rPr>
                <w:highlight w:val="yellow"/>
              </w:rPr>
            </w:pPr>
            <w:r w:rsidRPr="000574D4">
              <w:t xml:space="preserve">Actieprogramma Randvoorwaarden Energietransitie Glastuinbouw </w:t>
            </w:r>
            <w:r>
              <w:t xml:space="preserve">circa 300 mln. </w:t>
            </w:r>
            <w:r w:rsidRPr="000574D4">
              <w:t>(na goedkeuring MFIN</w:t>
            </w:r>
            <w:r>
              <w:t xml:space="preserve"> op begroting LVVN)</w:t>
            </w:r>
          </w:p>
        </w:tc>
        <w:tc>
          <w:tcPr>
            <w:tcW w:w="3663" w:type="dxa"/>
          </w:tcPr>
          <w:p w:rsidR="00F66123" w:rsidP="00061670" w:rsidRDefault="000574D4" w14:paraId="4131F235" w14:textId="0FD9B87E">
            <w:r w:rsidRPr="000574D4">
              <w:t xml:space="preserve">Actieprogramma Randvoorwaarden Energietransitie Glastuinbouw </w:t>
            </w:r>
            <w:r>
              <w:t xml:space="preserve">circa 200 mln. </w:t>
            </w:r>
            <w:r w:rsidRPr="000574D4">
              <w:t>(</w:t>
            </w:r>
            <w:r>
              <w:t>begroting KGG)</w:t>
            </w:r>
          </w:p>
        </w:tc>
        <w:tc>
          <w:tcPr>
            <w:tcW w:w="3488" w:type="dxa"/>
          </w:tcPr>
          <w:p w:rsidR="00F66123" w:rsidP="00061670" w:rsidRDefault="00C42737" w14:paraId="3425C50E" w14:textId="18B04970">
            <w:r>
              <w:t>Actieprogramma om de randvoorwaarden voor verduurzaming van de glastuinbouw te verbeteren</w:t>
            </w:r>
          </w:p>
        </w:tc>
      </w:tr>
    </w:tbl>
    <w:p w:rsidR="00F66123" w:rsidP="00F66123" w:rsidRDefault="00F66123" w14:paraId="73A08F6D" w14:textId="77777777"/>
    <w:p w:rsidR="00F66123" w:rsidP="00F66123" w:rsidRDefault="00F66123" w14:paraId="71AB4041" w14:textId="77777777"/>
    <w:p w:rsidR="00ED18E7" w:rsidRDefault="00ED18E7" w14:paraId="702347DC" w14:textId="77777777">
      <w:pPr>
        <w:sectPr w:rsidR="00ED18E7" w:rsidSect="00F70261">
          <w:pgSz w:w="16840" w:h="11907" w:orient="landscape" w:code="9"/>
          <w:pgMar w:top="1440" w:right="1440" w:bottom="1440" w:left="1440" w:header="709" w:footer="709" w:gutter="0"/>
          <w:cols w:space="708"/>
          <w:docGrid w:linePitch="360"/>
        </w:sectPr>
      </w:pPr>
    </w:p>
    <w:p w:rsidR="00C764C6" w:rsidRDefault="00ED18E7" w14:paraId="50C7FC57" w14:textId="4CC0AA8B">
      <w:pPr>
        <w:rPr>
          <w:b/>
          <w:bCs/>
        </w:rPr>
      </w:pPr>
      <w:r w:rsidRPr="00ED18E7">
        <w:rPr>
          <w:b/>
          <w:bCs/>
        </w:rPr>
        <w:lastRenderedPageBreak/>
        <w:t xml:space="preserve">Bijlage: Effecten </w:t>
      </w:r>
      <w:r w:rsidR="00C2618D">
        <w:rPr>
          <w:b/>
          <w:bCs/>
        </w:rPr>
        <w:t>pakket 1</w:t>
      </w:r>
    </w:p>
    <w:p w:rsidRPr="00ED18E7" w:rsidR="00CA283F" w:rsidRDefault="00CA283F" w14:paraId="1F23934B" w14:textId="77777777">
      <w:pPr>
        <w:rPr>
          <w:b/>
          <w:bCs/>
        </w:rPr>
      </w:pPr>
    </w:p>
    <w:p w:rsidR="007C62C9" w:rsidP="007C62C9" w:rsidRDefault="00AB0897" w14:paraId="1E811878" w14:textId="402117B8">
      <w:pPr>
        <w:pStyle w:val="Lijstalinea"/>
        <w:numPr>
          <w:ilvl w:val="0"/>
          <w:numId w:val="2"/>
        </w:numPr>
        <w:spacing w:line="360" w:lineRule="auto"/>
      </w:pPr>
      <w:r>
        <w:t>Tabel 1</w:t>
      </w:r>
      <w:r w:rsidR="00C2618D">
        <w:t>.1</w:t>
      </w:r>
      <w:r>
        <w:t xml:space="preserve"> laat de “</w:t>
      </w:r>
      <w:proofErr w:type="spellStart"/>
      <w:r>
        <w:t>overshoot</w:t>
      </w:r>
      <w:proofErr w:type="spellEnd"/>
      <w:r>
        <w:t xml:space="preserve">” van ETS2 op het Convenant Energietransitie Glastuinbouw zien. Hierbij is uitgegaan van de veronderstellingen </w:t>
      </w:r>
      <w:r w:rsidR="00F61E20">
        <w:t xml:space="preserve">uit de concept tariefstudie van Berenschot en </w:t>
      </w:r>
      <w:proofErr w:type="spellStart"/>
      <w:r w:rsidR="00F61E20">
        <w:t>Kalavasta</w:t>
      </w:r>
      <w:proofErr w:type="spellEnd"/>
      <w:r w:rsidR="00F61E20">
        <w:t>.</w:t>
      </w:r>
      <w:r w:rsidR="00354155">
        <w:t xml:space="preserve"> </w:t>
      </w:r>
      <w:bookmarkStart w:name="_Hlk194665957" w:id="0"/>
      <w:r w:rsidR="00354155">
        <w:t>Ook is uitgegaan van het pessimistische scenario dat de kostencompensatieregeling per 1 januari 2029 in werking treedt.</w:t>
      </w:r>
      <w:bookmarkEnd w:id="0"/>
    </w:p>
    <w:p w:rsidR="007C62C9" w:rsidP="00C2618D" w:rsidRDefault="00F61E20" w14:paraId="7B3CD43F" w14:textId="52D0DA2F">
      <w:pPr>
        <w:pStyle w:val="Lijstalinea"/>
        <w:numPr>
          <w:ilvl w:val="0"/>
          <w:numId w:val="2"/>
        </w:numPr>
        <w:spacing w:line="360" w:lineRule="auto"/>
      </w:pPr>
      <w:r>
        <w:t>De “</w:t>
      </w:r>
      <w:proofErr w:type="spellStart"/>
      <w:r>
        <w:t>overshoot</w:t>
      </w:r>
      <w:proofErr w:type="spellEnd"/>
      <w:r>
        <w:t xml:space="preserve">” in 2027 en 2028 wordt </w:t>
      </w:r>
      <w:r w:rsidR="00354155">
        <w:t xml:space="preserve">in dit scenario </w:t>
      </w:r>
      <w:r w:rsidR="00B94035">
        <w:t xml:space="preserve">gecompenseerd </w:t>
      </w:r>
      <w:r w:rsidR="00C2618D">
        <w:t>door het verlagen van (nieuwe) verlaagde energiebelastingtarieven (t/m 10 mln. m</w:t>
      </w:r>
      <w:r w:rsidRPr="00DA5A03" w:rsidR="00C2618D">
        <w:rPr>
          <w:vertAlign w:val="superscript"/>
        </w:rPr>
        <w:t>3</w:t>
      </w:r>
      <w:r w:rsidR="00C2618D">
        <w:t xml:space="preserve"> belast verbruik aardgas). </w:t>
      </w:r>
      <w:r w:rsidR="007C62C9">
        <w:t xml:space="preserve">Dit leidt tot overcompensatie van glastuinbouwbedrijven zonder WKK en onvolledige compensatie van glastuinbouwbedrijven met WKK en een hoge netlevering. </w:t>
      </w:r>
    </w:p>
    <w:p w:rsidR="002569CA" w:rsidP="00C2618D" w:rsidRDefault="00C2618D" w14:paraId="37C06C75" w14:textId="20674B32">
      <w:pPr>
        <w:pStyle w:val="Lijstalinea"/>
        <w:numPr>
          <w:ilvl w:val="0"/>
          <w:numId w:val="2"/>
        </w:numPr>
        <w:spacing w:line="360" w:lineRule="auto"/>
      </w:pPr>
      <w:r>
        <w:t>De “</w:t>
      </w:r>
      <w:proofErr w:type="spellStart"/>
      <w:r>
        <w:t>overshoot</w:t>
      </w:r>
      <w:proofErr w:type="spellEnd"/>
      <w:r>
        <w:t>” in 2029 en 2030 wordt gecompenseerd door middel van een kostencompensatieregeling.</w:t>
      </w:r>
      <w:r w:rsidR="007C62C9">
        <w:t xml:space="preserve"> Dit leidt tot directe compensatie van glastuinbouwbedrijven.</w:t>
      </w:r>
    </w:p>
    <w:p w:rsidR="0091032D" w:rsidP="0091032D" w:rsidRDefault="0091032D" w14:paraId="04F7009E" w14:textId="5FE41360">
      <w:pPr>
        <w:pStyle w:val="Lijstalinea"/>
        <w:numPr>
          <w:ilvl w:val="0"/>
          <w:numId w:val="2"/>
        </w:numPr>
        <w:spacing w:line="360" w:lineRule="auto"/>
      </w:pPr>
      <w:r>
        <w:t xml:space="preserve">Onderstaande effecten zullen aan de hand van de definitieve tariefstudie van Berenschot en </w:t>
      </w:r>
      <w:proofErr w:type="spellStart"/>
      <w:r>
        <w:t>Kalavasta</w:t>
      </w:r>
      <w:proofErr w:type="spellEnd"/>
      <w:r>
        <w:t xml:space="preserve"> wijzigen. Hierbij kunnen de effecten in een definitieve slag voor de augustusbesluitvorming wel worden geoptimaliseerd, maar niet volledig teniet worden gedaan</w:t>
      </w:r>
      <w:r w:rsidR="00CA283F">
        <w:t>.</w:t>
      </w:r>
    </w:p>
    <w:p w:rsidRPr="00CE5CBF" w:rsidR="00CA283F" w:rsidP="00CA283F" w:rsidRDefault="00CA283F" w14:paraId="00BFF9F0" w14:textId="77777777">
      <w:pPr>
        <w:spacing w:line="360" w:lineRule="auto"/>
        <w:ind w:left="360"/>
      </w:pPr>
    </w:p>
    <w:tbl>
      <w:tblPr>
        <w:tblStyle w:val="Rastertabel4-Accent5"/>
        <w:tblW w:w="9385" w:type="dxa"/>
        <w:tblLook w:val="04A0" w:firstRow="1" w:lastRow="0" w:firstColumn="1" w:lastColumn="0" w:noHBand="0" w:noVBand="1"/>
      </w:tblPr>
      <w:tblGrid>
        <w:gridCol w:w="4339"/>
        <w:gridCol w:w="824"/>
        <w:gridCol w:w="826"/>
        <w:gridCol w:w="824"/>
        <w:gridCol w:w="826"/>
        <w:gridCol w:w="920"/>
        <w:gridCol w:w="826"/>
      </w:tblGrid>
      <w:tr w:rsidRPr="00CE5CBF" w:rsidR="002569CA" w:rsidTr="00854AA9" w14:paraId="60FC2D97" w14:textId="77777777">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9385" w:type="dxa"/>
            <w:gridSpan w:val="7"/>
            <w:shd w:val="clear" w:color="auto" w:fill="002060"/>
            <w:vAlign w:val="center"/>
            <w:hideMark/>
          </w:tcPr>
          <w:p w:rsidRPr="00CE5CBF" w:rsidR="002569CA" w:rsidP="00854AA9" w:rsidRDefault="002569CA" w14:paraId="6C0D9AE5" w14:textId="421ACF23">
            <w:pPr>
              <w:pStyle w:val="Geenafstand"/>
              <w:spacing w:line="276" w:lineRule="auto"/>
            </w:pPr>
            <w:r>
              <w:t>Tabel 1</w:t>
            </w:r>
            <w:r w:rsidR="00C2618D">
              <w:t>.1</w:t>
            </w:r>
            <w:r>
              <w:t xml:space="preserve">: </w:t>
            </w:r>
            <w:proofErr w:type="spellStart"/>
            <w:r>
              <w:t>Overshoot</w:t>
            </w:r>
            <w:proofErr w:type="spellEnd"/>
            <w:r>
              <w:t xml:space="preserve"> ETS2 na afschaffen CO2-heffing en introductie kostencompensatieregeling</w:t>
            </w:r>
          </w:p>
        </w:tc>
      </w:tr>
      <w:tr w:rsidRPr="00CE5CBF" w:rsidR="00BB08EC" w:rsidTr="0022142D" w14:paraId="3D1227C7"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33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tcPr>
          <w:p w:rsidRPr="00CE5CBF" w:rsidR="002569CA" w:rsidP="00854AA9" w:rsidRDefault="002569CA" w14:paraId="456DD0FF" w14:textId="77777777">
            <w:pPr>
              <w:pStyle w:val="Geenafstand"/>
              <w:spacing w:line="276" w:lineRule="auto"/>
            </w:pP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2569CA" w:rsidP="00854AA9" w:rsidRDefault="002569CA" w14:paraId="20F7A9FE"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CE5CBF">
              <w:rPr>
                <w:b/>
                <w:bCs/>
                <w:lang w:val="en-US"/>
              </w:rPr>
              <w:t>2025</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2569CA" w:rsidP="00854AA9" w:rsidRDefault="002569CA" w14:paraId="58414991"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CE5CBF">
              <w:rPr>
                <w:b/>
                <w:bCs/>
                <w:lang w:val="en-US"/>
              </w:rPr>
              <w:t>2026</w:t>
            </w: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2569CA" w:rsidP="00854AA9" w:rsidRDefault="002569CA" w14:paraId="5BB026C7"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CE5CBF">
              <w:rPr>
                <w:b/>
                <w:bCs/>
                <w:lang w:val="en-US"/>
              </w:rPr>
              <w:t>2027</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2569CA" w:rsidP="00854AA9" w:rsidRDefault="002569CA" w14:paraId="0FCC77BD"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CE5CBF">
              <w:rPr>
                <w:b/>
                <w:bCs/>
                <w:lang w:val="en-US"/>
              </w:rPr>
              <w:t>2028</w:t>
            </w:r>
          </w:p>
        </w:tc>
        <w:tc>
          <w:tcPr>
            <w:tcW w:w="92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2569CA" w:rsidP="00854AA9" w:rsidRDefault="002569CA" w14:paraId="321A402A"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CE5CBF">
              <w:rPr>
                <w:b/>
                <w:bCs/>
                <w:lang w:val="en-US"/>
              </w:rPr>
              <w:t>2029</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2569CA" w:rsidP="00854AA9" w:rsidRDefault="002569CA" w14:paraId="341C4F12"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CE5CBF">
              <w:rPr>
                <w:b/>
                <w:bCs/>
                <w:lang w:val="en-US"/>
              </w:rPr>
              <w:t>2030</w:t>
            </w:r>
          </w:p>
        </w:tc>
      </w:tr>
      <w:tr w:rsidRPr="00CE5CBF" w:rsidR="002569CA" w:rsidTr="0022142D" w14:paraId="58A6385C" w14:textId="77777777">
        <w:trPr>
          <w:trHeight w:val="202"/>
        </w:trPr>
        <w:tc>
          <w:tcPr>
            <w:cnfStyle w:val="001000000000" w:firstRow="0" w:lastRow="0" w:firstColumn="1" w:lastColumn="0" w:oddVBand="0" w:evenVBand="0" w:oddHBand="0" w:evenHBand="0" w:firstRowFirstColumn="0" w:firstRowLastColumn="0" w:lastRowFirstColumn="0" w:lastRowLastColumn="0"/>
            <w:tcW w:w="433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2569CA" w:rsidP="00854AA9" w:rsidRDefault="002569CA" w14:paraId="7C8CC6A5" w14:textId="77777777">
            <w:pPr>
              <w:pStyle w:val="Geenafstand"/>
              <w:spacing w:line="276" w:lineRule="auto"/>
              <w:rPr>
                <w:lang w:val="en-US"/>
              </w:rPr>
            </w:pPr>
            <w:proofErr w:type="spellStart"/>
            <w:r>
              <w:rPr>
                <w:lang w:val="en-US"/>
              </w:rPr>
              <w:t>Prijspad</w:t>
            </w:r>
            <w:proofErr w:type="spellEnd"/>
            <w:r>
              <w:rPr>
                <w:lang w:val="en-US"/>
              </w:rPr>
              <w:t xml:space="preserve"> </w:t>
            </w:r>
            <w:r w:rsidRPr="00CE5CBF">
              <w:rPr>
                <w:lang w:val="en-US"/>
              </w:rPr>
              <w:t xml:space="preserve">ETS2 </w:t>
            </w: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22142D" w:rsidR="002569CA" w:rsidP="00854AA9" w:rsidRDefault="002569CA" w14:paraId="3FADA17A"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szCs w:val="18"/>
                <w:lang w:val="en-US"/>
              </w:rPr>
            </w:pP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22142D" w:rsidR="002569CA" w:rsidP="00854AA9" w:rsidRDefault="002569CA" w14:paraId="031890C7"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szCs w:val="18"/>
                <w:lang w:val="en-US"/>
              </w:rPr>
            </w:pP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22142D" w:rsidR="002569CA" w:rsidP="00854AA9" w:rsidRDefault="002569CA" w14:paraId="6076D265"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szCs w:val="18"/>
                <w:lang w:val="en-US"/>
              </w:rPr>
            </w:pPr>
            <w:r w:rsidRPr="0022142D">
              <w:rPr>
                <w:szCs w:val="18"/>
                <w:lang w:val="en-US"/>
              </w:rPr>
              <w:t>30</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22142D" w:rsidR="002569CA" w:rsidP="00854AA9" w:rsidRDefault="002569CA" w14:paraId="49725E0F"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szCs w:val="18"/>
                <w:lang w:val="en-US"/>
              </w:rPr>
            </w:pPr>
            <w:r w:rsidRPr="0022142D">
              <w:rPr>
                <w:szCs w:val="18"/>
                <w:lang w:val="en-US"/>
              </w:rPr>
              <w:t>50</w:t>
            </w:r>
          </w:p>
        </w:tc>
        <w:tc>
          <w:tcPr>
            <w:tcW w:w="92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22142D" w:rsidR="002569CA" w:rsidP="00854AA9" w:rsidRDefault="002569CA" w14:paraId="438F4F79"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szCs w:val="18"/>
                <w:lang w:val="en-US"/>
              </w:rPr>
            </w:pPr>
            <w:r w:rsidRPr="0022142D">
              <w:rPr>
                <w:szCs w:val="18"/>
                <w:lang w:val="en-US"/>
              </w:rPr>
              <w:t>55</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22142D" w:rsidR="002569CA" w:rsidP="00854AA9" w:rsidRDefault="002569CA" w14:paraId="6BE8AF9E"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szCs w:val="18"/>
                <w:lang w:val="en-US"/>
              </w:rPr>
            </w:pPr>
            <w:r w:rsidRPr="0022142D">
              <w:rPr>
                <w:szCs w:val="18"/>
                <w:lang w:val="en-US"/>
              </w:rPr>
              <w:t>55</w:t>
            </w:r>
          </w:p>
        </w:tc>
      </w:tr>
      <w:tr w:rsidRPr="00CE5CBF" w:rsidR="00BB08EC" w:rsidTr="0022142D" w14:paraId="5FB84367"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33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686E4C" w:rsidR="002569CA" w:rsidP="00854AA9" w:rsidRDefault="002569CA" w14:paraId="7BCCF3EA" w14:textId="79830794">
            <w:pPr>
              <w:pStyle w:val="Geenafstand"/>
              <w:spacing w:line="276" w:lineRule="auto"/>
            </w:pPr>
            <w:r w:rsidRPr="00686E4C">
              <w:t xml:space="preserve">Afschaffen </w:t>
            </w:r>
            <w:r w:rsidR="00AB0897">
              <w:t xml:space="preserve">(verhoogde) </w:t>
            </w:r>
            <w:r w:rsidRPr="00686E4C">
              <w:t>CO2-heffing</w:t>
            </w: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22142D" w:rsidR="002569CA" w:rsidP="00F14A54" w:rsidRDefault="002569CA" w14:paraId="00B657B1" w14:textId="6ABC1914">
            <w:pPr>
              <w:pStyle w:val="Geenafstand"/>
              <w:spacing w:line="276" w:lineRule="auto"/>
              <w:cnfStyle w:val="000000100000" w:firstRow="0" w:lastRow="0" w:firstColumn="0" w:lastColumn="0" w:oddVBand="0" w:evenVBand="0" w:oddHBand="1" w:evenHBand="0" w:firstRowFirstColumn="0" w:firstRowLastColumn="0" w:lastRowFirstColumn="0" w:lastRowLastColumn="0"/>
              <w:rPr>
                <w:szCs w:val="18"/>
                <w:lang w:val="en-US"/>
              </w:rPr>
            </w:pP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22142D" w:rsidR="002569CA" w:rsidP="00854AA9" w:rsidRDefault="002569CA" w14:paraId="6E4EC231" w14:textId="291F8168">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szCs w:val="18"/>
                <w:lang w:val="en-US"/>
              </w:rPr>
            </w:pP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22142D" w:rsidR="002569CA" w:rsidP="00854AA9" w:rsidRDefault="002569CA" w14:paraId="5E7CC80A"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szCs w:val="18"/>
                <w:lang w:val="en-US"/>
              </w:rPr>
            </w:pPr>
            <w:r w:rsidRPr="0022142D">
              <w:rPr>
                <w:szCs w:val="18"/>
                <w:lang w:val="en-US"/>
              </w:rPr>
              <w:t>-22,7</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22142D" w:rsidR="002569CA" w:rsidP="00854AA9" w:rsidRDefault="002569CA" w14:paraId="7412FEC6"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szCs w:val="18"/>
                <w:lang w:val="en-US"/>
              </w:rPr>
            </w:pPr>
            <w:r w:rsidRPr="0022142D">
              <w:rPr>
                <w:szCs w:val="18"/>
                <w:lang w:val="en-US"/>
              </w:rPr>
              <w:t>-29,3</w:t>
            </w:r>
          </w:p>
        </w:tc>
        <w:tc>
          <w:tcPr>
            <w:tcW w:w="92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22142D" w:rsidR="002569CA" w:rsidP="00854AA9" w:rsidRDefault="002569CA" w14:paraId="17C4D54A"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szCs w:val="18"/>
                <w:lang w:val="en-US"/>
              </w:rPr>
            </w:pPr>
            <w:r w:rsidRPr="0022142D">
              <w:rPr>
                <w:szCs w:val="18"/>
                <w:lang w:val="en-US"/>
              </w:rPr>
              <w:t>-35,9</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22142D" w:rsidR="002569CA" w:rsidP="00854AA9" w:rsidRDefault="002569CA" w14:paraId="753725F6"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szCs w:val="18"/>
                <w:lang w:val="en-US"/>
              </w:rPr>
            </w:pPr>
            <w:r w:rsidRPr="0022142D">
              <w:rPr>
                <w:szCs w:val="18"/>
                <w:lang w:val="en-US"/>
              </w:rPr>
              <w:t>-42,5</w:t>
            </w:r>
          </w:p>
        </w:tc>
      </w:tr>
      <w:tr w:rsidRPr="00CE5CBF" w:rsidR="00BB08EC" w:rsidTr="0022142D" w14:paraId="0A0EF838" w14:textId="77777777">
        <w:trPr>
          <w:trHeight w:val="202"/>
        </w:trPr>
        <w:tc>
          <w:tcPr>
            <w:cnfStyle w:val="001000000000" w:firstRow="0" w:lastRow="0" w:firstColumn="1" w:lastColumn="0" w:oddVBand="0" w:evenVBand="0" w:oddHBand="0" w:evenHBand="0" w:firstRowFirstColumn="0" w:firstRowLastColumn="0" w:lastRowFirstColumn="0" w:lastRowLastColumn="0"/>
            <w:tcW w:w="433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E455B7" w:rsidR="002569CA" w:rsidP="00854AA9" w:rsidRDefault="00BB08EC" w14:paraId="3AFEBC22" w14:textId="38B43372">
            <w:pPr>
              <w:pStyle w:val="Geenafstand"/>
              <w:spacing w:line="276" w:lineRule="auto"/>
            </w:pPr>
            <w:r>
              <w:t>Compensatie via energiebelasting</w:t>
            </w: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22142D" w:rsidR="002569CA" w:rsidP="00854AA9" w:rsidRDefault="002569CA" w14:paraId="5984258A"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szCs w:val="18"/>
                <w:lang w:val="en-US"/>
              </w:rPr>
            </w:pP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22142D" w:rsidR="002569CA" w:rsidP="00854AA9" w:rsidRDefault="002569CA" w14:paraId="3DA0FA05"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szCs w:val="18"/>
                <w:lang w:val="en-US"/>
              </w:rPr>
            </w:pP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22142D" w:rsidR="002569CA" w:rsidP="00854AA9" w:rsidRDefault="0022142D" w14:paraId="63A47851" w14:textId="4E3B6E31">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szCs w:val="18"/>
                <w:lang w:val="en-US"/>
              </w:rPr>
            </w:pPr>
            <w:r w:rsidRPr="0022142D">
              <w:rPr>
                <w:szCs w:val="18"/>
                <w:lang w:val="en-US"/>
              </w:rPr>
              <w:t>-7,3</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22142D" w:rsidR="002569CA" w:rsidP="00854AA9" w:rsidRDefault="0022142D" w14:paraId="37A8A7D9" w14:textId="4E5C4E6D">
            <w:pPr>
              <w:pStyle w:val="Geenafstand"/>
              <w:spacing w:line="276" w:lineRule="auto"/>
              <w:cnfStyle w:val="000000000000" w:firstRow="0" w:lastRow="0" w:firstColumn="0" w:lastColumn="0" w:oddVBand="0" w:evenVBand="0" w:oddHBand="0" w:evenHBand="0" w:firstRowFirstColumn="0" w:firstRowLastColumn="0" w:lastRowFirstColumn="0" w:lastRowLastColumn="0"/>
              <w:rPr>
                <w:szCs w:val="18"/>
                <w:lang w:val="en-US"/>
              </w:rPr>
            </w:pPr>
            <w:r w:rsidRPr="0022142D">
              <w:rPr>
                <w:szCs w:val="18"/>
                <w:lang w:val="en-US"/>
              </w:rPr>
              <w:t>-20,7</w:t>
            </w:r>
          </w:p>
        </w:tc>
        <w:tc>
          <w:tcPr>
            <w:tcW w:w="92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22142D" w:rsidR="002569CA" w:rsidP="00854AA9" w:rsidRDefault="0022142D" w14:paraId="5C3C034D" w14:textId="74266CE2">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szCs w:val="18"/>
                <w:lang w:val="en-US"/>
              </w:rPr>
            </w:pPr>
            <w:r w:rsidRPr="0022142D">
              <w:rPr>
                <w:szCs w:val="18"/>
                <w:lang w:val="en-US"/>
              </w:rPr>
              <w:t>0</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22142D" w:rsidR="002569CA" w:rsidP="00854AA9" w:rsidRDefault="0022142D" w14:paraId="05578827" w14:textId="1472AEA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szCs w:val="18"/>
                <w:lang w:val="en-US"/>
              </w:rPr>
            </w:pPr>
            <w:r w:rsidRPr="0022142D">
              <w:rPr>
                <w:szCs w:val="18"/>
                <w:lang w:val="en-US"/>
              </w:rPr>
              <w:t>0</w:t>
            </w:r>
          </w:p>
        </w:tc>
      </w:tr>
      <w:tr w:rsidRPr="00CE5CBF" w:rsidR="0022142D" w:rsidTr="0022142D" w14:paraId="6CFC902B"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33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0022142D" w:rsidP="00854AA9" w:rsidRDefault="0022142D" w14:paraId="73512BEC" w14:textId="39F91185">
            <w:pPr>
              <w:pStyle w:val="Geenafstand"/>
              <w:spacing w:line="276" w:lineRule="auto"/>
            </w:pPr>
            <w:r>
              <w:t>Compensatie via kostencompensatieregeling</w:t>
            </w: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22142D" w:rsidR="0022142D" w:rsidDel="0022142D" w:rsidP="00854AA9" w:rsidRDefault="0022142D" w14:paraId="0C0F040F"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szCs w:val="18"/>
                <w:lang w:val="en-US"/>
              </w:rPr>
            </w:pP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22142D" w:rsidR="0022142D" w:rsidDel="0022142D" w:rsidP="00854AA9" w:rsidRDefault="0022142D" w14:paraId="371B68B9"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szCs w:val="18"/>
                <w:lang w:val="en-US"/>
              </w:rPr>
            </w:pP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22142D" w:rsidR="0022142D" w:rsidDel="0022142D" w:rsidP="00854AA9" w:rsidRDefault="0022142D" w14:paraId="318D60AB"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szCs w:val="18"/>
                <w:lang w:val="en-US"/>
              </w:rPr>
            </w:pP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22142D" w:rsidR="0022142D" w:rsidDel="0022142D" w:rsidP="00854AA9" w:rsidRDefault="0022142D" w14:paraId="17C24356"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szCs w:val="18"/>
                <w:lang w:val="en-US"/>
              </w:rPr>
            </w:pPr>
          </w:p>
        </w:tc>
        <w:tc>
          <w:tcPr>
            <w:tcW w:w="92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22142D" w:rsidR="0022142D" w:rsidP="00854AA9" w:rsidRDefault="0022142D" w14:paraId="129DEB19" w14:textId="74836A8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szCs w:val="18"/>
                <w:lang w:val="en-US"/>
              </w:rPr>
            </w:pPr>
            <w:r w:rsidRPr="0022142D">
              <w:rPr>
                <w:szCs w:val="18"/>
                <w:lang w:val="en-US"/>
              </w:rPr>
              <w:t>-19,1</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22142D" w:rsidR="0022142D" w:rsidP="00854AA9" w:rsidRDefault="0022142D" w14:paraId="4F50E20B" w14:textId="08999056">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szCs w:val="18"/>
                <w:lang w:val="en-US"/>
              </w:rPr>
            </w:pPr>
            <w:r w:rsidRPr="0022142D">
              <w:rPr>
                <w:szCs w:val="18"/>
                <w:lang w:val="en-US"/>
              </w:rPr>
              <w:t>-12,5</w:t>
            </w:r>
          </w:p>
        </w:tc>
      </w:tr>
      <w:tr w:rsidRPr="00CE5CBF" w:rsidR="00BB08EC" w:rsidTr="0022142D" w14:paraId="6D517EAC" w14:textId="77777777">
        <w:trPr>
          <w:trHeight w:val="202"/>
        </w:trPr>
        <w:tc>
          <w:tcPr>
            <w:cnfStyle w:val="001000000000" w:firstRow="0" w:lastRow="0" w:firstColumn="1" w:lastColumn="0" w:oddVBand="0" w:evenVBand="0" w:oddHBand="0" w:evenHBand="0" w:firstRowFirstColumn="0" w:firstRowLastColumn="0" w:lastRowFirstColumn="0" w:lastRowLastColumn="0"/>
            <w:tcW w:w="433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E455B7" w:rsidR="002569CA" w:rsidP="00854AA9" w:rsidRDefault="002569CA" w14:paraId="7B552AB9" w14:textId="77777777">
            <w:pPr>
              <w:pStyle w:val="Geenafstand"/>
              <w:spacing w:line="276" w:lineRule="auto"/>
            </w:pPr>
            <w:proofErr w:type="spellStart"/>
            <w:r>
              <w:t>Overshoot</w:t>
            </w:r>
            <w:proofErr w:type="spellEnd"/>
            <w:r>
              <w:t xml:space="preserve"> ETS2 na compensatie</w:t>
            </w: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F14A54" w:rsidR="002569CA" w:rsidP="00854AA9" w:rsidRDefault="002569CA" w14:paraId="0D54E5C2" w14:textId="121C362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8"/>
                <w:lang w:val="en-US"/>
              </w:rPr>
            </w:pP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F14A54" w:rsidR="002569CA" w:rsidP="00854AA9" w:rsidRDefault="002569CA" w14:paraId="0CFF0258" w14:textId="73FED41C">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8"/>
                <w:lang w:val="en-US"/>
              </w:rPr>
            </w:pP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F14A54" w:rsidR="002569CA" w:rsidP="00854AA9" w:rsidRDefault="0022142D" w14:paraId="2E09ACA8" w14:textId="30140C3A">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8"/>
                <w:lang w:val="en-US"/>
              </w:rPr>
            </w:pPr>
            <w:r w:rsidRPr="00F14A54">
              <w:rPr>
                <w:rFonts w:cstheme="minorHAnsi"/>
                <w:szCs w:val="18"/>
                <w:lang w:val="en-US"/>
              </w:rPr>
              <w:t>0</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F14A54" w:rsidR="002569CA" w:rsidP="00854AA9" w:rsidRDefault="0022142D" w14:paraId="443175D5" w14:textId="0C25E6E0">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8"/>
                <w:lang w:val="en-US"/>
              </w:rPr>
            </w:pPr>
            <w:r w:rsidRPr="00F14A54">
              <w:rPr>
                <w:rFonts w:cstheme="minorHAnsi"/>
                <w:szCs w:val="18"/>
                <w:lang w:val="en-US"/>
              </w:rPr>
              <w:t>0</w:t>
            </w:r>
          </w:p>
        </w:tc>
        <w:tc>
          <w:tcPr>
            <w:tcW w:w="92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22142D" w:rsidR="002569CA" w:rsidP="00854AA9" w:rsidRDefault="002569CA" w14:paraId="38824D30"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8"/>
                <w:lang w:val="en-US"/>
              </w:rPr>
            </w:pPr>
            <w:r w:rsidRPr="0022142D">
              <w:rPr>
                <w:rFonts w:cstheme="minorHAnsi"/>
                <w:szCs w:val="18"/>
                <w:lang w:val="en-US"/>
              </w:rPr>
              <w:t>0</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22142D" w:rsidR="002569CA" w:rsidP="00854AA9" w:rsidRDefault="002569CA" w14:paraId="79D7F7FC"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8"/>
                <w:lang w:val="en-US"/>
              </w:rPr>
            </w:pPr>
            <w:r w:rsidRPr="0022142D">
              <w:rPr>
                <w:rFonts w:cstheme="minorHAnsi"/>
                <w:szCs w:val="18"/>
                <w:lang w:val="en-US"/>
              </w:rPr>
              <w:t>0</w:t>
            </w:r>
          </w:p>
        </w:tc>
      </w:tr>
      <w:tr w:rsidRPr="00CE5CBF" w:rsidR="00BB08EC" w:rsidTr="0022142D" w14:paraId="3E20FF95"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33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002569CA" w:rsidP="00854AA9" w:rsidRDefault="002569CA" w14:paraId="6A757DB3" w14:textId="77777777">
            <w:pPr>
              <w:pStyle w:val="Geenafstand"/>
              <w:spacing w:line="276" w:lineRule="auto"/>
            </w:pP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22142D" w:rsidR="002569CA" w:rsidP="00854AA9" w:rsidRDefault="002569CA" w14:paraId="3864278D"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70AD47" w:themeColor="accent6"/>
                <w:szCs w:val="18"/>
                <w:lang w:val="en-US"/>
              </w:rPr>
            </w:pP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22142D" w:rsidR="002569CA" w:rsidP="00854AA9" w:rsidRDefault="002569CA" w14:paraId="754E18CC"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70AD47" w:themeColor="accent6"/>
                <w:szCs w:val="18"/>
                <w:lang w:val="en-US"/>
              </w:rPr>
            </w:pP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22142D" w:rsidR="002569CA" w:rsidP="00854AA9" w:rsidRDefault="002569CA" w14:paraId="501A3C60"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FF0000"/>
                <w:szCs w:val="18"/>
                <w:lang w:val="en-US"/>
              </w:rPr>
            </w:pP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22142D" w:rsidR="002569CA" w:rsidP="00854AA9" w:rsidRDefault="002569CA" w14:paraId="198B08DE"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FF0000"/>
                <w:szCs w:val="18"/>
                <w:lang w:val="en-US"/>
              </w:rPr>
            </w:pPr>
          </w:p>
        </w:tc>
        <w:tc>
          <w:tcPr>
            <w:tcW w:w="92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22142D" w:rsidR="002569CA" w:rsidP="00854AA9" w:rsidRDefault="002569CA" w14:paraId="05DFE5E6"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8"/>
                <w:lang w:val="en-US"/>
              </w:rPr>
            </w:pP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22142D" w:rsidR="002569CA" w:rsidP="00854AA9" w:rsidRDefault="002569CA" w14:paraId="79835356"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8"/>
                <w:lang w:val="en-US"/>
              </w:rPr>
            </w:pPr>
          </w:p>
        </w:tc>
      </w:tr>
      <w:tr w:rsidRPr="00CE5CBF" w:rsidR="007A7D81" w:rsidTr="007A7D81" w14:paraId="2E90EDFC" w14:textId="77777777">
        <w:trPr>
          <w:trHeight w:val="202"/>
        </w:trPr>
        <w:tc>
          <w:tcPr>
            <w:cnfStyle w:val="001000000000" w:firstRow="0" w:lastRow="0" w:firstColumn="1" w:lastColumn="0" w:oddVBand="0" w:evenVBand="0" w:oddHBand="0" w:evenHBand="0" w:firstRowFirstColumn="0" w:firstRowLastColumn="0" w:lastRowFirstColumn="0" w:lastRowLastColumn="0"/>
            <w:tcW w:w="433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007A7D81" w:rsidP="007A7D81" w:rsidRDefault="007A7D81" w14:paraId="66E9BE47" w14:textId="17777C31">
            <w:pPr>
              <w:pStyle w:val="Geenafstand"/>
              <w:spacing w:line="276" w:lineRule="auto"/>
            </w:pPr>
            <w:r w:rsidRPr="0070598C">
              <w:t xml:space="preserve">radijs: 75.000 m3, geen </w:t>
            </w:r>
            <w:proofErr w:type="spellStart"/>
            <w:r w:rsidRPr="0070598C">
              <w:t>wkk</w:t>
            </w:r>
            <w:proofErr w:type="spellEnd"/>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22142D" w:rsidR="007A7D81" w:rsidP="007A7D81" w:rsidRDefault="007A7D81" w14:paraId="3035A32E" w14:textId="08ECE095">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70AD47" w:themeColor="accent6"/>
                <w:szCs w:val="18"/>
                <w:lang w:val="en-US"/>
              </w:rPr>
            </w:pP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22142D" w:rsidR="007A7D81" w:rsidP="007A7D81" w:rsidRDefault="007A7D81" w14:paraId="14C1D915" w14:textId="5F5632EF">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70AD47" w:themeColor="accent6"/>
                <w:szCs w:val="18"/>
                <w:lang w:val="en-US"/>
              </w:rPr>
            </w:pP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7A7D81" w:rsidR="007A7D81" w:rsidP="007A7D81" w:rsidRDefault="007A7D81" w14:paraId="6BB1A509" w14:textId="60F13BE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70AD47" w:themeColor="accent6"/>
                <w:szCs w:val="18"/>
                <w:lang w:val="en-US"/>
              </w:rPr>
            </w:pPr>
            <w:r w:rsidRPr="007A7D81">
              <w:rPr>
                <w:color w:val="70AD47" w:themeColor="accent6"/>
              </w:rPr>
              <w:t>-15,7</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7A7D81" w:rsidR="007A7D81" w:rsidP="007A7D81" w:rsidRDefault="007A7D81" w14:paraId="19154322" w14:textId="41C37541">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70AD47" w:themeColor="accent6"/>
                <w:szCs w:val="18"/>
                <w:lang w:val="en-US"/>
              </w:rPr>
            </w:pPr>
            <w:r w:rsidRPr="007A7D81">
              <w:rPr>
                <w:color w:val="70AD47" w:themeColor="accent6"/>
              </w:rPr>
              <w:t>-25,2</w:t>
            </w:r>
          </w:p>
        </w:tc>
        <w:tc>
          <w:tcPr>
            <w:tcW w:w="92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22142D" w:rsidR="007A7D81" w:rsidP="007A7D81" w:rsidRDefault="007A7D81" w14:paraId="5FBD2260" w14:textId="0516C88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70AD47" w:themeColor="accent6"/>
                <w:szCs w:val="18"/>
                <w:lang w:val="en-US"/>
              </w:rPr>
            </w:pPr>
            <w:r w:rsidRPr="0022142D">
              <w:rPr>
                <w:rFonts w:cstheme="minorHAnsi"/>
                <w:szCs w:val="18"/>
              </w:rPr>
              <w:t>0</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22142D" w:rsidR="007A7D81" w:rsidP="007A7D81" w:rsidRDefault="007A7D81" w14:paraId="75DCB176" w14:textId="6104DFD8">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70AD47" w:themeColor="accent6"/>
                <w:szCs w:val="18"/>
                <w:lang w:val="en-US"/>
              </w:rPr>
            </w:pPr>
            <w:r w:rsidRPr="0022142D">
              <w:rPr>
                <w:rFonts w:cstheme="minorHAnsi"/>
                <w:szCs w:val="18"/>
              </w:rPr>
              <w:t>0</w:t>
            </w:r>
          </w:p>
        </w:tc>
      </w:tr>
      <w:tr w:rsidRPr="00CE5CBF" w:rsidR="007A7D81" w:rsidTr="007A7D81" w14:paraId="430166AD"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33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007A7D81" w:rsidP="007A7D81" w:rsidRDefault="007A7D81" w14:paraId="0906A89A" w14:textId="5DE4104F">
            <w:pPr>
              <w:pStyle w:val="Geenafstand"/>
              <w:spacing w:line="276" w:lineRule="auto"/>
            </w:pPr>
            <w:r w:rsidRPr="0070598C">
              <w:t xml:space="preserve">chrysant: 2,2 </w:t>
            </w:r>
            <w:proofErr w:type="spellStart"/>
            <w:r w:rsidRPr="0070598C">
              <w:t>mln</w:t>
            </w:r>
            <w:proofErr w:type="spellEnd"/>
            <w:r w:rsidRPr="0070598C">
              <w:t xml:space="preserve"> m3, </w:t>
            </w:r>
            <w:proofErr w:type="spellStart"/>
            <w:r w:rsidRPr="0070598C">
              <w:t>wkk</w:t>
            </w:r>
            <w:proofErr w:type="spellEnd"/>
            <w:r w:rsidRPr="0070598C">
              <w:t>, 63% eigen gebruik</w:t>
            </w: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22142D" w:rsidR="007A7D81" w:rsidP="007A7D81" w:rsidRDefault="007A7D81" w14:paraId="5F7EDD6E" w14:textId="2B5ACCF8">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70AD47" w:themeColor="accent6"/>
                <w:szCs w:val="18"/>
              </w:rPr>
            </w:pP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22142D" w:rsidR="007A7D81" w:rsidP="007A7D81" w:rsidRDefault="007A7D81" w14:paraId="2101BBB9" w14:textId="02705ADF">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70AD47" w:themeColor="accent6"/>
                <w:szCs w:val="18"/>
              </w:rPr>
            </w:pP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7A7D81" w:rsidR="007A7D81" w:rsidP="007A7D81" w:rsidRDefault="007A7D81" w14:paraId="5A8B7E39" w14:textId="5976DE69">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FF0000"/>
                <w:szCs w:val="18"/>
              </w:rPr>
            </w:pPr>
            <w:r w:rsidRPr="007A7D81">
              <w:rPr>
                <w:color w:val="FF0000"/>
              </w:rPr>
              <w:t>3,7</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7A7D81" w:rsidR="007A7D81" w:rsidP="007A7D81" w:rsidRDefault="007A7D81" w14:paraId="34763EA1" w14:textId="5665934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FF0000"/>
                <w:szCs w:val="18"/>
              </w:rPr>
            </w:pPr>
            <w:r w:rsidRPr="007A7D81">
              <w:rPr>
                <w:color w:val="FF0000"/>
              </w:rPr>
              <w:t>5,8</w:t>
            </w:r>
          </w:p>
        </w:tc>
        <w:tc>
          <w:tcPr>
            <w:tcW w:w="92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22142D" w:rsidR="007A7D81" w:rsidP="007A7D81" w:rsidRDefault="007A7D81" w14:paraId="374D6BDF" w14:textId="6F075215">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70AD47" w:themeColor="accent6"/>
                <w:szCs w:val="18"/>
              </w:rPr>
            </w:pPr>
            <w:r w:rsidRPr="0022142D">
              <w:rPr>
                <w:rFonts w:cstheme="minorHAnsi"/>
                <w:szCs w:val="18"/>
              </w:rPr>
              <w:t>0</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22142D" w:rsidR="007A7D81" w:rsidP="007A7D81" w:rsidRDefault="007A7D81" w14:paraId="30302B7F" w14:textId="158FCA33">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70AD47" w:themeColor="accent6"/>
                <w:szCs w:val="18"/>
              </w:rPr>
            </w:pPr>
            <w:r w:rsidRPr="0022142D">
              <w:rPr>
                <w:rFonts w:cstheme="minorHAnsi"/>
                <w:szCs w:val="18"/>
              </w:rPr>
              <w:t>0</w:t>
            </w:r>
          </w:p>
        </w:tc>
      </w:tr>
      <w:tr w:rsidRPr="00CE5CBF" w:rsidR="007A7D81" w:rsidTr="007A7D81" w14:paraId="1AC5B749" w14:textId="77777777">
        <w:trPr>
          <w:trHeight w:val="202"/>
        </w:trPr>
        <w:tc>
          <w:tcPr>
            <w:tcW w:w="433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007A7D81" w:rsidP="007A7D81" w:rsidRDefault="007A7D81" w14:paraId="12F9BBFE" w14:textId="247EC6CA">
            <w:pPr>
              <w:pStyle w:val="Geenafstand"/>
              <w:spacing w:line="276" w:lineRule="auto"/>
              <w:cnfStyle w:val="001000000000" w:firstRow="0" w:lastRow="0" w:firstColumn="1" w:lastColumn="0" w:oddVBand="0" w:evenVBand="0" w:oddHBand="0" w:evenHBand="0" w:firstRowFirstColumn="0" w:firstRowLastColumn="0" w:lastRowFirstColumn="0" w:lastRowLastColumn="0"/>
            </w:pPr>
            <w:r w:rsidRPr="0070598C">
              <w:t xml:space="preserve">paprika: 3,3 </w:t>
            </w:r>
            <w:proofErr w:type="spellStart"/>
            <w:r w:rsidRPr="0070598C">
              <w:t>mln</w:t>
            </w:r>
            <w:proofErr w:type="spellEnd"/>
            <w:r w:rsidRPr="0070598C">
              <w:t xml:space="preserve"> m3, </w:t>
            </w:r>
            <w:proofErr w:type="spellStart"/>
            <w:r w:rsidRPr="0070598C">
              <w:t>wkk</w:t>
            </w:r>
            <w:proofErr w:type="spellEnd"/>
            <w:r w:rsidRPr="0070598C">
              <w:t>, 1% eigen gebruik</w:t>
            </w: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5123E0" w:rsidR="007A7D81" w:rsidP="007A7D81" w:rsidRDefault="007A7D81" w14:paraId="11ADAFFB" w14:textId="2B642E29">
            <w:pPr>
              <w:pStyle w:val="Geenafstand"/>
              <w:spacing w:line="276" w:lineRule="auto"/>
              <w:jc w:val="center"/>
              <w:rPr>
                <w:rFonts w:cstheme="minorHAnsi"/>
                <w:color w:val="70AD47" w:themeColor="accent6"/>
                <w:szCs w:val="18"/>
              </w:rPr>
            </w:pP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5123E0" w:rsidR="007A7D81" w:rsidP="007A7D81" w:rsidRDefault="007A7D81" w14:paraId="4F44E635" w14:textId="55760329">
            <w:pPr>
              <w:pStyle w:val="Geenafstand"/>
              <w:spacing w:line="276" w:lineRule="auto"/>
              <w:jc w:val="center"/>
              <w:rPr>
                <w:rFonts w:cstheme="minorHAnsi"/>
                <w:color w:val="70AD47" w:themeColor="accent6"/>
                <w:szCs w:val="18"/>
              </w:rPr>
            </w:pP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7A7D81" w:rsidR="007A7D81" w:rsidP="007A7D81" w:rsidRDefault="007A7D81" w14:paraId="214057AC" w14:textId="42352DC9">
            <w:pPr>
              <w:pStyle w:val="Geenafstand"/>
              <w:spacing w:line="276" w:lineRule="auto"/>
              <w:jc w:val="center"/>
              <w:rPr>
                <w:rFonts w:cstheme="minorHAnsi"/>
                <w:color w:val="FF0000"/>
                <w:szCs w:val="18"/>
                <w:lang w:val="en-US"/>
              </w:rPr>
            </w:pPr>
            <w:r w:rsidRPr="007A7D81">
              <w:rPr>
                <w:color w:val="FF0000"/>
              </w:rPr>
              <w:t>6,1</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7A7D81" w:rsidR="007A7D81" w:rsidP="007A7D81" w:rsidRDefault="007A7D81" w14:paraId="3C7021D9" w14:textId="2C2B8FBE">
            <w:pPr>
              <w:pStyle w:val="Geenafstand"/>
              <w:spacing w:line="276" w:lineRule="auto"/>
              <w:jc w:val="center"/>
              <w:rPr>
                <w:rFonts w:cstheme="minorHAnsi"/>
                <w:color w:val="FF0000"/>
                <w:szCs w:val="18"/>
                <w:lang w:val="en-US"/>
              </w:rPr>
            </w:pPr>
            <w:r w:rsidRPr="007A7D81">
              <w:rPr>
                <w:color w:val="FF0000"/>
              </w:rPr>
              <w:t>15,8</w:t>
            </w:r>
          </w:p>
        </w:tc>
        <w:tc>
          <w:tcPr>
            <w:tcW w:w="92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22142D" w:rsidR="007A7D81" w:rsidP="007A7D81" w:rsidRDefault="007A7D81" w14:paraId="34CF5CCC" w14:textId="1F154FA5">
            <w:pPr>
              <w:pStyle w:val="Geenafstand"/>
              <w:spacing w:line="276" w:lineRule="auto"/>
              <w:jc w:val="center"/>
              <w:rPr>
                <w:rFonts w:cstheme="minorHAnsi"/>
                <w:color w:val="70AD47" w:themeColor="accent6"/>
                <w:szCs w:val="18"/>
                <w:lang w:val="en-US"/>
              </w:rPr>
            </w:pPr>
            <w:r w:rsidRPr="0022142D">
              <w:rPr>
                <w:rFonts w:cstheme="minorHAnsi"/>
                <w:szCs w:val="18"/>
              </w:rPr>
              <w:t>0</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22142D" w:rsidR="007A7D81" w:rsidP="007A7D81" w:rsidRDefault="007A7D81" w14:paraId="1227C538" w14:textId="1E5B27B8">
            <w:pPr>
              <w:pStyle w:val="Geenafstand"/>
              <w:spacing w:line="276" w:lineRule="auto"/>
              <w:jc w:val="center"/>
              <w:rPr>
                <w:rFonts w:cstheme="minorHAnsi"/>
                <w:color w:val="70AD47" w:themeColor="accent6"/>
                <w:szCs w:val="18"/>
                <w:lang w:val="en-US"/>
              </w:rPr>
            </w:pPr>
            <w:r w:rsidRPr="0022142D">
              <w:rPr>
                <w:rFonts w:cstheme="minorHAnsi"/>
                <w:szCs w:val="18"/>
              </w:rPr>
              <w:t>0</w:t>
            </w:r>
          </w:p>
        </w:tc>
      </w:tr>
      <w:tr w:rsidRPr="00CE5CBF" w:rsidR="007A7D81" w:rsidTr="007A7D81" w14:paraId="0E7A16B8"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33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007A7D81" w:rsidP="007A7D81" w:rsidRDefault="007A7D81" w14:paraId="2E151901" w14:textId="58DAA358">
            <w:pPr>
              <w:pStyle w:val="Geenafstand"/>
              <w:spacing w:line="276" w:lineRule="auto"/>
            </w:pPr>
            <w:r w:rsidRPr="0070598C">
              <w:t xml:space="preserve">potplant: 1,35 </w:t>
            </w:r>
            <w:proofErr w:type="spellStart"/>
            <w:r w:rsidRPr="0070598C">
              <w:t>mln</w:t>
            </w:r>
            <w:proofErr w:type="spellEnd"/>
            <w:r w:rsidRPr="0070598C">
              <w:t xml:space="preserve"> m3, </w:t>
            </w:r>
            <w:proofErr w:type="spellStart"/>
            <w:r w:rsidRPr="0070598C">
              <w:t>wkk</w:t>
            </w:r>
            <w:proofErr w:type="spellEnd"/>
            <w:r w:rsidRPr="0070598C">
              <w:t>, 62% eigen gebruik</w:t>
            </w: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22142D" w:rsidR="007A7D81" w:rsidP="007A7D81" w:rsidRDefault="007A7D81" w14:paraId="7A6CF8A7" w14:textId="1C6441D8">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70AD47" w:themeColor="accent6"/>
                <w:szCs w:val="18"/>
              </w:rPr>
            </w:pP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22142D" w:rsidR="007A7D81" w:rsidP="007A7D81" w:rsidRDefault="007A7D81" w14:paraId="418C0ED6" w14:textId="3D4BB4CF">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70AD47" w:themeColor="accent6"/>
                <w:szCs w:val="18"/>
              </w:rPr>
            </w:pP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7A7D81" w:rsidR="007A7D81" w:rsidP="007A7D81" w:rsidRDefault="007A7D81" w14:paraId="3521FE6F" w14:textId="31EA9561">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FF0000"/>
                <w:szCs w:val="18"/>
              </w:rPr>
            </w:pPr>
            <w:r w:rsidRPr="007A7D81">
              <w:rPr>
                <w:color w:val="FF0000"/>
              </w:rPr>
              <w:t>4,3</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7A7D81" w:rsidR="007A7D81" w:rsidP="007A7D81" w:rsidRDefault="007A7D81" w14:paraId="742AC83B" w14:textId="0E58424C">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FF0000"/>
                <w:szCs w:val="18"/>
              </w:rPr>
            </w:pPr>
            <w:r w:rsidRPr="007A7D81">
              <w:rPr>
                <w:color w:val="FF0000"/>
              </w:rPr>
              <w:t>10,4</w:t>
            </w:r>
          </w:p>
        </w:tc>
        <w:tc>
          <w:tcPr>
            <w:tcW w:w="92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22142D" w:rsidR="007A7D81" w:rsidP="007A7D81" w:rsidRDefault="007A7D81" w14:paraId="28506C75" w14:textId="326551F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70AD47" w:themeColor="accent6"/>
                <w:szCs w:val="18"/>
              </w:rPr>
            </w:pPr>
            <w:r w:rsidRPr="0022142D">
              <w:rPr>
                <w:rFonts w:cstheme="minorHAnsi"/>
                <w:szCs w:val="18"/>
              </w:rPr>
              <w:t>0</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22142D" w:rsidR="007A7D81" w:rsidP="007A7D81" w:rsidRDefault="007A7D81" w14:paraId="305D8312" w14:textId="2D5F77A1">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70AD47" w:themeColor="accent6"/>
                <w:szCs w:val="18"/>
              </w:rPr>
            </w:pPr>
            <w:r w:rsidRPr="0022142D">
              <w:rPr>
                <w:rFonts w:cstheme="minorHAnsi"/>
                <w:szCs w:val="18"/>
              </w:rPr>
              <w:t>0</w:t>
            </w:r>
          </w:p>
        </w:tc>
      </w:tr>
      <w:tr w:rsidRPr="00CE5CBF" w:rsidR="007A7D81" w:rsidTr="007A7D81" w14:paraId="0D1A2899" w14:textId="77777777">
        <w:trPr>
          <w:trHeight w:val="202"/>
        </w:trPr>
        <w:tc>
          <w:tcPr>
            <w:cnfStyle w:val="001000000000" w:firstRow="0" w:lastRow="0" w:firstColumn="1" w:lastColumn="0" w:oddVBand="0" w:evenVBand="0" w:oddHBand="0" w:evenHBand="0" w:firstRowFirstColumn="0" w:firstRowLastColumn="0" w:lastRowFirstColumn="0" w:lastRowLastColumn="0"/>
            <w:tcW w:w="433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007A7D81" w:rsidP="007A7D81" w:rsidRDefault="007A7D81" w14:paraId="7CC647C3" w14:textId="1F5C2FD1">
            <w:pPr>
              <w:pStyle w:val="Geenafstand"/>
              <w:spacing w:line="276" w:lineRule="auto"/>
            </w:pPr>
            <w:r w:rsidRPr="0070598C">
              <w:t xml:space="preserve">tomaat: 6 </w:t>
            </w:r>
            <w:proofErr w:type="spellStart"/>
            <w:r w:rsidRPr="0070598C">
              <w:t>mln</w:t>
            </w:r>
            <w:proofErr w:type="spellEnd"/>
            <w:r w:rsidRPr="0070598C">
              <w:t xml:space="preserve"> m3, </w:t>
            </w:r>
            <w:proofErr w:type="spellStart"/>
            <w:r w:rsidRPr="0070598C">
              <w:t>wkk</w:t>
            </w:r>
            <w:proofErr w:type="spellEnd"/>
            <w:r w:rsidRPr="0070598C">
              <w:t>, 51% eigen gebruik</w:t>
            </w: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22142D" w:rsidR="007A7D81" w:rsidP="007A7D81" w:rsidRDefault="007A7D81" w14:paraId="5DBC0983" w14:textId="781AF379">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70AD47" w:themeColor="accent6"/>
                <w:szCs w:val="18"/>
              </w:rPr>
            </w:pP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22142D" w:rsidR="007A7D81" w:rsidP="007A7D81" w:rsidRDefault="007A7D81" w14:paraId="11C5C23B" w14:textId="4D3EAA60">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70AD47" w:themeColor="accent6"/>
                <w:szCs w:val="18"/>
              </w:rPr>
            </w:pP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7A7D81" w:rsidR="007A7D81" w:rsidP="007A7D81" w:rsidRDefault="007A7D81" w14:paraId="6AB90A87" w14:textId="586829B4">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70AD47" w:themeColor="accent6"/>
                <w:szCs w:val="18"/>
              </w:rPr>
            </w:pPr>
            <w:r w:rsidRPr="007A7D81">
              <w:rPr>
                <w:color w:val="70AD47" w:themeColor="accent6"/>
              </w:rPr>
              <w:t>-10,1</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7A7D81" w:rsidR="007A7D81" w:rsidP="007A7D81" w:rsidRDefault="007A7D81" w14:paraId="57D5C69E" w14:textId="4B53A56E">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70AD47" w:themeColor="accent6"/>
                <w:szCs w:val="18"/>
              </w:rPr>
            </w:pPr>
            <w:r w:rsidRPr="007A7D81">
              <w:rPr>
                <w:color w:val="70AD47" w:themeColor="accent6"/>
              </w:rPr>
              <w:t>-5,3</w:t>
            </w:r>
          </w:p>
        </w:tc>
        <w:tc>
          <w:tcPr>
            <w:tcW w:w="92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F14A54" w:rsidR="007A7D81" w:rsidP="007A7D81" w:rsidRDefault="007A7D81" w14:paraId="3F31729E" w14:textId="4FEEF825">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Cs w:val="18"/>
              </w:rPr>
            </w:pPr>
            <w:r w:rsidRPr="0022142D">
              <w:rPr>
                <w:rFonts w:cstheme="minorHAnsi"/>
                <w:szCs w:val="18"/>
              </w:rPr>
              <w:t>0</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22142D" w:rsidR="007A7D81" w:rsidP="007A7D81" w:rsidRDefault="007A7D81" w14:paraId="6706DB5B" w14:textId="636BC59A">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70AD47" w:themeColor="accent6"/>
                <w:szCs w:val="18"/>
              </w:rPr>
            </w:pPr>
            <w:r w:rsidRPr="0022142D">
              <w:rPr>
                <w:rFonts w:cstheme="minorHAnsi"/>
                <w:szCs w:val="18"/>
              </w:rPr>
              <w:t>0</w:t>
            </w:r>
          </w:p>
        </w:tc>
      </w:tr>
      <w:tr w:rsidRPr="00CE5CBF" w:rsidR="007A7D81" w:rsidTr="007A7D81" w14:paraId="10270278"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33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70598C" w:rsidR="007A7D81" w:rsidP="007A7D81" w:rsidRDefault="007A7D81" w14:paraId="0328CBF0" w14:textId="58B4C52E">
            <w:pPr>
              <w:pStyle w:val="Geenafstand"/>
              <w:spacing w:line="276" w:lineRule="auto"/>
            </w:pPr>
            <w:r w:rsidRPr="001164FC">
              <w:t xml:space="preserve">Vruchtgroente 1: 11,4 </w:t>
            </w:r>
            <w:proofErr w:type="spellStart"/>
            <w:r w:rsidRPr="001164FC">
              <w:t>mln</w:t>
            </w:r>
            <w:proofErr w:type="spellEnd"/>
            <w:r w:rsidRPr="001164FC">
              <w:t xml:space="preserve"> m3, </w:t>
            </w:r>
            <w:proofErr w:type="spellStart"/>
            <w:r w:rsidRPr="001164FC">
              <w:t>wkk</w:t>
            </w:r>
            <w:proofErr w:type="spellEnd"/>
            <w:r w:rsidRPr="001164FC">
              <w:t>, 47% eigen gebruik</w:t>
            </w: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22142D" w:rsidR="007A7D81" w:rsidP="007A7D81" w:rsidRDefault="007A7D81" w14:paraId="4F246E88" w14:textId="115A99F6">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70AD47" w:themeColor="accent6"/>
                <w:szCs w:val="18"/>
              </w:rPr>
            </w:pP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22142D" w:rsidR="007A7D81" w:rsidP="007A7D81" w:rsidRDefault="007A7D81" w14:paraId="43B14807" w14:textId="3CFB578D">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70AD47" w:themeColor="accent6"/>
                <w:szCs w:val="18"/>
              </w:rPr>
            </w:pP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7A7D81" w:rsidR="007A7D81" w:rsidP="007A7D81" w:rsidRDefault="007A7D81" w14:paraId="0324FF40" w14:textId="6B180CCA">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70AD47" w:themeColor="accent6"/>
                <w:szCs w:val="18"/>
              </w:rPr>
            </w:pPr>
            <w:r w:rsidRPr="007A7D81">
              <w:rPr>
                <w:color w:val="70AD47" w:themeColor="accent6"/>
              </w:rPr>
              <w:t>-8,0</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7A7D81" w:rsidR="007A7D81" w:rsidP="007A7D81" w:rsidRDefault="007A7D81" w14:paraId="3D60F166" w14:textId="2C253F4C">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70AD47" w:themeColor="accent6"/>
                <w:szCs w:val="18"/>
              </w:rPr>
            </w:pPr>
            <w:r w:rsidRPr="007A7D81">
              <w:rPr>
                <w:color w:val="70AD47" w:themeColor="accent6"/>
              </w:rPr>
              <w:t>-2,8</w:t>
            </w:r>
          </w:p>
        </w:tc>
        <w:tc>
          <w:tcPr>
            <w:tcW w:w="92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F14A54" w:rsidR="007A7D81" w:rsidP="007A7D81" w:rsidRDefault="007A7D81" w14:paraId="4B19A3E8" w14:textId="362608AA">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FF0000"/>
                <w:szCs w:val="18"/>
              </w:rPr>
            </w:pPr>
            <w:r w:rsidRPr="0022142D">
              <w:rPr>
                <w:rFonts w:cstheme="minorHAnsi"/>
                <w:szCs w:val="18"/>
              </w:rPr>
              <w:t>0</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F14A54" w:rsidR="007A7D81" w:rsidP="007A7D81" w:rsidRDefault="007A7D81" w14:paraId="31B1E18F" w14:textId="383A4D59">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FF0000"/>
                <w:szCs w:val="18"/>
              </w:rPr>
            </w:pPr>
            <w:r w:rsidRPr="0022142D">
              <w:rPr>
                <w:rFonts w:cstheme="minorHAnsi"/>
                <w:szCs w:val="18"/>
              </w:rPr>
              <w:t>0</w:t>
            </w:r>
          </w:p>
        </w:tc>
      </w:tr>
      <w:tr w:rsidRPr="00CE5CBF" w:rsidR="007A7D81" w:rsidTr="007A7D81" w14:paraId="533487C4" w14:textId="77777777">
        <w:trPr>
          <w:trHeight w:val="202"/>
        </w:trPr>
        <w:tc>
          <w:tcPr>
            <w:cnfStyle w:val="001000000000" w:firstRow="0" w:lastRow="0" w:firstColumn="1" w:lastColumn="0" w:oddVBand="0" w:evenVBand="0" w:oddHBand="0" w:evenHBand="0" w:firstRowFirstColumn="0" w:firstRowLastColumn="0" w:lastRowFirstColumn="0" w:lastRowLastColumn="0"/>
            <w:tcW w:w="433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70598C" w:rsidR="007A7D81" w:rsidP="007A7D81" w:rsidRDefault="007A7D81" w14:paraId="363A3B40" w14:textId="29FD6043">
            <w:pPr>
              <w:pStyle w:val="Geenafstand"/>
              <w:spacing w:line="276" w:lineRule="auto"/>
            </w:pPr>
            <w:r w:rsidRPr="001164FC">
              <w:t xml:space="preserve">Vruchtgroente 2: 10,6 </w:t>
            </w:r>
            <w:proofErr w:type="spellStart"/>
            <w:r w:rsidRPr="001164FC">
              <w:t>mln</w:t>
            </w:r>
            <w:proofErr w:type="spellEnd"/>
            <w:r w:rsidRPr="001164FC">
              <w:t xml:space="preserve"> m3, </w:t>
            </w:r>
            <w:proofErr w:type="spellStart"/>
            <w:r w:rsidRPr="001164FC">
              <w:t>wkk</w:t>
            </w:r>
            <w:proofErr w:type="spellEnd"/>
            <w:r w:rsidRPr="001164FC">
              <w:t>, 10% eigen gebruik</w:t>
            </w: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22142D" w:rsidR="007A7D81" w:rsidP="007A7D81" w:rsidRDefault="007A7D81" w14:paraId="72FFDB37" w14:textId="02FBB1C1">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70AD47" w:themeColor="accent6"/>
                <w:szCs w:val="18"/>
              </w:rPr>
            </w:pP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22142D" w:rsidR="007A7D81" w:rsidP="007A7D81" w:rsidRDefault="007A7D81" w14:paraId="5C89CC6F" w14:textId="5BD12EC2">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70AD47" w:themeColor="accent6"/>
                <w:szCs w:val="18"/>
              </w:rPr>
            </w:pPr>
          </w:p>
        </w:tc>
        <w:tc>
          <w:tcPr>
            <w:tcW w:w="82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7A7D81" w:rsidR="007A7D81" w:rsidP="007A7D81" w:rsidRDefault="007A7D81" w14:paraId="2D74971E" w14:textId="7BB4FEE0">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Cs w:val="18"/>
              </w:rPr>
            </w:pPr>
            <w:r w:rsidRPr="007A7D81">
              <w:rPr>
                <w:color w:val="FF0000"/>
              </w:rPr>
              <w:t>5,3</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7A7D81" w:rsidR="007A7D81" w:rsidP="007A7D81" w:rsidRDefault="007A7D81" w14:paraId="6CD616BD" w14:textId="2688A246">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Cs w:val="18"/>
              </w:rPr>
            </w:pPr>
            <w:r w:rsidRPr="007A7D81">
              <w:rPr>
                <w:color w:val="FF0000"/>
              </w:rPr>
              <w:t>11,0</w:t>
            </w:r>
          </w:p>
        </w:tc>
        <w:tc>
          <w:tcPr>
            <w:tcW w:w="92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F14A54" w:rsidR="007A7D81" w:rsidP="007A7D81" w:rsidRDefault="007A7D81" w14:paraId="6C333D61" w14:textId="6626AF3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Cs w:val="18"/>
              </w:rPr>
            </w:pPr>
            <w:r w:rsidRPr="0022142D">
              <w:rPr>
                <w:rFonts w:cstheme="minorHAnsi"/>
                <w:szCs w:val="18"/>
              </w:rPr>
              <w:t>0</w:t>
            </w:r>
          </w:p>
        </w:tc>
        <w:tc>
          <w:tcPr>
            <w:tcW w:w="826"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F14A54" w:rsidR="007A7D81" w:rsidP="007A7D81" w:rsidRDefault="007A7D81" w14:paraId="04C6A1A9" w14:textId="68AF6200">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Cs w:val="18"/>
              </w:rPr>
            </w:pPr>
            <w:r w:rsidRPr="0022142D">
              <w:rPr>
                <w:rFonts w:cstheme="minorHAnsi"/>
                <w:szCs w:val="18"/>
              </w:rPr>
              <w:t>0</w:t>
            </w:r>
          </w:p>
        </w:tc>
      </w:tr>
    </w:tbl>
    <w:p w:rsidR="00CA283F" w:rsidP="004A69EC" w:rsidRDefault="00CA283F" w14:paraId="5EE2D573" w14:textId="293BC99B">
      <w:pPr>
        <w:pStyle w:val="Geenafstand"/>
        <w:spacing w:line="276" w:lineRule="auto"/>
        <w:ind w:left="360"/>
      </w:pPr>
    </w:p>
    <w:p w:rsidR="00CA283F" w:rsidRDefault="00CA283F" w14:paraId="75B201EB" w14:textId="77777777">
      <w:r>
        <w:br w:type="page"/>
      </w:r>
    </w:p>
    <w:p w:rsidR="004A69EC" w:rsidP="004A69EC" w:rsidRDefault="004A69EC" w14:paraId="433D7EF1" w14:textId="77777777">
      <w:pPr>
        <w:pStyle w:val="Geenafstand"/>
        <w:spacing w:line="276" w:lineRule="auto"/>
        <w:ind w:left="360"/>
      </w:pPr>
    </w:p>
    <w:tbl>
      <w:tblPr>
        <w:tblStyle w:val="Rastertabel4-Accent5"/>
        <w:tblW w:w="9634" w:type="dxa"/>
        <w:tblLook w:val="04A0" w:firstRow="1" w:lastRow="0" w:firstColumn="1" w:lastColumn="0" w:noHBand="0" w:noVBand="1"/>
      </w:tblPr>
      <w:tblGrid>
        <w:gridCol w:w="2936"/>
        <w:gridCol w:w="956"/>
        <w:gridCol w:w="957"/>
        <w:gridCol w:w="957"/>
        <w:gridCol w:w="957"/>
        <w:gridCol w:w="957"/>
        <w:gridCol w:w="957"/>
        <w:gridCol w:w="708"/>
        <w:gridCol w:w="249"/>
      </w:tblGrid>
      <w:tr w:rsidR="004A69EC" w:rsidTr="7EFECFCF" w14:paraId="2EC9FEC8" w14:textId="77777777">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9385" w:type="dxa"/>
            <w:gridSpan w:val="8"/>
            <w:shd w:val="clear" w:color="auto" w:fill="002060"/>
            <w:vAlign w:val="center"/>
          </w:tcPr>
          <w:p w:rsidR="004A69EC" w:rsidP="00061670" w:rsidRDefault="004A69EC" w14:paraId="3F23830E" w14:textId="77777777">
            <w:pPr>
              <w:rPr>
                <w:rFonts w:eastAsia="Times New Roman" w:cs="Calibri"/>
                <w:szCs w:val="18"/>
              </w:rPr>
            </w:pPr>
            <w:r>
              <w:rPr>
                <w:rFonts w:eastAsia="Times New Roman" w:cs="Calibri"/>
                <w:color w:val="FFFFFF"/>
                <w:szCs w:val="18"/>
              </w:rPr>
              <w:t xml:space="preserve">Tabel 1.2: Budgettaire effecten (prijspeil 2025) </w:t>
            </w:r>
          </w:p>
        </w:tc>
        <w:tc>
          <w:tcPr>
            <w:tcW w:w="249" w:type="dxa"/>
            <w:shd w:val="clear" w:color="auto" w:fill="002060"/>
          </w:tcPr>
          <w:p w:rsidR="004A69EC" w:rsidP="00061670" w:rsidRDefault="004A69EC" w14:paraId="5067879A" w14:textId="77777777">
            <w:pPr>
              <w:cnfStyle w:val="100000000000" w:firstRow="1" w:lastRow="0" w:firstColumn="0" w:lastColumn="0" w:oddVBand="0" w:evenVBand="0" w:oddHBand="0" w:evenHBand="0" w:firstRowFirstColumn="0" w:firstRowLastColumn="0" w:lastRowFirstColumn="0" w:lastRowLastColumn="0"/>
              <w:rPr>
                <w:rFonts w:eastAsia="Times New Roman" w:cs="Calibri"/>
                <w:color w:val="FFFFFF"/>
                <w:szCs w:val="18"/>
              </w:rPr>
            </w:pPr>
          </w:p>
        </w:tc>
      </w:tr>
      <w:tr w:rsidR="004A69EC" w:rsidTr="7EFECFCF" w14:paraId="361FAD42"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936" w:type="dxa"/>
            <w:vAlign w:val="center"/>
          </w:tcPr>
          <w:p w:rsidR="004A69EC" w:rsidP="00061670" w:rsidRDefault="004A69EC" w14:paraId="163FFE59" w14:textId="77777777">
            <w:pPr>
              <w:rPr>
                <w:rFonts w:eastAsia="Times New Roman" w:cs="Times New Roman"/>
                <w:szCs w:val="18"/>
              </w:rPr>
            </w:pPr>
          </w:p>
        </w:tc>
        <w:tc>
          <w:tcPr>
            <w:tcW w:w="956" w:type="dxa"/>
            <w:vAlign w:val="center"/>
          </w:tcPr>
          <w:p w:rsidR="004A69EC" w:rsidP="00061670" w:rsidRDefault="004A69EC" w14:paraId="300D5EF2"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2025</w:t>
            </w:r>
          </w:p>
        </w:tc>
        <w:tc>
          <w:tcPr>
            <w:tcW w:w="957" w:type="dxa"/>
            <w:vAlign w:val="center"/>
          </w:tcPr>
          <w:p w:rsidR="004A69EC" w:rsidP="00061670" w:rsidRDefault="004A69EC" w14:paraId="0C002FC0"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2026</w:t>
            </w:r>
          </w:p>
        </w:tc>
        <w:tc>
          <w:tcPr>
            <w:tcW w:w="957" w:type="dxa"/>
            <w:vAlign w:val="center"/>
          </w:tcPr>
          <w:p w:rsidR="004A69EC" w:rsidP="00061670" w:rsidRDefault="004A69EC" w14:paraId="7E349750"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2027</w:t>
            </w:r>
          </w:p>
        </w:tc>
        <w:tc>
          <w:tcPr>
            <w:tcW w:w="957" w:type="dxa"/>
            <w:vAlign w:val="center"/>
          </w:tcPr>
          <w:p w:rsidR="004A69EC" w:rsidP="00061670" w:rsidRDefault="004A69EC" w14:paraId="429DCB9A"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2028</w:t>
            </w:r>
          </w:p>
        </w:tc>
        <w:tc>
          <w:tcPr>
            <w:tcW w:w="957" w:type="dxa"/>
            <w:vAlign w:val="center"/>
          </w:tcPr>
          <w:p w:rsidR="004A69EC" w:rsidP="00061670" w:rsidRDefault="004A69EC" w14:paraId="3A98B062"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2029</w:t>
            </w:r>
          </w:p>
        </w:tc>
        <w:tc>
          <w:tcPr>
            <w:tcW w:w="957" w:type="dxa"/>
            <w:vAlign w:val="center"/>
          </w:tcPr>
          <w:p w:rsidR="004A69EC" w:rsidP="00061670" w:rsidRDefault="004A69EC" w14:paraId="0EB3667D"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2030</w:t>
            </w:r>
          </w:p>
        </w:tc>
        <w:tc>
          <w:tcPr>
            <w:tcW w:w="957" w:type="dxa"/>
            <w:gridSpan w:val="2"/>
          </w:tcPr>
          <w:p w:rsidR="004A69EC" w:rsidP="00061670" w:rsidRDefault="004A69EC" w14:paraId="136F7672"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Cum.</w:t>
            </w:r>
          </w:p>
        </w:tc>
      </w:tr>
      <w:tr w:rsidR="004A69EC" w:rsidTr="7EFECFCF" w14:paraId="5E71DF6C" w14:textId="77777777">
        <w:trPr>
          <w:trHeight w:val="202"/>
        </w:trPr>
        <w:tc>
          <w:tcPr>
            <w:cnfStyle w:val="001000000000" w:firstRow="0" w:lastRow="0" w:firstColumn="1" w:lastColumn="0" w:oddVBand="0" w:evenVBand="0" w:oddHBand="0" w:evenHBand="0" w:firstRowFirstColumn="0" w:firstRowLastColumn="0" w:lastRowFirstColumn="0" w:lastRowLastColumn="0"/>
            <w:tcW w:w="2936" w:type="dxa"/>
            <w:vAlign w:val="center"/>
          </w:tcPr>
          <w:p w:rsidRPr="008B48B0" w:rsidR="004A69EC" w:rsidP="00061670" w:rsidRDefault="004A69EC" w14:paraId="78469F81" w14:textId="77777777">
            <w:pPr>
              <w:rPr>
                <w:rFonts w:eastAsia="Times New Roman" w:cs="Calibri"/>
                <w:color w:val="000000"/>
                <w:szCs w:val="18"/>
              </w:rPr>
            </w:pPr>
          </w:p>
        </w:tc>
        <w:tc>
          <w:tcPr>
            <w:tcW w:w="956" w:type="dxa"/>
          </w:tcPr>
          <w:p w:rsidRPr="002569CA" w:rsidR="004A69EC" w:rsidP="60CD5AF9" w:rsidRDefault="004A69EC" w14:paraId="48621298" w14:textId="77777777">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957" w:type="dxa"/>
          </w:tcPr>
          <w:p w:rsidRPr="002569CA" w:rsidR="004A69EC" w:rsidP="60CD5AF9" w:rsidRDefault="004A69EC" w14:paraId="75703F6F" w14:textId="77777777">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957" w:type="dxa"/>
          </w:tcPr>
          <w:p w:rsidRPr="002569CA" w:rsidR="004A69EC" w:rsidP="60CD5AF9" w:rsidRDefault="004A69EC" w14:paraId="6E3E8CF1" w14:textId="77777777">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957" w:type="dxa"/>
          </w:tcPr>
          <w:p w:rsidRPr="002569CA" w:rsidR="004A69EC" w:rsidP="60CD5AF9" w:rsidRDefault="004A69EC" w14:paraId="70B1F10F" w14:textId="77777777">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957" w:type="dxa"/>
          </w:tcPr>
          <w:p w:rsidRPr="002569CA" w:rsidR="004A69EC" w:rsidP="60CD5AF9" w:rsidRDefault="004A69EC" w14:paraId="7579C1DC" w14:textId="77777777">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957" w:type="dxa"/>
          </w:tcPr>
          <w:p w:rsidRPr="002569CA" w:rsidR="004A69EC" w:rsidP="60CD5AF9" w:rsidRDefault="004A69EC" w14:paraId="5B0F0709" w14:textId="77777777">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957" w:type="dxa"/>
            <w:gridSpan w:val="2"/>
          </w:tcPr>
          <w:p w:rsidRPr="002569CA" w:rsidR="004A69EC" w:rsidP="60CD5AF9" w:rsidRDefault="004A69EC" w14:paraId="6A8DD6AF" w14:textId="77777777">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4A69EC" w:rsidTr="7EFECFCF" w14:paraId="3AA4E256"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936" w:type="dxa"/>
            <w:shd w:val="clear" w:color="auto" w:fill="FFFFFF" w:themeFill="background1"/>
            <w:vAlign w:val="center"/>
          </w:tcPr>
          <w:p w:rsidRPr="007171A1" w:rsidR="004A69EC" w:rsidP="00061670" w:rsidRDefault="004A69EC" w14:paraId="519528FF" w14:textId="77777777">
            <w:pPr>
              <w:rPr>
                <w:rFonts w:eastAsia="Times New Roman" w:cs="Calibri"/>
                <w:b w:val="0"/>
                <w:bCs w:val="0"/>
                <w:color w:val="000000"/>
                <w:szCs w:val="18"/>
              </w:rPr>
            </w:pPr>
            <w:r w:rsidRPr="007171A1">
              <w:rPr>
                <w:rFonts w:eastAsia="Times New Roman" w:cs="Calibri"/>
                <w:b w:val="0"/>
                <w:bCs w:val="0"/>
                <w:color w:val="000000"/>
                <w:szCs w:val="18"/>
              </w:rPr>
              <w:t xml:space="preserve">Inkomsten </w:t>
            </w:r>
            <w:proofErr w:type="spellStart"/>
            <w:r w:rsidRPr="007171A1">
              <w:rPr>
                <w:rFonts w:eastAsia="Times New Roman" w:cs="Calibri"/>
                <w:b w:val="0"/>
                <w:bCs w:val="0"/>
                <w:color w:val="000000"/>
                <w:szCs w:val="18"/>
              </w:rPr>
              <w:t>opt</w:t>
            </w:r>
            <w:proofErr w:type="spellEnd"/>
            <w:r w:rsidRPr="007171A1">
              <w:rPr>
                <w:rFonts w:eastAsia="Times New Roman" w:cs="Calibri"/>
                <w:b w:val="0"/>
                <w:bCs w:val="0"/>
                <w:color w:val="000000"/>
                <w:szCs w:val="18"/>
              </w:rPr>
              <w:t>-in ETS2</w:t>
            </w:r>
          </w:p>
        </w:tc>
        <w:tc>
          <w:tcPr>
            <w:tcW w:w="956" w:type="dxa"/>
            <w:shd w:val="clear" w:color="auto" w:fill="FFFFFF" w:themeFill="background1"/>
            <w:vAlign w:val="center"/>
          </w:tcPr>
          <w:p w:rsidRPr="002569CA" w:rsidR="004A69EC" w:rsidP="60CD5AF9" w:rsidRDefault="004A69EC" w14:paraId="625294A7"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957" w:type="dxa"/>
            <w:shd w:val="clear" w:color="auto" w:fill="FFFFFF" w:themeFill="background1"/>
            <w:vAlign w:val="center"/>
          </w:tcPr>
          <w:p w:rsidRPr="002569CA" w:rsidR="004A69EC" w:rsidP="60CD5AF9" w:rsidRDefault="004A69EC" w14:paraId="151DB897"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957" w:type="dxa"/>
            <w:shd w:val="clear" w:color="auto" w:fill="FFFFFF" w:themeFill="background1"/>
            <w:vAlign w:val="center"/>
          </w:tcPr>
          <w:p w:rsidRPr="002569CA" w:rsidR="004A69EC" w:rsidP="7EFECFCF" w:rsidRDefault="004A69EC" w14:paraId="303F3E3E" w14:textId="77777777">
            <w:pPr>
              <w:jc w:val="center"/>
              <w:cnfStyle w:val="000000100000" w:firstRow="0" w:lastRow="0" w:firstColumn="0" w:lastColumn="0" w:oddVBand="0" w:evenVBand="0" w:oddHBand="1" w:evenHBand="0" w:firstRowFirstColumn="0" w:firstRowLastColumn="0" w:lastRowFirstColumn="0" w:lastRowLastColumn="0"/>
            </w:pPr>
            <w:r>
              <w:t>374</w:t>
            </w:r>
          </w:p>
        </w:tc>
        <w:tc>
          <w:tcPr>
            <w:tcW w:w="957" w:type="dxa"/>
            <w:shd w:val="clear" w:color="auto" w:fill="FFFFFF" w:themeFill="background1"/>
            <w:vAlign w:val="center"/>
          </w:tcPr>
          <w:p w:rsidRPr="002569CA" w:rsidR="004A69EC" w:rsidP="7EFECFCF" w:rsidRDefault="004A69EC" w14:paraId="05438BA5" w14:textId="77777777">
            <w:pPr>
              <w:jc w:val="center"/>
              <w:cnfStyle w:val="000000100000" w:firstRow="0" w:lastRow="0" w:firstColumn="0" w:lastColumn="0" w:oddVBand="0" w:evenVBand="0" w:oddHBand="1" w:evenHBand="0" w:firstRowFirstColumn="0" w:firstRowLastColumn="0" w:lastRowFirstColumn="0" w:lastRowLastColumn="0"/>
            </w:pPr>
            <w:r>
              <w:t>286</w:t>
            </w:r>
          </w:p>
        </w:tc>
        <w:tc>
          <w:tcPr>
            <w:tcW w:w="957" w:type="dxa"/>
            <w:shd w:val="clear" w:color="auto" w:fill="FFFFFF" w:themeFill="background1"/>
            <w:vAlign w:val="center"/>
          </w:tcPr>
          <w:p w:rsidRPr="002569CA" w:rsidR="004A69EC" w:rsidP="7EFECFCF" w:rsidRDefault="004A69EC" w14:paraId="0B50F87C" w14:textId="77777777">
            <w:pPr>
              <w:jc w:val="center"/>
              <w:cnfStyle w:val="000000100000" w:firstRow="0" w:lastRow="0" w:firstColumn="0" w:lastColumn="0" w:oddVBand="0" w:evenVBand="0" w:oddHBand="1" w:evenHBand="0" w:firstRowFirstColumn="0" w:firstRowLastColumn="0" w:lastRowFirstColumn="0" w:lastRowLastColumn="0"/>
            </w:pPr>
            <w:r>
              <w:t>252</w:t>
            </w:r>
          </w:p>
        </w:tc>
        <w:tc>
          <w:tcPr>
            <w:tcW w:w="957" w:type="dxa"/>
            <w:shd w:val="clear" w:color="auto" w:fill="FFFFFF" w:themeFill="background1"/>
            <w:vAlign w:val="center"/>
          </w:tcPr>
          <w:p w:rsidRPr="002569CA" w:rsidR="004A69EC" w:rsidP="7EFECFCF" w:rsidRDefault="004A69EC" w14:paraId="3C5961B9" w14:textId="77777777">
            <w:pPr>
              <w:jc w:val="center"/>
              <w:cnfStyle w:val="000000100000" w:firstRow="0" w:lastRow="0" w:firstColumn="0" w:lastColumn="0" w:oddVBand="0" w:evenVBand="0" w:oddHBand="1" w:evenHBand="0" w:firstRowFirstColumn="0" w:firstRowLastColumn="0" w:lastRowFirstColumn="0" w:lastRowLastColumn="0"/>
            </w:pPr>
            <w:r>
              <w:t>250</w:t>
            </w:r>
          </w:p>
        </w:tc>
        <w:tc>
          <w:tcPr>
            <w:tcW w:w="957" w:type="dxa"/>
            <w:gridSpan w:val="2"/>
            <w:shd w:val="clear" w:color="auto" w:fill="FFFFFF" w:themeFill="background1"/>
            <w:vAlign w:val="center"/>
          </w:tcPr>
          <w:p w:rsidRPr="002569CA" w:rsidR="004A69EC" w:rsidP="7EFECFCF" w:rsidRDefault="004A69EC" w14:paraId="4C06C448"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r w:rsidRPr="7EFECFCF">
              <w:rPr>
                <w:rFonts w:eastAsia="Times New Roman" w:cs="Calibri"/>
              </w:rPr>
              <w:t>1.161</w:t>
            </w:r>
          </w:p>
        </w:tc>
      </w:tr>
      <w:tr w:rsidR="004A69EC" w:rsidTr="7EFECFCF" w14:paraId="138C6DCC" w14:textId="77777777">
        <w:trPr>
          <w:trHeight w:val="202"/>
        </w:trPr>
        <w:tc>
          <w:tcPr>
            <w:cnfStyle w:val="001000000000" w:firstRow="0" w:lastRow="0" w:firstColumn="1" w:lastColumn="0" w:oddVBand="0" w:evenVBand="0" w:oddHBand="0" w:evenHBand="0" w:firstRowFirstColumn="0" w:firstRowLastColumn="0" w:lastRowFirstColumn="0" w:lastRowLastColumn="0"/>
            <w:tcW w:w="2936" w:type="dxa"/>
            <w:shd w:val="clear" w:color="auto" w:fill="FFFFFF" w:themeFill="background1"/>
            <w:vAlign w:val="center"/>
          </w:tcPr>
          <w:p w:rsidRPr="007171A1" w:rsidR="004A69EC" w:rsidP="00061670" w:rsidRDefault="004A69EC" w14:paraId="628BD176" w14:textId="77777777">
            <w:pPr>
              <w:rPr>
                <w:rFonts w:eastAsia="Times New Roman" w:cs="Calibri"/>
                <w:b w:val="0"/>
                <w:bCs w:val="0"/>
                <w:color w:val="000000"/>
                <w:szCs w:val="18"/>
              </w:rPr>
            </w:pPr>
            <w:r>
              <w:rPr>
                <w:rFonts w:eastAsia="Times New Roman" w:cs="Calibri"/>
                <w:b w:val="0"/>
                <w:bCs w:val="0"/>
                <w:color w:val="000000"/>
                <w:szCs w:val="18"/>
              </w:rPr>
              <w:t>Afschaffen CO2-heffing GTB</w:t>
            </w:r>
          </w:p>
        </w:tc>
        <w:tc>
          <w:tcPr>
            <w:tcW w:w="956" w:type="dxa"/>
            <w:shd w:val="clear" w:color="auto" w:fill="FFFFFF" w:themeFill="background1"/>
            <w:vAlign w:val="center"/>
          </w:tcPr>
          <w:p w:rsidRPr="002569CA" w:rsidR="004A69EC" w:rsidP="60CD5AF9" w:rsidRDefault="004A69EC" w14:paraId="28EF7C00" w14:textId="10B92F95">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957" w:type="dxa"/>
            <w:shd w:val="clear" w:color="auto" w:fill="FFFFFF" w:themeFill="background1"/>
            <w:vAlign w:val="center"/>
          </w:tcPr>
          <w:p w:rsidRPr="002569CA" w:rsidR="004A69EC" w:rsidP="60CD5AF9" w:rsidRDefault="004A69EC" w14:paraId="0674E791" w14:textId="5C092A04">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957" w:type="dxa"/>
            <w:shd w:val="clear" w:color="auto" w:fill="FFFFFF" w:themeFill="background1"/>
            <w:vAlign w:val="center"/>
          </w:tcPr>
          <w:p w:rsidRPr="002569CA" w:rsidR="004A69EC" w:rsidP="7EFECFCF" w:rsidRDefault="004A69EC" w14:paraId="4DE457CD" w14:textId="77777777">
            <w:pPr>
              <w:jc w:val="center"/>
              <w:cnfStyle w:val="000000000000" w:firstRow="0" w:lastRow="0" w:firstColumn="0" w:lastColumn="0" w:oddVBand="0" w:evenVBand="0" w:oddHBand="0" w:evenHBand="0" w:firstRowFirstColumn="0" w:firstRowLastColumn="0" w:lastRowFirstColumn="0" w:lastRowLastColumn="0"/>
            </w:pPr>
            <w:r>
              <w:t>-59</w:t>
            </w:r>
          </w:p>
        </w:tc>
        <w:tc>
          <w:tcPr>
            <w:tcW w:w="957" w:type="dxa"/>
            <w:shd w:val="clear" w:color="auto" w:fill="FFFFFF" w:themeFill="background1"/>
            <w:vAlign w:val="center"/>
          </w:tcPr>
          <w:p w:rsidRPr="002569CA" w:rsidR="004A69EC" w:rsidP="7EFECFCF" w:rsidRDefault="004A69EC" w14:paraId="4C09412B" w14:textId="77777777">
            <w:pPr>
              <w:jc w:val="center"/>
              <w:cnfStyle w:val="000000000000" w:firstRow="0" w:lastRow="0" w:firstColumn="0" w:lastColumn="0" w:oddVBand="0" w:evenVBand="0" w:oddHBand="0" w:evenHBand="0" w:firstRowFirstColumn="0" w:firstRowLastColumn="0" w:lastRowFirstColumn="0" w:lastRowLastColumn="0"/>
            </w:pPr>
            <w:r>
              <w:t>-64</w:t>
            </w:r>
          </w:p>
        </w:tc>
        <w:tc>
          <w:tcPr>
            <w:tcW w:w="957" w:type="dxa"/>
            <w:shd w:val="clear" w:color="auto" w:fill="FFFFFF" w:themeFill="background1"/>
            <w:vAlign w:val="center"/>
          </w:tcPr>
          <w:p w:rsidRPr="002569CA" w:rsidR="004A69EC" w:rsidP="7EFECFCF" w:rsidRDefault="004A69EC" w14:paraId="1A15E577" w14:textId="77777777">
            <w:pPr>
              <w:jc w:val="center"/>
              <w:cnfStyle w:val="000000000000" w:firstRow="0" w:lastRow="0" w:firstColumn="0" w:lastColumn="0" w:oddVBand="0" w:evenVBand="0" w:oddHBand="0" w:evenHBand="0" w:firstRowFirstColumn="0" w:firstRowLastColumn="0" w:lastRowFirstColumn="0" w:lastRowLastColumn="0"/>
            </w:pPr>
            <w:r>
              <w:t>-67</w:t>
            </w:r>
          </w:p>
        </w:tc>
        <w:tc>
          <w:tcPr>
            <w:tcW w:w="957" w:type="dxa"/>
            <w:shd w:val="clear" w:color="auto" w:fill="FFFFFF" w:themeFill="background1"/>
            <w:vAlign w:val="center"/>
          </w:tcPr>
          <w:p w:rsidRPr="002569CA" w:rsidR="004A69EC" w:rsidP="7EFECFCF" w:rsidRDefault="004A69EC" w14:paraId="5510CDB6" w14:textId="77777777">
            <w:pPr>
              <w:jc w:val="center"/>
              <w:cnfStyle w:val="000000000000" w:firstRow="0" w:lastRow="0" w:firstColumn="0" w:lastColumn="0" w:oddVBand="0" w:evenVBand="0" w:oddHBand="0" w:evenHBand="0" w:firstRowFirstColumn="0" w:firstRowLastColumn="0" w:lastRowFirstColumn="0" w:lastRowLastColumn="0"/>
            </w:pPr>
            <w:r>
              <w:t>-69</w:t>
            </w:r>
          </w:p>
        </w:tc>
        <w:tc>
          <w:tcPr>
            <w:tcW w:w="957" w:type="dxa"/>
            <w:gridSpan w:val="2"/>
            <w:shd w:val="clear" w:color="auto" w:fill="FFFFFF" w:themeFill="background1"/>
            <w:vAlign w:val="center"/>
          </w:tcPr>
          <w:p w:rsidRPr="002569CA" w:rsidR="004A69EC" w:rsidP="7EFECFCF" w:rsidRDefault="004A69EC" w14:paraId="00B0A3E6" w14:textId="27B396D6">
            <w:pPr>
              <w:jc w:val="center"/>
              <w:cnfStyle w:val="000000000000" w:firstRow="0" w:lastRow="0" w:firstColumn="0" w:lastColumn="0" w:oddVBand="0" w:evenVBand="0" w:oddHBand="0" w:evenHBand="0" w:firstRowFirstColumn="0" w:firstRowLastColumn="0" w:lastRowFirstColumn="0" w:lastRowLastColumn="0"/>
            </w:pPr>
            <w:r>
              <w:t>-259</w:t>
            </w:r>
          </w:p>
        </w:tc>
      </w:tr>
      <w:tr w:rsidR="004A69EC" w:rsidTr="7EFECFCF" w14:paraId="57B1B57B"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936" w:type="dxa"/>
            <w:shd w:val="clear" w:color="auto" w:fill="FFFFFF" w:themeFill="background1"/>
            <w:vAlign w:val="center"/>
          </w:tcPr>
          <w:p w:rsidRPr="004A69EC" w:rsidR="004A69EC" w:rsidP="00061670" w:rsidRDefault="004A69EC" w14:paraId="7F4B9E73" w14:textId="343C8475">
            <w:pPr>
              <w:rPr>
                <w:rFonts w:eastAsia="Times New Roman" w:cs="Calibri"/>
                <w:b w:val="0"/>
                <w:bCs w:val="0"/>
                <w:color w:val="000000"/>
                <w:szCs w:val="18"/>
              </w:rPr>
            </w:pPr>
            <w:r w:rsidRPr="004A69EC">
              <w:rPr>
                <w:rFonts w:eastAsia="Times New Roman" w:cs="Calibri"/>
                <w:b w:val="0"/>
                <w:bCs w:val="0"/>
                <w:color w:val="000000"/>
                <w:szCs w:val="18"/>
              </w:rPr>
              <w:t>Compensatie energiebelasting</w:t>
            </w:r>
          </w:p>
        </w:tc>
        <w:tc>
          <w:tcPr>
            <w:tcW w:w="956" w:type="dxa"/>
            <w:shd w:val="clear" w:color="auto" w:fill="FFFFFF" w:themeFill="background1"/>
            <w:vAlign w:val="center"/>
          </w:tcPr>
          <w:p w:rsidRPr="002569CA" w:rsidR="004A69EC" w:rsidP="60CD5AF9" w:rsidRDefault="004A69EC" w14:paraId="130A9FCF"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957" w:type="dxa"/>
            <w:shd w:val="clear" w:color="auto" w:fill="FFFFFF" w:themeFill="background1"/>
            <w:vAlign w:val="center"/>
          </w:tcPr>
          <w:p w:rsidRPr="002569CA" w:rsidR="004A69EC" w:rsidP="60CD5AF9" w:rsidRDefault="004A69EC" w14:paraId="19A18FC2"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957" w:type="dxa"/>
            <w:shd w:val="clear" w:color="auto" w:fill="FFFFFF" w:themeFill="background1"/>
            <w:vAlign w:val="center"/>
          </w:tcPr>
          <w:p w:rsidRPr="002569CA" w:rsidR="004A69EC" w:rsidP="7EFECFCF" w:rsidRDefault="004A69EC" w14:paraId="6614CADC" w14:textId="616929A8">
            <w:pPr>
              <w:jc w:val="center"/>
              <w:cnfStyle w:val="000000100000" w:firstRow="0" w:lastRow="0" w:firstColumn="0" w:lastColumn="0" w:oddVBand="0" w:evenVBand="0" w:oddHBand="1" w:evenHBand="0" w:firstRowFirstColumn="0" w:firstRowLastColumn="0" w:lastRowFirstColumn="0" w:lastRowLastColumn="0"/>
            </w:pPr>
            <w:r>
              <w:t>-27</w:t>
            </w:r>
          </w:p>
        </w:tc>
        <w:tc>
          <w:tcPr>
            <w:tcW w:w="957" w:type="dxa"/>
            <w:shd w:val="clear" w:color="auto" w:fill="FFFFFF" w:themeFill="background1"/>
            <w:vAlign w:val="center"/>
          </w:tcPr>
          <w:p w:rsidRPr="002569CA" w:rsidR="004A69EC" w:rsidP="7EFECFCF" w:rsidRDefault="004A69EC" w14:paraId="46B73B67" w14:textId="28ADA570">
            <w:pPr>
              <w:jc w:val="center"/>
              <w:cnfStyle w:val="000000100000" w:firstRow="0" w:lastRow="0" w:firstColumn="0" w:lastColumn="0" w:oddVBand="0" w:evenVBand="0" w:oddHBand="1" w:evenHBand="0" w:firstRowFirstColumn="0" w:firstRowLastColumn="0" w:lastRowFirstColumn="0" w:lastRowLastColumn="0"/>
            </w:pPr>
            <w:r>
              <w:t>-96</w:t>
            </w:r>
          </w:p>
        </w:tc>
        <w:tc>
          <w:tcPr>
            <w:tcW w:w="957" w:type="dxa"/>
            <w:shd w:val="clear" w:color="auto" w:fill="FFFFFF" w:themeFill="background1"/>
            <w:vAlign w:val="center"/>
          </w:tcPr>
          <w:p w:rsidRPr="002569CA" w:rsidR="004A69EC" w:rsidP="7EFECFCF" w:rsidRDefault="004A69EC" w14:paraId="7E6EC451" w14:textId="77777777">
            <w:pPr>
              <w:jc w:val="center"/>
              <w:cnfStyle w:val="000000100000" w:firstRow="0" w:lastRow="0" w:firstColumn="0" w:lastColumn="0" w:oddVBand="0" w:evenVBand="0" w:oddHBand="1" w:evenHBand="0" w:firstRowFirstColumn="0" w:firstRowLastColumn="0" w:lastRowFirstColumn="0" w:lastRowLastColumn="0"/>
            </w:pPr>
          </w:p>
        </w:tc>
        <w:tc>
          <w:tcPr>
            <w:tcW w:w="957" w:type="dxa"/>
            <w:shd w:val="clear" w:color="auto" w:fill="FFFFFF" w:themeFill="background1"/>
            <w:vAlign w:val="center"/>
          </w:tcPr>
          <w:p w:rsidRPr="002569CA" w:rsidR="004A69EC" w:rsidP="7EFECFCF" w:rsidRDefault="004A69EC" w14:paraId="7A6E58D3" w14:textId="77777777">
            <w:pPr>
              <w:jc w:val="center"/>
              <w:cnfStyle w:val="000000100000" w:firstRow="0" w:lastRow="0" w:firstColumn="0" w:lastColumn="0" w:oddVBand="0" w:evenVBand="0" w:oddHBand="1" w:evenHBand="0" w:firstRowFirstColumn="0" w:firstRowLastColumn="0" w:lastRowFirstColumn="0" w:lastRowLastColumn="0"/>
            </w:pPr>
          </w:p>
        </w:tc>
        <w:tc>
          <w:tcPr>
            <w:tcW w:w="957" w:type="dxa"/>
            <w:gridSpan w:val="2"/>
            <w:shd w:val="clear" w:color="auto" w:fill="FFFFFF" w:themeFill="background1"/>
            <w:vAlign w:val="center"/>
          </w:tcPr>
          <w:p w:rsidRPr="002569CA" w:rsidR="004A69EC" w:rsidP="7EFECFCF" w:rsidRDefault="0091032D" w14:paraId="76528B2A" w14:textId="39EFF6D7">
            <w:pPr>
              <w:jc w:val="center"/>
              <w:cnfStyle w:val="000000100000" w:firstRow="0" w:lastRow="0" w:firstColumn="0" w:lastColumn="0" w:oddVBand="0" w:evenVBand="0" w:oddHBand="1" w:evenHBand="0" w:firstRowFirstColumn="0" w:firstRowLastColumn="0" w:lastRowFirstColumn="0" w:lastRowLastColumn="0"/>
            </w:pPr>
            <w:r>
              <w:t>-123</w:t>
            </w:r>
          </w:p>
        </w:tc>
      </w:tr>
      <w:tr w:rsidR="004A69EC" w:rsidTr="7EFECFCF" w14:paraId="7C1CAA5E" w14:textId="77777777">
        <w:trPr>
          <w:trHeight w:val="202"/>
        </w:trPr>
        <w:tc>
          <w:tcPr>
            <w:cnfStyle w:val="001000000000" w:firstRow="0" w:lastRow="0" w:firstColumn="1" w:lastColumn="0" w:oddVBand="0" w:evenVBand="0" w:oddHBand="0" w:evenHBand="0" w:firstRowFirstColumn="0" w:firstRowLastColumn="0" w:lastRowFirstColumn="0" w:lastRowLastColumn="0"/>
            <w:tcW w:w="2936" w:type="dxa"/>
            <w:shd w:val="clear" w:color="auto" w:fill="FFFFFF" w:themeFill="background1"/>
            <w:vAlign w:val="center"/>
          </w:tcPr>
          <w:p w:rsidRPr="007171A1" w:rsidR="004A69EC" w:rsidP="00061670" w:rsidRDefault="004A69EC" w14:paraId="0D5CEA47" w14:textId="77777777">
            <w:pPr>
              <w:rPr>
                <w:rFonts w:eastAsia="Times New Roman" w:cs="Calibri"/>
                <w:b w:val="0"/>
                <w:bCs w:val="0"/>
                <w:color w:val="000000"/>
                <w:szCs w:val="18"/>
              </w:rPr>
            </w:pPr>
            <w:r>
              <w:rPr>
                <w:rFonts w:eastAsia="Times New Roman" w:cs="Calibri"/>
                <w:b w:val="0"/>
                <w:bCs w:val="0"/>
                <w:color w:val="000000"/>
                <w:szCs w:val="18"/>
              </w:rPr>
              <w:t>K</w:t>
            </w:r>
            <w:r w:rsidRPr="007171A1">
              <w:rPr>
                <w:rFonts w:eastAsia="Times New Roman" w:cs="Calibri"/>
                <w:b w:val="0"/>
                <w:bCs w:val="0"/>
                <w:color w:val="000000"/>
                <w:szCs w:val="18"/>
              </w:rPr>
              <w:t>ostencompensatieregeling</w:t>
            </w:r>
            <w:r>
              <w:rPr>
                <w:rFonts w:eastAsia="Times New Roman" w:cs="Calibri"/>
                <w:b w:val="0"/>
                <w:bCs w:val="0"/>
                <w:color w:val="000000"/>
                <w:szCs w:val="18"/>
              </w:rPr>
              <w:t xml:space="preserve"> ETS2</w:t>
            </w:r>
          </w:p>
        </w:tc>
        <w:tc>
          <w:tcPr>
            <w:tcW w:w="956" w:type="dxa"/>
            <w:shd w:val="clear" w:color="auto" w:fill="FFFFFF" w:themeFill="background1"/>
            <w:vAlign w:val="center"/>
          </w:tcPr>
          <w:p w:rsidRPr="002569CA" w:rsidR="004A69EC" w:rsidP="60CD5AF9" w:rsidRDefault="004A69EC" w14:paraId="4094697E" w14:textId="77777777">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957" w:type="dxa"/>
            <w:shd w:val="clear" w:color="auto" w:fill="FFFFFF" w:themeFill="background1"/>
            <w:vAlign w:val="center"/>
          </w:tcPr>
          <w:p w:rsidRPr="002569CA" w:rsidR="004A69EC" w:rsidP="60CD5AF9" w:rsidRDefault="004A69EC" w14:paraId="189FD1BE" w14:textId="77777777">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957" w:type="dxa"/>
            <w:shd w:val="clear" w:color="auto" w:fill="FFFFFF" w:themeFill="background1"/>
            <w:vAlign w:val="center"/>
          </w:tcPr>
          <w:p w:rsidRPr="002569CA" w:rsidR="004A69EC" w:rsidP="7EFECFCF" w:rsidRDefault="004A69EC" w14:paraId="463E226A" w14:textId="77777777">
            <w:pPr>
              <w:jc w:val="center"/>
              <w:cnfStyle w:val="000000000000" w:firstRow="0" w:lastRow="0" w:firstColumn="0" w:lastColumn="0" w:oddVBand="0" w:evenVBand="0" w:oddHBand="0" w:evenHBand="0" w:firstRowFirstColumn="0" w:firstRowLastColumn="0" w:lastRowFirstColumn="0" w:lastRowLastColumn="0"/>
            </w:pPr>
          </w:p>
        </w:tc>
        <w:tc>
          <w:tcPr>
            <w:tcW w:w="957" w:type="dxa"/>
            <w:shd w:val="clear" w:color="auto" w:fill="FFFFFF" w:themeFill="background1"/>
            <w:vAlign w:val="center"/>
          </w:tcPr>
          <w:p w:rsidRPr="002569CA" w:rsidR="004A69EC" w:rsidP="7EFECFCF" w:rsidRDefault="004A69EC" w14:paraId="58BB25C8" w14:textId="77777777">
            <w:pPr>
              <w:jc w:val="center"/>
              <w:cnfStyle w:val="000000000000" w:firstRow="0" w:lastRow="0" w:firstColumn="0" w:lastColumn="0" w:oddVBand="0" w:evenVBand="0" w:oddHBand="0" w:evenHBand="0" w:firstRowFirstColumn="0" w:firstRowLastColumn="0" w:lastRowFirstColumn="0" w:lastRowLastColumn="0"/>
            </w:pPr>
          </w:p>
        </w:tc>
        <w:tc>
          <w:tcPr>
            <w:tcW w:w="957" w:type="dxa"/>
            <w:shd w:val="clear" w:color="auto" w:fill="FFFFFF" w:themeFill="background1"/>
            <w:vAlign w:val="center"/>
          </w:tcPr>
          <w:p w:rsidRPr="002569CA" w:rsidR="004A69EC" w:rsidP="7EFECFCF" w:rsidRDefault="004A69EC" w14:paraId="1EA54B5D" w14:textId="77777777">
            <w:pPr>
              <w:jc w:val="center"/>
              <w:cnfStyle w:val="000000000000" w:firstRow="0" w:lastRow="0" w:firstColumn="0" w:lastColumn="0" w:oddVBand="0" w:evenVBand="0" w:oddHBand="0" w:evenHBand="0" w:firstRowFirstColumn="0" w:firstRowLastColumn="0" w:lastRowFirstColumn="0" w:lastRowLastColumn="0"/>
            </w:pPr>
            <w:r>
              <w:t>-66</w:t>
            </w:r>
          </w:p>
        </w:tc>
        <w:tc>
          <w:tcPr>
            <w:tcW w:w="957" w:type="dxa"/>
            <w:shd w:val="clear" w:color="auto" w:fill="FFFFFF" w:themeFill="background1"/>
            <w:vAlign w:val="center"/>
          </w:tcPr>
          <w:p w:rsidRPr="002569CA" w:rsidR="004A69EC" w:rsidP="7EFECFCF" w:rsidRDefault="004A69EC" w14:paraId="4649033B" w14:textId="77777777">
            <w:pPr>
              <w:jc w:val="center"/>
              <w:cnfStyle w:val="000000000000" w:firstRow="0" w:lastRow="0" w:firstColumn="0" w:lastColumn="0" w:oddVBand="0" w:evenVBand="0" w:oddHBand="0" w:evenHBand="0" w:firstRowFirstColumn="0" w:firstRowLastColumn="0" w:lastRowFirstColumn="0" w:lastRowLastColumn="0"/>
            </w:pPr>
            <w:r>
              <w:t>-42</w:t>
            </w:r>
          </w:p>
        </w:tc>
        <w:tc>
          <w:tcPr>
            <w:tcW w:w="957" w:type="dxa"/>
            <w:gridSpan w:val="2"/>
            <w:shd w:val="clear" w:color="auto" w:fill="FFFFFF" w:themeFill="background1"/>
            <w:vAlign w:val="center"/>
          </w:tcPr>
          <w:p w:rsidRPr="002569CA" w:rsidR="004A69EC" w:rsidP="7EFECFCF" w:rsidRDefault="004A69EC" w14:paraId="7A0DBD1B" w14:textId="77777777">
            <w:pPr>
              <w:jc w:val="center"/>
              <w:cnfStyle w:val="000000000000" w:firstRow="0" w:lastRow="0" w:firstColumn="0" w:lastColumn="0" w:oddVBand="0" w:evenVBand="0" w:oddHBand="0" w:evenHBand="0" w:firstRowFirstColumn="0" w:firstRowLastColumn="0" w:lastRowFirstColumn="0" w:lastRowLastColumn="0"/>
            </w:pPr>
            <w:r>
              <w:t>-109</w:t>
            </w:r>
          </w:p>
        </w:tc>
      </w:tr>
      <w:tr w:rsidR="003B53D1" w:rsidTr="7EFECFCF" w14:paraId="39E4C38E"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936" w:type="dxa"/>
            <w:shd w:val="clear" w:color="auto" w:fill="FFFFFF" w:themeFill="background1"/>
            <w:vAlign w:val="center"/>
          </w:tcPr>
          <w:p w:rsidRPr="004C182D" w:rsidR="003B53D1" w:rsidP="003B53D1" w:rsidRDefault="003B53D1" w14:paraId="6A3172BF" w14:textId="77777777">
            <w:pPr>
              <w:rPr>
                <w:rFonts w:eastAsia="Times New Roman" w:cs="Calibri"/>
                <w:b w:val="0"/>
                <w:bCs w:val="0"/>
                <w:color w:val="000000"/>
                <w:szCs w:val="18"/>
              </w:rPr>
            </w:pPr>
            <w:r w:rsidRPr="004C182D">
              <w:rPr>
                <w:rFonts w:eastAsia="Times New Roman" w:cs="Calibri"/>
                <w:b w:val="0"/>
                <w:bCs w:val="0"/>
                <w:color w:val="000000"/>
                <w:szCs w:val="18"/>
              </w:rPr>
              <w:t>Envelop compensatie glastuinbouw</w:t>
            </w:r>
          </w:p>
        </w:tc>
        <w:tc>
          <w:tcPr>
            <w:tcW w:w="956" w:type="dxa"/>
            <w:shd w:val="clear" w:color="auto" w:fill="FFFFFF" w:themeFill="background1"/>
            <w:vAlign w:val="center"/>
          </w:tcPr>
          <w:p w:rsidRPr="002569CA" w:rsidR="003B53D1" w:rsidP="60CD5AF9" w:rsidRDefault="003B53D1" w14:paraId="060BFA4F"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957" w:type="dxa"/>
            <w:shd w:val="clear" w:color="auto" w:fill="FFFFFF" w:themeFill="background1"/>
            <w:vAlign w:val="center"/>
          </w:tcPr>
          <w:p w:rsidRPr="002569CA" w:rsidR="003B53D1" w:rsidP="60CD5AF9" w:rsidRDefault="003B53D1" w14:paraId="148E51EA" w14:textId="77777777">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957" w:type="dxa"/>
            <w:shd w:val="clear" w:color="auto" w:fill="FFFFFF" w:themeFill="background1"/>
            <w:vAlign w:val="center"/>
          </w:tcPr>
          <w:p w:rsidRPr="002569CA" w:rsidR="003B53D1" w:rsidP="7EFECFCF" w:rsidRDefault="003B53D1" w14:paraId="32E92DBD" w14:textId="2422588F">
            <w:pPr>
              <w:jc w:val="center"/>
              <w:cnfStyle w:val="000000100000" w:firstRow="0" w:lastRow="0" w:firstColumn="0" w:lastColumn="0" w:oddVBand="0" w:evenVBand="0" w:oddHBand="1" w:evenHBand="0" w:firstRowFirstColumn="0" w:firstRowLastColumn="0" w:lastRowFirstColumn="0" w:lastRowLastColumn="0"/>
            </w:pPr>
            <w:r>
              <w:t>-2</w:t>
            </w:r>
            <w:r w:rsidR="00CA283F">
              <w:t>48</w:t>
            </w:r>
          </w:p>
        </w:tc>
        <w:tc>
          <w:tcPr>
            <w:tcW w:w="957" w:type="dxa"/>
            <w:shd w:val="clear" w:color="auto" w:fill="FFFFFF" w:themeFill="background1"/>
            <w:vAlign w:val="center"/>
          </w:tcPr>
          <w:p w:rsidRPr="002569CA" w:rsidR="003B53D1" w:rsidP="7EFECFCF" w:rsidRDefault="003B53D1" w14:paraId="368C7A30" w14:textId="6E23A50B">
            <w:pPr>
              <w:jc w:val="center"/>
              <w:cnfStyle w:val="000000100000" w:firstRow="0" w:lastRow="0" w:firstColumn="0" w:lastColumn="0" w:oddVBand="0" w:evenVBand="0" w:oddHBand="1" w:evenHBand="0" w:firstRowFirstColumn="0" w:firstRowLastColumn="0" w:lastRowFirstColumn="0" w:lastRowLastColumn="0"/>
            </w:pPr>
            <w:r>
              <w:t>-11</w:t>
            </w:r>
            <w:r w:rsidR="00CA283F">
              <w:t>9</w:t>
            </w:r>
          </w:p>
        </w:tc>
        <w:tc>
          <w:tcPr>
            <w:tcW w:w="957" w:type="dxa"/>
            <w:shd w:val="clear" w:color="auto" w:fill="FFFFFF" w:themeFill="background1"/>
            <w:vAlign w:val="center"/>
          </w:tcPr>
          <w:p w:rsidRPr="002569CA" w:rsidR="003B53D1" w:rsidP="7EFECFCF" w:rsidRDefault="003B53D1" w14:paraId="463844B3" w14:textId="30DF7587">
            <w:pPr>
              <w:jc w:val="center"/>
              <w:cnfStyle w:val="000000100000" w:firstRow="0" w:lastRow="0" w:firstColumn="0" w:lastColumn="0" w:oddVBand="0" w:evenVBand="0" w:oddHBand="1" w:evenHBand="0" w:firstRowFirstColumn="0" w:firstRowLastColumn="0" w:lastRowFirstColumn="0" w:lastRowLastColumn="0"/>
            </w:pPr>
            <w:r>
              <w:t>0</w:t>
            </w:r>
          </w:p>
        </w:tc>
        <w:tc>
          <w:tcPr>
            <w:tcW w:w="957" w:type="dxa"/>
            <w:shd w:val="clear" w:color="auto" w:fill="FFFFFF" w:themeFill="background1"/>
            <w:vAlign w:val="center"/>
          </w:tcPr>
          <w:p w:rsidRPr="002569CA" w:rsidR="003B53D1" w:rsidP="7EFECFCF" w:rsidRDefault="003B53D1" w14:paraId="77B068E1" w14:textId="000DB2A9">
            <w:pPr>
              <w:jc w:val="center"/>
              <w:cnfStyle w:val="000000100000" w:firstRow="0" w:lastRow="0" w:firstColumn="0" w:lastColumn="0" w:oddVBand="0" w:evenVBand="0" w:oddHBand="1" w:evenHBand="0" w:firstRowFirstColumn="0" w:firstRowLastColumn="0" w:lastRowFirstColumn="0" w:lastRowLastColumn="0"/>
            </w:pPr>
            <w:r>
              <w:t>0</w:t>
            </w:r>
          </w:p>
        </w:tc>
        <w:tc>
          <w:tcPr>
            <w:tcW w:w="957" w:type="dxa"/>
            <w:gridSpan w:val="2"/>
            <w:shd w:val="clear" w:color="auto" w:fill="FFFFFF" w:themeFill="background1"/>
            <w:vAlign w:val="center"/>
          </w:tcPr>
          <w:p w:rsidRPr="002569CA" w:rsidR="003B53D1" w:rsidP="7EFECFCF" w:rsidRDefault="003B53D1" w14:paraId="45B4887B" w14:textId="12D0A3E5">
            <w:pPr>
              <w:jc w:val="center"/>
              <w:cnfStyle w:val="000000100000" w:firstRow="0" w:lastRow="0" w:firstColumn="0" w:lastColumn="0" w:oddVBand="0" w:evenVBand="0" w:oddHBand="1" w:evenHBand="0" w:firstRowFirstColumn="0" w:firstRowLastColumn="0" w:lastRowFirstColumn="0" w:lastRowLastColumn="0"/>
            </w:pPr>
            <w:r>
              <w:t>-366</w:t>
            </w:r>
          </w:p>
        </w:tc>
      </w:tr>
      <w:tr w:rsidR="00354155" w:rsidTr="7EFECFCF" w14:paraId="1F7CDCEA" w14:textId="77777777">
        <w:trPr>
          <w:trHeight w:val="202"/>
        </w:trPr>
        <w:tc>
          <w:tcPr>
            <w:cnfStyle w:val="001000000000" w:firstRow="0" w:lastRow="0" w:firstColumn="1" w:lastColumn="0" w:oddVBand="0" w:evenVBand="0" w:oddHBand="0" w:evenHBand="0" w:firstRowFirstColumn="0" w:firstRowLastColumn="0" w:lastRowFirstColumn="0" w:lastRowLastColumn="0"/>
            <w:tcW w:w="2936" w:type="dxa"/>
            <w:shd w:val="clear" w:color="auto" w:fill="FFFFFF" w:themeFill="background1"/>
            <w:vAlign w:val="center"/>
          </w:tcPr>
          <w:p w:rsidRPr="00354155" w:rsidR="00354155" w:rsidP="00061670" w:rsidRDefault="00354155" w14:paraId="502DE6D2" w14:textId="5EFAAF80">
            <w:pPr>
              <w:rPr>
                <w:rFonts w:eastAsia="Times New Roman" w:cs="Calibri"/>
                <w:b w:val="0"/>
                <w:bCs w:val="0"/>
                <w:color w:val="000000"/>
                <w:szCs w:val="18"/>
              </w:rPr>
            </w:pPr>
            <w:r w:rsidRPr="00354155">
              <w:rPr>
                <w:rFonts w:eastAsia="Times New Roman" w:cs="Calibri"/>
                <w:b w:val="0"/>
                <w:bCs w:val="0"/>
                <w:color w:val="000000"/>
                <w:szCs w:val="18"/>
              </w:rPr>
              <w:t>Actieprogramma Energietransitie Glastuinbouw</w:t>
            </w:r>
          </w:p>
        </w:tc>
        <w:tc>
          <w:tcPr>
            <w:tcW w:w="956" w:type="dxa"/>
            <w:shd w:val="clear" w:color="auto" w:fill="FFFFFF" w:themeFill="background1"/>
            <w:vAlign w:val="center"/>
          </w:tcPr>
          <w:p w:rsidRPr="00ED18E7" w:rsidR="00354155" w:rsidP="60CD5AF9" w:rsidRDefault="00354155" w14:paraId="0BFCED05" w14:textId="77777777">
            <w:pPr>
              <w:jc w:val="center"/>
              <w:cnfStyle w:val="000000000000" w:firstRow="0" w:lastRow="0" w:firstColumn="0" w:lastColumn="0" w:oddVBand="0" w:evenVBand="0" w:oddHBand="0" w:evenHBand="0" w:firstRowFirstColumn="0" w:firstRowLastColumn="0" w:lastRowFirstColumn="0" w:lastRowLastColumn="0"/>
              <w:rPr>
                <w:b/>
                <w:bCs/>
                <w:highlight w:val="yellow"/>
              </w:rPr>
            </w:pPr>
          </w:p>
        </w:tc>
        <w:tc>
          <w:tcPr>
            <w:tcW w:w="957" w:type="dxa"/>
            <w:shd w:val="clear" w:color="auto" w:fill="FFFFFF" w:themeFill="background1"/>
            <w:vAlign w:val="center"/>
          </w:tcPr>
          <w:p w:rsidRPr="00ED18E7" w:rsidR="00354155" w:rsidP="60CD5AF9" w:rsidRDefault="00354155" w14:paraId="011D8D6C" w14:textId="77777777">
            <w:pPr>
              <w:jc w:val="center"/>
              <w:cnfStyle w:val="000000000000" w:firstRow="0" w:lastRow="0" w:firstColumn="0" w:lastColumn="0" w:oddVBand="0" w:evenVBand="0" w:oddHBand="0" w:evenHBand="0" w:firstRowFirstColumn="0" w:firstRowLastColumn="0" w:lastRowFirstColumn="0" w:lastRowLastColumn="0"/>
              <w:rPr>
                <w:b/>
                <w:bCs/>
                <w:highlight w:val="yellow"/>
              </w:rPr>
            </w:pPr>
          </w:p>
        </w:tc>
        <w:tc>
          <w:tcPr>
            <w:tcW w:w="957" w:type="dxa"/>
            <w:shd w:val="clear" w:color="auto" w:fill="FFFFFF" w:themeFill="background1"/>
            <w:vAlign w:val="center"/>
          </w:tcPr>
          <w:p w:rsidRPr="003B53D1" w:rsidR="00354155" w:rsidP="7EFECFCF" w:rsidRDefault="003B53D1" w14:paraId="65C708FA" w14:textId="5B0323F7">
            <w:pPr>
              <w:jc w:val="center"/>
              <w:cnfStyle w:val="000000000000" w:firstRow="0" w:lastRow="0" w:firstColumn="0" w:lastColumn="0" w:oddVBand="0" w:evenVBand="0" w:oddHBand="0" w:evenHBand="0" w:firstRowFirstColumn="0" w:firstRowLastColumn="0" w:lastRowFirstColumn="0" w:lastRowLastColumn="0"/>
            </w:pPr>
            <w:r>
              <w:t>-</w:t>
            </w:r>
            <w:r w:rsidR="00CA283F">
              <w:t>40</w:t>
            </w:r>
          </w:p>
        </w:tc>
        <w:tc>
          <w:tcPr>
            <w:tcW w:w="957" w:type="dxa"/>
            <w:shd w:val="clear" w:color="auto" w:fill="FFFFFF" w:themeFill="background1"/>
            <w:vAlign w:val="center"/>
          </w:tcPr>
          <w:p w:rsidRPr="003B53D1" w:rsidR="00354155" w:rsidP="7EFECFCF" w:rsidRDefault="003B53D1" w14:paraId="1FB04720" w14:textId="4F040215">
            <w:pPr>
              <w:jc w:val="center"/>
              <w:cnfStyle w:val="000000000000" w:firstRow="0" w:lastRow="0" w:firstColumn="0" w:lastColumn="0" w:oddVBand="0" w:evenVBand="0" w:oddHBand="0" w:evenHBand="0" w:firstRowFirstColumn="0" w:firstRowLastColumn="0" w:lastRowFirstColumn="0" w:lastRowLastColumn="0"/>
            </w:pPr>
            <w:r>
              <w:t>-</w:t>
            </w:r>
            <w:r w:rsidR="00CA283F">
              <w:t>7</w:t>
            </w:r>
          </w:p>
        </w:tc>
        <w:tc>
          <w:tcPr>
            <w:tcW w:w="957" w:type="dxa"/>
            <w:shd w:val="clear" w:color="auto" w:fill="FFFFFF" w:themeFill="background1"/>
            <w:vAlign w:val="center"/>
          </w:tcPr>
          <w:p w:rsidRPr="003B53D1" w:rsidR="00354155" w:rsidP="7EFECFCF" w:rsidRDefault="003B53D1" w14:paraId="48A54F92" w14:textId="7CE9F8AD">
            <w:pPr>
              <w:jc w:val="center"/>
              <w:cnfStyle w:val="000000000000" w:firstRow="0" w:lastRow="0" w:firstColumn="0" w:lastColumn="0" w:oddVBand="0" w:evenVBand="0" w:oddHBand="0" w:evenHBand="0" w:firstRowFirstColumn="0" w:firstRowLastColumn="0" w:lastRowFirstColumn="0" w:lastRowLastColumn="0"/>
            </w:pPr>
            <w:r>
              <w:t>-119</w:t>
            </w:r>
          </w:p>
        </w:tc>
        <w:tc>
          <w:tcPr>
            <w:tcW w:w="957" w:type="dxa"/>
            <w:shd w:val="clear" w:color="auto" w:fill="FFFFFF" w:themeFill="background1"/>
            <w:vAlign w:val="center"/>
          </w:tcPr>
          <w:p w:rsidRPr="003B53D1" w:rsidR="00354155" w:rsidP="7EFECFCF" w:rsidRDefault="003B53D1" w14:paraId="08EA6FAE" w14:textId="0303D1B3">
            <w:pPr>
              <w:jc w:val="center"/>
              <w:cnfStyle w:val="000000000000" w:firstRow="0" w:lastRow="0" w:firstColumn="0" w:lastColumn="0" w:oddVBand="0" w:evenVBand="0" w:oddHBand="0" w:evenHBand="0" w:firstRowFirstColumn="0" w:firstRowLastColumn="0" w:lastRowFirstColumn="0" w:lastRowLastColumn="0"/>
            </w:pPr>
            <w:r>
              <w:t>-139</w:t>
            </w:r>
          </w:p>
        </w:tc>
        <w:tc>
          <w:tcPr>
            <w:tcW w:w="957" w:type="dxa"/>
            <w:gridSpan w:val="2"/>
            <w:shd w:val="clear" w:color="auto" w:fill="FFFFFF" w:themeFill="background1"/>
            <w:vAlign w:val="center"/>
          </w:tcPr>
          <w:p w:rsidRPr="003B53D1" w:rsidR="00354155" w:rsidP="7EFECFCF" w:rsidRDefault="003B53D1" w14:paraId="24CB1F4F" w14:textId="37034CD9">
            <w:pPr>
              <w:jc w:val="center"/>
              <w:cnfStyle w:val="000000000000" w:firstRow="0" w:lastRow="0" w:firstColumn="0" w:lastColumn="0" w:oddVBand="0" w:evenVBand="0" w:oddHBand="0" w:evenHBand="0" w:firstRowFirstColumn="0" w:firstRowLastColumn="0" w:lastRowFirstColumn="0" w:lastRowLastColumn="0"/>
            </w:pPr>
            <w:r>
              <w:t>-304</w:t>
            </w:r>
          </w:p>
        </w:tc>
      </w:tr>
      <w:tr w:rsidR="004A69EC" w:rsidTr="7EFECFCF" w14:paraId="1FEEF6DD"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936" w:type="dxa"/>
            <w:shd w:val="clear" w:color="auto" w:fill="FFFFFF" w:themeFill="background1"/>
            <w:vAlign w:val="center"/>
          </w:tcPr>
          <w:p w:rsidRPr="00ED18E7" w:rsidR="004A69EC" w:rsidP="00061670" w:rsidRDefault="004A69EC" w14:paraId="182EF581" w14:textId="77777777">
            <w:pPr>
              <w:rPr>
                <w:rFonts w:eastAsia="Times New Roman" w:cs="Calibri"/>
                <w:color w:val="000000"/>
                <w:szCs w:val="18"/>
              </w:rPr>
            </w:pPr>
            <w:r w:rsidRPr="00ED18E7">
              <w:rPr>
                <w:rFonts w:eastAsia="Times New Roman" w:cs="Calibri"/>
                <w:color w:val="000000"/>
                <w:szCs w:val="18"/>
              </w:rPr>
              <w:t>Totaal</w:t>
            </w:r>
          </w:p>
        </w:tc>
        <w:tc>
          <w:tcPr>
            <w:tcW w:w="956" w:type="dxa"/>
            <w:shd w:val="clear" w:color="auto" w:fill="FFFFFF" w:themeFill="background1"/>
            <w:vAlign w:val="center"/>
          </w:tcPr>
          <w:p w:rsidRPr="00ED18E7" w:rsidR="004A69EC" w:rsidP="60CD5AF9" w:rsidRDefault="004A69EC" w14:paraId="5C8D2450" w14:textId="0BF5C86E">
            <w:pPr>
              <w:jc w:val="center"/>
              <w:cnfStyle w:val="000000100000" w:firstRow="0" w:lastRow="0" w:firstColumn="0" w:lastColumn="0" w:oddVBand="0" w:evenVBand="0" w:oddHBand="1" w:evenHBand="0" w:firstRowFirstColumn="0" w:firstRowLastColumn="0" w:lastRowFirstColumn="0" w:lastRowLastColumn="0"/>
              <w:rPr>
                <w:b/>
                <w:bCs/>
                <w:highlight w:val="yellow"/>
              </w:rPr>
            </w:pPr>
          </w:p>
        </w:tc>
        <w:tc>
          <w:tcPr>
            <w:tcW w:w="957" w:type="dxa"/>
            <w:shd w:val="clear" w:color="auto" w:fill="FFFFFF" w:themeFill="background1"/>
            <w:vAlign w:val="center"/>
          </w:tcPr>
          <w:p w:rsidRPr="00ED18E7" w:rsidR="004A69EC" w:rsidP="60CD5AF9" w:rsidRDefault="004A69EC" w14:paraId="2DB6F1B9" w14:textId="4E9A2E79">
            <w:pPr>
              <w:jc w:val="center"/>
              <w:cnfStyle w:val="000000100000" w:firstRow="0" w:lastRow="0" w:firstColumn="0" w:lastColumn="0" w:oddVBand="0" w:evenVBand="0" w:oddHBand="1" w:evenHBand="0" w:firstRowFirstColumn="0" w:firstRowLastColumn="0" w:lastRowFirstColumn="0" w:lastRowLastColumn="0"/>
              <w:rPr>
                <w:b/>
                <w:bCs/>
                <w:highlight w:val="yellow"/>
              </w:rPr>
            </w:pPr>
          </w:p>
        </w:tc>
        <w:tc>
          <w:tcPr>
            <w:tcW w:w="957" w:type="dxa"/>
            <w:shd w:val="clear" w:color="auto" w:fill="FFFFFF" w:themeFill="background1"/>
            <w:vAlign w:val="center"/>
          </w:tcPr>
          <w:p w:rsidRPr="00ED18E7" w:rsidR="004A69EC" w:rsidP="7EFECFCF" w:rsidRDefault="003B53D1" w14:paraId="5E6405D2" w14:textId="18E5C50D">
            <w:pPr>
              <w:jc w:val="center"/>
              <w:cnfStyle w:val="000000100000" w:firstRow="0" w:lastRow="0" w:firstColumn="0" w:lastColumn="0" w:oddVBand="0" w:evenVBand="0" w:oddHBand="1" w:evenHBand="0" w:firstRowFirstColumn="0" w:firstRowLastColumn="0" w:lastRowFirstColumn="0" w:lastRowLastColumn="0"/>
              <w:rPr>
                <w:b/>
                <w:bCs/>
              </w:rPr>
            </w:pPr>
            <w:r w:rsidRPr="7EFECFCF">
              <w:rPr>
                <w:b/>
                <w:bCs/>
              </w:rPr>
              <w:t>0</w:t>
            </w:r>
          </w:p>
        </w:tc>
        <w:tc>
          <w:tcPr>
            <w:tcW w:w="957" w:type="dxa"/>
            <w:shd w:val="clear" w:color="auto" w:fill="FFFFFF" w:themeFill="background1"/>
            <w:vAlign w:val="center"/>
          </w:tcPr>
          <w:p w:rsidRPr="00ED18E7" w:rsidR="004A69EC" w:rsidP="7EFECFCF" w:rsidRDefault="003B53D1" w14:paraId="3E402B4C" w14:textId="12FB2148">
            <w:pPr>
              <w:jc w:val="center"/>
              <w:cnfStyle w:val="000000100000" w:firstRow="0" w:lastRow="0" w:firstColumn="0" w:lastColumn="0" w:oddVBand="0" w:evenVBand="0" w:oddHBand="1" w:evenHBand="0" w:firstRowFirstColumn="0" w:firstRowLastColumn="0" w:lastRowFirstColumn="0" w:lastRowLastColumn="0"/>
              <w:rPr>
                <w:b/>
                <w:bCs/>
              </w:rPr>
            </w:pPr>
            <w:r w:rsidRPr="7EFECFCF">
              <w:rPr>
                <w:b/>
                <w:bCs/>
              </w:rPr>
              <w:t>0</w:t>
            </w:r>
          </w:p>
        </w:tc>
        <w:tc>
          <w:tcPr>
            <w:tcW w:w="957" w:type="dxa"/>
            <w:shd w:val="clear" w:color="auto" w:fill="FFFFFF" w:themeFill="background1"/>
            <w:vAlign w:val="center"/>
          </w:tcPr>
          <w:p w:rsidRPr="00ED18E7" w:rsidR="004A69EC" w:rsidP="7EFECFCF" w:rsidRDefault="003B53D1" w14:paraId="3EC9CC90" w14:textId="6816ECA3">
            <w:pPr>
              <w:jc w:val="center"/>
              <w:cnfStyle w:val="000000100000" w:firstRow="0" w:lastRow="0" w:firstColumn="0" w:lastColumn="0" w:oddVBand="0" w:evenVBand="0" w:oddHBand="1" w:evenHBand="0" w:firstRowFirstColumn="0" w:firstRowLastColumn="0" w:lastRowFirstColumn="0" w:lastRowLastColumn="0"/>
              <w:rPr>
                <w:b/>
                <w:bCs/>
              </w:rPr>
            </w:pPr>
            <w:r w:rsidRPr="7EFECFCF">
              <w:rPr>
                <w:b/>
                <w:bCs/>
              </w:rPr>
              <w:t>0</w:t>
            </w:r>
          </w:p>
        </w:tc>
        <w:tc>
          <w:tcPr>
            <w:tcW w:w="957" w:type="dxa"/>
            <w:shd w:val="clear" w:color="auto" w:fill="FFFFFF" w:themeFill="background1"/>
            <w:vAlign w:val="center"/>
          </w:tcPr>
          <w:p w:rsidRPr="00ED18E7" w:rsidR="004A69EC" w:rsidP="7EFECFCF" w:rsidRDefault="003B53D1" w14:paraId="5EB994DD" w14:textId="0102BFAB">
            <w:pPr>
              <w:jc w:val="center"/>
              <w:cnfStyle w:val="000000100000" w:firstRow="0" w:lastRow="0" w:firstColumn="0" w:lastColumn="0" w:oddVBand="0" w:evenVBand="0" w:oddHBand="1" w:evenHBand="0" w:firstRowFirstColumn="0" w:firstRowLastColumn="0" w:lastRowFirstColumn="0" w:lastRowLastColumn="0"/>
              <w:rPr>
                <w:b/>
                <w:bCs/>
              </w:rPr>
            </w:pPr>
            <w:r w:rsidRPr="7EFECFCF">
              <w:rPr>
                <w:b/>
                <w:bCs/>
              </w:rPr>
              <w:t>0</w:t>
            </w:r>
          </w:p>
        </w:tc>
        <w:tc>
          <w:tcPr>
            <w:tcW w:w="957" w:type="dxa"/>
            <w:gridSpan w:val="2"/>
            <w:shd w:val="clear" w:color="auto" w:fill="FFFFFF" w:themeFill="background1"/>
            <w:vAlign w:val="center"/>
          </w:tcPr>
          <w:p w:rsidRPr="00ED18E7" w:rsidR="004A69EC" w:rsidP="7EFECFCF" w:rsidRDefault="003B53D1" w14:paraId="1090D959" w14:textId="1B55C904">
            <w:pPr>
              <w:jc w:val="center"/>
              <w:cnfStyle w:val="000000100000" w:firstRow="0" w:lastRow="0" w:firstColumn="0" w:lastColumn="0" w:oddVBand="0" w:evenVBand="0" w:oddHBand="1" w:evenHBand="0" w:firstRowFirstColumn="0" w:firstRowLastColumn="0" w:lastRowFirstColumn="0" w:lastRowLastColumn="0"/>
              <w:rPr>
                <w:b/>
                <w:bCs/>
              </w:rPr>
            </w:pPr>
            <w:r w:rsidRPr="7EFECFCF">
              <w:rPr>
                <w:b/>
                <w:bCs/>
              </w:rPr>
              <w:t>0</w:t>
            </w:r>
          </w:p>
        </w:tc>
      </w:tr>
    </w:tbl>
    <w:p w:rsidR="003B53D1" w:rsidP="007A0AD5" w:rsidRDefault="003B53D1" w14:paraId="47F45967" w14:textId="77777777">
      <w:pPr>
        <w:rPr>
          <w:b/>
          <w:bCs/>
        </w:rPr>
      </w:pPr>
    </w:p>
    <w:p w:rsidR="003B53D1" w:rsidRDefault="003B53D1" w14:paraId="7409CCE7" w14:textId="77777777">
      <w:pPr>
        <w:rPr>
          <w:b/>
          <w:bCs/>
        </w:rPr>
      </w:pPr>
      <w:r>
        <w:rPr>
          <w:b/>
          <w:bCs/>
        </w:rPr>
        <w:br w:type="page"/>
      </w:r>
    </w:p>
    <w:p w:rsidRPr="00ED18E7" w:rsidR="007A0AD5" w:rsidP="007A0AD5" w:rsidRDefault="007A0AD5" w14:paraId="0281002B" w14:textId="0416A6CE">
      <w:pPr>
        <w:rPr>
          <w:b/>
          <w:bCs/>
        </w:rPr>
      </w:pPr>
      <w:r w:rsidRPr="00ED18E7">
        <w:rPr>
          <w:b/>
          <w:bCs/>
        </w:rPr>
        <w:lastRenderedPageBreak/>
        <w:t xml:space="preserve">Bijlage: Effecten </w:t>
      </w:r>
      <w:r w:rsidR="00AE19F6">
        <w:rPr>
          <w:b/>
          <w:bCs/>
        </w:rPr>
        <w:t>pakket 2</w:t>
      </w:r>
    </w:p>
    <w:p w:rsidRPr="00CA283F" w:rsidR="00CA283F" w:rsidP="00CA283F" w:rsidRDefault="00CA283F" w14:paraId="33511F9B" w14:textId="77777777">
      <w:pPr>
        <w:spacing w:line="360" w:lineRule="auto"/>
        <w:rPr>
          <w:szCs w:val="18"/>
        </w:rPr>
      </w:pPr>
    </w:p>
    <w:p w:rsidR="00F246AE" w:rsidP="00F246AE" w:rsidRDefault="00B94035" w14:paraId="5745D552" w14:textId="77777777">
      <w:pPr>
        <w:pStyle w:val="Lijstalinea"/>
        <w:numPr>
          <w:ilvl w:val="0"/>
          <w:numId w:val="2"/>
        </w:numPr>
        <w:spacing w:line="360" w:lineRule="auto"/>
      </w:pPr>
      <w:r w:rsidRPr="004C67D6">
        <w:rPr>
          <w:szCs w:val="18"/>
        </w:rPr>
        <w:t>Tabel 2</w:t>
      </w:r>
      <w:r w:rsidRPr="004C67D6" w:rsidR="00B6291D">
        <w:rPr>
          <w:szCs w:val="18"/>
        </w:rPr>
        <w:t>.1</w:t>
      </w:r>
      <w:r w:rsidRPr="004C67D6">
        <w:rPr>
          <w:szCs w:val="18"/>
        </w:rPr>
        <w:t xml:space="preserve"> laat de “</w:t>
      </w:r>
      <w:proofErr w:type="spellStart"/>
      <w:r w:rsidRPr="004C67D6">
        <w:rPr>
          <w:szCs w:val="18"/>
        </w:rPr>
        <w:t>overshoot</w:t>
      </w:r>
      <w:proofErr w:type="spellEnd"/>
      <w:r w:rsidRPr="004C67D6">
        <w:rPr>
          <w:szCs w:val="18"/>
        </w:rPr>
        <w:t xml:space="preserve">” van ETS2 en bijmengverplichting op het Convenant Energietransitie Glastuinbouw zien. Hierbij is uitgegaan van de veronderstellingen uit de concept tariefstudie van Berenschot en </w:t>
      </w:r>
      <w:proofErr w:type="spellStart"/>
      <w:r w:rsidRPr="004C67D6">
        <w:rPr>
          <w:szCs w:val="18"/>
        </w:rPr>
        <w:t>Kalavasta</w:t>
      </w:r>
      <w:proofErr w:type="spellEnd"/>
      <w:r w:rsidRPr="004C67D6">
        <w:rPr>
          <w:szCs w:val="18"/>
        </w:rPr>
        <w:t>.</w:t>
      </w:r>
      <w:r w:rsidR="00F246AE">
        <w:rPr>
          <w:szCs w:val="18"/>
        </w:rPr>
        <w:t xml:space="preserve"> </w:t>
      </w:r>
      <w:r w:rsidR="00F246AE">
        <w:t>Ook is uitgegaan van het pessimistische scenario dat de kostencompensatieregeling per 1 januari 2029 in werking treedt.</w:t>
      </w:r>
    </w:p>
    <w:p w:rsidRPr="004C67D6" w:rsidR="00B6291D" w:rsidP="007C62C9" w:rsidRDefault="00B6291D" w14:paraId="25A587C2" w14:textId="7CC5AAA2">
      <w:pPr>
        <w:pStyle w:val="Lijstalinea"/>
        <w:numPr>
          <w:ilvl w:val="0"/>
          <w:numId w:val="2"/>
        </w:numPr>
        <w:spacing w:line="360" w:lineRule="auto"/>
        <w:rPr>
          <w:szCs w:val="18"/>
        </w:rPr>
      </w:pPr>
      <w:r w:rsidRPr="004C67D6">
        <w:rPr>
          <w:szCs w:val="18"/>
        </w:rPr>
        <w:t>De “</w:t>
      </w:r>
      <w:proofErr w:type="spellStart"/>
      <w:r w:rsidRPr="004C67D6">
        <w:rPr>
          <w:szCs w:val="18"/>
        </w:rPr>
        <w:t>overshoot</w:t>
      </w:r>
      <w:proofErr w:type="spellEnd"/>
      <w:r w:rsidRPr="004C67D6">
        <w:rPr>
          <w:szCs w:val="18"/>
        </w:rPr>
        <w:t>” van ETS2 wordt op dezelfde manier gecompenseerd als in pakket 1 en heeft daarmee dezelfde effecten.</w:t>
      </w:r>
    </w:p>
    <w:p w:rsidRPr="004C67D6" w:rsidR="00B6291D" w:rsidP="007C62C9" w:rsidRDefault="00B6291D" w14:paraId="3A5CC0E8" w14:textId="4A55CD7E">
      <w:pPr>
        <w:pStyle w:val="Lijstalinea"/>
        <w:numPr>
          <w:ilvl w:val="0"/>
          <w:numId w:val="2"/>
        </w:numPr>
        <w:spacing w:line="360" w:lineRule="auto"/>
        <w:rPr>
          <w:szCs w:val="18"/>
        </w:rPr>
      </w:pPr>
      <w:r w:rsidRPr="004C67D6">
        <w:rPr>
          <w:szCs w:val="18"/>
        </w:rPr>
        <w:t>De “</w:t>
      </w:r>
      <w:proofErr w:type="spellStart"/>
      <w:r w:rsidRPr="004C67D6">
        <w:rPr>
          <w:szCs w:val="18"/>
        </w:rPr>
        <w:t>overshoot</w:t>
      </w:r>
      <w:proofErr w:type="spellEnd"/>
      <w:r w:rsidRPr="004C67D6">
        <w:rPr>
          <w:szCs w:val="18"/>
        </w:rPr>
        <w:t xml:space="preserve">” van de bijmengverplichting wordt gecompenseerd middels de verlaagde energiebelastingtarieven. Hierbij worden de bestaande verlaagde energiebelastingtarieven niet onder het niveau van 2026 </w:t>
      </w:r>
      <w:r w:rsidR="004C67D6">
        <w:rPr>
          <w:szCs w:val="18"/>
        </w:rPr>
        <w:t xml:space="preserve">gebracht </w:t>
      </w:r>
      <w:r w:rsidRPr="004C67D6">
        <w:rPr>
          <w:szCs w:val="18"/>
        </w:rPr>
        <w:t>uit hoofde van het Herstel- en Veerkrachtplan. Dit leidt er toe dat er toe dat een deel van de “</w:t>
      </w:r>
      <w:proofErr w:type="spellStart"/>
      <w:r w:rsidRPr="004C67D6">
        <w:rPr>
          <w:szCs w:val="18"/>
        </w:rPr>
        <w:t>overshoot</w:t>
      </w:r>
      <w:proofErr w:type="spellEnd"/>
      <w:r w:rsidRPr="004C67D6">
        <w:rPr>
          <w:szCs w:val="18"/>
        </w:rPr>
        <w:t xml:space="preserve">” in 2027 en 2028 wordt gecompenseerd in 2029 en 2030 (wanneer de kostencompensatieregeling meer ruimte in de energiebelasting geeft). </w:t>
      </w:r>
    </w:p>
    <w:p w:rsidRPr="004C67D6" w:rsidR="00B94035" w:rsidP="00F56855" w:rsidRDefault="007C62C9" w14:paraId="203ECDF9" w14:textId="48513483">
      <w:pPr>
        <w:pStyle w:val="Lijstalinea"/>
        <w:numPr>
          <w:ilvl w:val="0"/>
          <w:numId w:val="2"/>
        </w:numPr>
        <w:spacing w:line="360" w:lineRule="auto"/>
        <w:rPr>
          <w:szCs w:val="18"/>
        </w:rPr>
      </w:pPr>
      <w:r w:rsidRPr="004C67D6">
        <w:rPr>
          <w:szCs w:val="18"/>
        </w:rPr>
        <w:t xml:space="preserve">Onderstaande effecten </w:t>
      </w:r>
      <w:r w:rsidRPr="004C67D6" w:rsidR="004A464E">
        <w:rPr>
          <w:szCs w:val="18"/>
        </w:rPr>
        <w:t xml:space="preserve">zullen aan de hand van de definitieve tariefstudie van Berenschot en </w:t>
      </w:r>
      <w:proofErr w:type="spellStart"/>
      <w:r w:rsidRPr="004C67D6" w:rsidR="004A464E">
        <w:rPr>
          <w:szCs w:val="18"/>
        </w:rPr>
        <w:t>Kalavasta</w:t>
      </w:r>
      <w:proofErr w:type="spellEnd"/>
      <w:r w:rsidRPr="004C67D6" w:rsidR="004A464E">
        <w:rPr>
          <w:szCs w:val="18"/>
        </w:rPr>
        <w:t xml:space="preserve"> wijzigen. </w:t>
      </w:r>
      <w:r w:rsidRPr="004C67D6" w:rsidR="0091032D">
        <w:rPr>
          <w:szCs w:val="18"/>
        </w:rPr>
        <w:t xml:space="preserve">Hierbij kunnen de effecten in een definitieve slag voor de augustusbesluitvorming wel worden geoptimaliseerd, </w:t>
      </w:r>
      <w:r w:rsidRPr="004C67D6" w:rsidR="00F56855">
        <w:rPr>
          <w:szCs w:val="18"/>
        </w:rPr>
        <w:t>maar niet volledig teniet worden gedaan.</w:t>
      </w:r>
    </w:p>
    <w:p w:rsidRPr="00CE5CBF" w:rsidR="00B94035" w:rsidP="002569CA" w:rsidRDefault="00B94035" w14:paraId="2EEB034B" w14:textId="77777777">
      <w:pPr>
        <w:pStyle w:val="Geenafstand"/>
      </w:pPr>
    </w:p>
    <w:tbl>
      <w:tblPr>
        <w:tblStyle w:val="Rastertabel4-Accent5"/>
        <w:tblW w:w="9385" w:type="dxa"/>
        <w:tblLook w:val="04A0" w:firstRow="1" w:lastRow="0" w:firstColumn="1" w:lastColumn="0" w:noHBand="0" w:noVBand="1"/>
      </w:tblPr>
      <w:tblGrid>
        <w:gridCol w:w="3031"/>
        <w:gridCol w:w="1059"/>
        <w:gridCol w:w="1059"/>
        <w:gridCol w:w="1059"/>
        <w:gridCol w:w="1059"/>
        <w:gridCol w:w="1059"/>
        <w:gridCol w:w="1059"/>
      </w:tblGrid>
      <w:tr w:rsidRPr="00CE5CBF" w:rsidR="002569CA" w:rsidTr="00854AA9" w14:paraId="39776442" w14:textId="77777777">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9385" w:type="dxa"/>
            <w:gridSpan w:val="7"/>
            <w:shd w:val="clear" w:color="auto" w:fill="002060"/>
            <w:vAlign w:val="center"/>
            <w:hideMark/>
          </w:tcPr>
          <w:p w:rsidRPr="00CE5CBF" w:rsidR="002569CA" w:rsidP="00854AA9" w:rsidRDefault="002569CA" w14:paraId="68FC7DEA" w14:textId="6A33F918">
            <w:pPr>
              <w:pStyle w:val="Geenafstand"/>
              <w:spacing w:line="276" w:lineRule="auto"/>
            </w:pPr>
            <w:r>
              <w:t>Tabel 2</w:t>
            </w:r>
            <w:r w:rsidR="004A464E">
              <w:t>.1</w:t>
            </w:r>
            <w:r>
              <w:t xml:space="preserve">: </w:t>
            </w:r>
            <w:proofErr w:type="spellStart"/>
            <w:r>
              <w:t>Overshoot</w:t>
            </w:r>
            <w:proofErr w:type="spellEnd"/>
            <w:r>
              <w:t xml:space="preserve"> ETS2 na afschaffen CO2-heffing en verdere verlaging verlaagd energiebelastingtarief GTB</w:t>
            </w:r>
          </w:p>
        </w:tc>
      </w:tr>
      <w:tr w:rsidRPr="00CE5CBF" w:rsidR="002569CA" w:rsidTr="00854AA9" w14:paraId="74059783"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3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tcPr>
          <w:p w:rsidRPr="00CE5CBF" w:rsidR="002569CA" w:rsidP="00854AA9" w:rsidRDefault="002569CA" w14:paraId="344E012F" w14:textId="77777777">
            <w:pPr>
              <w:pStyle w:val="Geenafstand"/>
              <w:spacing w:line="276" w:lineRule="auto"/>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2569CA" w:rsidP="00854AA9" w:rsidRDefault="002569CA" w14:paraId="2F902D4F"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CE5CBF">
              <w:rPr>
                <w:b/>
                <w:bCs/>
                <w:lang w:val="en-US"/>
              </w:rPr>
              <w:t>2025</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2569CA" w:rsidP="00854AA9" w:rsidRDefault="002569CA" w14:paraId="4927033E"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CE5CBF">
              <w:rPr>
                <w:b/>
                <w:bCs/>
                <w:lang w:val="en-US"/>
              </w:rPr>
              <w:t>2026</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2569CA" w:rsidP="00854AA9" w:rsidRDefault="002569CA" w14:paraId="78B44FAA"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CE5CBF">
              <w:rPr>
                <w:b/>
                <w:bCs/>
                <w:lang w:val="en-US"/>
              </w:rPr>
              <w:t>2027</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2569CA" w:rsidP="00854AA9" w:rsidRDefault="002569CA" w14:paraId="38612D69"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CE5CBF">
              <w:rPr>
                <w:b/>
                <w:bCs/>
                <w:lang w:val="en-US"/>
              </w:rPr>
              <w:t>2028</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2569CA" w:rsidP="00854AA9" w:rsidRDefault="002569CA" w14:paraId="0317EA58"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CE5CBF">
              <w:rPr>
                <w:b/>
                <w:bCs/>
                <w:lang w:val="en-US"/>
              </w:rPr>
              <w:t>2029</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2569CA" w:rsidP="00854AA9" w:rsidRDefault="002569CA" w14:paraId="4785D33D"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CE5CBF">
              <w:rPr>
                <w:b/>
                <w:bCs/>
                <w:lang w:val="en-US"/>
              </w:rPr>
              <w:t>2030</w:t>
            </w:r>
          </w:p>
        </w:tc>
      </w:tr>
      <w:tr w:rsidRPr="00CE5CBF" w:rsidR="002569CA" w:rsidTr="00854AA9" w14:paraId="54F1CF74" w14:textId="77777777">
        <w:trPr>
          <w:trHeight w:val="202"/>
        </w:trPr>
        <w:tc>
          <w:tcPr>
            <w:cnfStyle w:val="001000000000" w:firstRow="0" w:lastRow="0" w:firstColumn="1" w:lastColumn="0" w:oddVBand="0" w:evenVBand="0" w:oddHBand="0" w:evenHBand="0" w:firstRowFirstColumn="0" w:firstRowLastColumn="0" w:lastRowFirstColumn="0" w:lastRowLastColumn="0"/>
            <w:tcW w:w="303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2569CA" w:rsidP="00854AA9" w:rsidRDefault="002569CA" w14:paraId="159270F5" w14:textId="77777777">
            <w:pPr>
              <w:pStyle w:val="Geenafstand"/>
              <w:spacing w:line="276" w:lineRule="auto"/>
              <w:rPr>
                <w:lang w:val="en-US"/>
              </w:rPr>
            </w:pPr>
            <w:proofErr w:type="spellStart"/>
            <w:r>
              <w:rPr>
                <w:lang w:val="en-US"/>
              </w:rPr>
              <w:t>Prijspad</w:t>
            </w:r>
            <w:proofErr w:type="spellEnd"/>
            <w:r>
              <w:rPr>
                <w:lang w:val="en-US"/>
              </w:rPr>
              <w:t xml:space="preserve"> </w:t>
            </w:r>
            <w:r w:rsidRPr="00CE5CBF">
              <w:rPr>
                <w:lang w:val="en-US"/>
              </w:rPr>
              <w:t xml:space="preserve">ETS2 </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2569CA" w:rsidP="00854AA9" w:rsidRDefault="002569CA" w14:paraId="2E041DEE"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2569CA" w:rsidP="00854AA9" w:rsidRDefault="002569CA" w14:paraId="6EFCEC67"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2569CA" w:rsidP="00854AA9" w:rsidRDefault="002569CA" w14:paraId="78062D6A"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CE5CBF">
              <w:rPr>
                <w:lang w:val="en-US"/>
              </w:rPr>
              <w:t>30</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2569CA" w:rsidP="00854AA9" w:rsidRDefault="002569CA" w14:paraId="20094168"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CE5CBF">
              <w:rPr>
                <w:lang w:val="en-US"/>
              </w:rPr>
              <w:t>50</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2569CA" w:rsidP="00854AA9" w:rsidRDefault="002569CA" w14:paraId="1E1EFD0A"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CE5CBF">
              <w:rPr>
                <w:lang w:val="en-US"/>
              </w:rPr>
              <w:t>55</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2569CA" w:rsidP="00854AA9" w:rsidRDefault="002569CA" w14:paraId="25DE1C56"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CE5CBF">
              <w:rPr>
                <w:lang w:val="en-US"/>
              </w:rPr>
              <w:t>55</w:t>
            </w:r>
          </w:p>
        </w:tc>
      </w:tr>
      <w:tr w:rsidRPr="00CE5CBF" w:rsidR="002569CA" w:rsidTr="00854AA9" w14:paraId="7E0A13EC"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3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686E4C" w:rsidR="002569CA" w:rsidP="00854AA9" w:rsidRDefault="002569CA" w14:paraId="5BB08887" w14:textId="77777777">
            <w:pPr>
              <w:pStyle w:val="Geenafstand"/>
              <w:spacing w:line="276" w:lineRule="auto"/>
            </w:pPr>
            <w:r>
              <w:t>Bijmengverplichting (75%, 1 jaar uitstel)</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002569CA" w:rsidP="00854AA9" w:rsidRDefault="002569CA" w14:paraId="1E7298C2"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002569CA" w:rsidP="00854AA9" w:rsidRDefault="002569CA" w14:paraId="2D5B0BAA"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002569CA" w:rsidP="00854AA9" w:rsidRDefault="002569CA" w14:paraId="18DB53A6"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8,3</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002569CA" w:rsidP="00854AA9" w:rsidRDefault="002569CA" w14:paraId="3124C772"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12,8</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002569CA" w:rsidP="00854AA9" w:rsidRDefault="002569CA" w14:paraId="6B042678"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21,2</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002569CA" w:rsidP="00854AA9" w:rsidRDefault="002569CA" w14:paraId="1944C36E"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34,0</w:t>
            </w:r>
          </w:p>
        </w:tc>
      </w:tr>
      <w:tr w:rsidRPr="00CE5CBF" w:rsidR="002569CA" w:rsidTr="00854AA9" w14:paraId="2B6AE2F6" w14:textId="77777777">
        <w:trPr>
          <w:trHeight w:val="202"/>
        </w:trPr>
        <w:tc>
          <w:tcPr>
            <w:cnfStyle w:val="001000000000" w:firstRow="0" w:lastRow="0" w:firstColumn="1" w:lastColumn="0" w:oddVBand="0" w:evenVBand="0" w:oddHBand="0" w:evenHBand="0" w:firstRowFirstColumn="0" w:firstRowLastColumn="0" w:lastRowFirstColumn="0" w:lastRowLastColumn="0"/>
            <w:tcW w:w="303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686E4C" w:rsidR="002569CA" w:rsidP="00854AA9" w:rsidRDefault="002569CA" w14:paraId="63AB3114" w14:textId="77777777">
            <w:pPr>
              <w:pStyle w:val="Geenafstand"/>
              <w:spacing w:line="276" w:lineRule="auto"/>
            </w:pPr>
            <w:r w:rsidRPr="00686E4C">
              <w:t>Afschaffen CO2-heffing</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CE5CBF" w:rsidR="002569CA" w:rsidP="00854AA9" w:rsidRDefault="002569CA" w14:paraId="3986BF48" w14:textId="4E1C1E26">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CE5CBF" w:rsidR="002569CA" w:rsidP="00854AA9" w:rsidRDefault="002569CA" w14:paraId="01650008" w14:textId="2B6145BC">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CE5CBF" w:rsidR="002569CA" w:rsidP="00854AA9" w:rsidRDefault="002569CA" w14:paraId="1ABEE257"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CE5CBF">
              <w:rPr>
                <w:lang w:val="en-US"/>
              </w:rPr>
              <w:t>22,7</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CE5CBF" w:rsidR="002569CA" w:rsidP="00854AA9" w:rsidRDefault="002569CA" w14:paraId="27FDD643"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CE5CBF">
              <w:rPr>
                <w:lang w:val="en-US"/>
              </w:rPr>
              <w:t>29,3</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CE5CBF" w:rsidR="002569CA" w:rsidP="00854AA9" w:rsidRDefault="002569CA" w14:paraId="50117F39"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CE5CBF">
              <w:rPr>
                <w:lang w:val="en-US"/>
              </w:rPr>
              <w:t>35,9</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CE5CBF" w:rsidR="002569CA" w:rsidP="00854AA9" w:rsidRDefault="002569CA" w14:paraId="4A4A9CB7"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CE5CBF">
              <w:rPr>
                <w:lang w:val="en-US"/>
              </w:rPr>
              <w:t>42,5</w:t>
            </w:r>
          </w:p>
        </w:tc>
      </w:tr>
      <w:tr w:rsidRPr="00CE5CBF" w:rsidR="002569CA" w:rsidTr="00854AA9" w14:paraId="550EEEF4"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3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E455B7" w:rsidR="002569CA" w:rsidP="00854AA9" w:rsidRDefault="002569CA" w14:paraId="62397C91" w14:textId="6C1402B7">
            <w:pPr>
              <w:pStyle w:val="Geenafstand"/>
              <w:spacing w:line="276" w:lineRule="auto"/>
            </w:pPr>
            <w:proofErr w:type="spellStart"/>
            <w:r>
              <w:t>Overshoot</w:t>
            </w:r>
            <w:proofErr w:type="spellEnd"/>
            <w:r>
              <w:t xml:space="preserve"> voor energiebelasting</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BF6560" w:rsidR="002569CA" w:rsidP="00854AA9" w:rsidRDefault="002569CA" w14:paraId="526CAD1A" w14:textId="4DBCFC76">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BF6560" w:rsidR="002569CA" w:rsidP="00854AA9" w:rsidRDefault="002569CA" w14:paraId="2E39A3E6" w14:textId="662E196D">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BF6560" w:rsidR="002569CA" w:rsidP="00854AA9" w:rsidRDefault="002569CA" w14:paraId="74518625" w14:textId="49CA83D9">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pPr>
            <w:r w:rsidRPr="00BF6560">
              <w:t>15,6</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BF6560" w:rsidR="002569CA" w:rsidP="00854AA9" w:rsidRDefault="002569CA" w14:paraId="7694203D" w14:textId="793104BA">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pPr>
            <w:r w:rsidRPr="00BF6560">
              <w:t>33,5</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BF6560" w:rsidR="002569CA" w:rsidP="00854AA9" w:rsidRDefault="002569CA" w14:paraId="2BA5CC75" w14:textId="688F5F29">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pPr>
            <w:r w:rsidRPr="00BF6560">
              <w:t>40,3</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BF6560" w:rsidR="002569CA" w:rsidP="00854AA9" w:rsidRDefault="002569CA" w14:paraId="12A16791" w14:textId="5F429104">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pPr>
            <w:r w:rsidRPr="00BF6560">
              <w:t>46,5</w:t>
            </w:r>
          </w:p>
        </w:tc>
      </w:tr>
      <w:tr w:rsidRPr="00CE5CBF" w:rsidR="002569CA" w:rsidTr="00854AA9" w14:paraId="4B08DF03" w14:textId="77777777">
        <w:trPr>
          <w:trHeight w:val="202"/>
        </w:trPr>
        <w:tc>
          <w:tcPr>
            <w:cnfStyle w:val="001000000000" w:firstRow="0" w:lastRow="0" w:firstColumn="1" w:lastColumn="0" w:oddVBand="0" w:evenVBand="0" w:oddHBand="0" w:evenHBand="0" w:firstRowFirstColumn="0" w:firstRowLastColumn="0" w:lastRowFirstColumn="0" w:lastRowLastColumn="0"/>
            <w:tcW w:w="303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002569CA" w:rsidP="00854AA9" w:rsidRDefault="002569CA" w14:paraId="38F1F935" w14:textId="77777777">
            <w:pPr>
              <w:pStyle w:val="Geenafstand"/>
              <w:spacing w:line="276" w:lineRule="auto"/>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0162E4" w:rsidR="002569CA" w:rsidP="00854AA9" w:rsidRDefault="002569CA" w14:paraId="35F235AE"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70AD47" w:themeColor="accent6"/>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0162E4" w:rsidR="002569CA" w:rsidP="00854AA9" w:rsidRDefault="002569CA" w14:paraId="28021C5E"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70AD47" w:themeColor="accent6"/>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0162E4" w:rsidR="002569CA" w:rsidP="00854AA9" w:rsidRDefault="002569CA" w14:paraId="740718EA"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FF0000"/>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0162E4" w:rsidR="002569CA" w:rsidP="00854AA9" w:rsidRDefault="002569CA" w14:paraId="4F53AFE2"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FF0000"/>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0162E4" w:rsidR="002569CA" w:rsidP="00854AA9" w:rsidRDefault="002569CA" w14:paraId="588F5A13"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0162E4" w:rsidR="002569CA" w:rsidP="00854AA9" w:rsidRDefault="002569CA" w14:paraId="0E7F771A"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pPr>
          </w:p>
        </w:tc>
      </w:tr>
      <w:tr w:rsidRPr="00CE5CBF" w:rsidR="007C0E09" w:rsidTr="008E1DA0" w14:paraId="5F1E34EC"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3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007C0E09" w:rsidP="007C0E09" w:rsidRDefault="007C0E09" w14:paraId="4880439F" w14:textId="11924D48">
            <w:pPr>
              <w:pStyle w:val="Geenafstand"/>
              <w:spacing w:line="276" w:lineRule="auto"/>
            </w:pPr>
            <w:r w:rsidRPr="00353ECB">
              <w:t xml:space="preserve">radijs: 75.000 m3, geen </w:t>
            </w:r>
            <w:proofErr w:type="spellStart"/>
            <w:r w:rsidRPr="00353ECB">
              <w:t>wkk</w:t>
            </w:r>
            <w:proofErr w:type="spellEnd"/>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BB08EC" w:rsidR="007C0E09" w:rsidP="007C0E09" w:rsidRDefault="007C0E09" w14:paraId="7BAF1109" w14:textId="605500F3">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70AD47" w:themeColor="accent6"/>
                <w:lang w:val="en-US"/>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BB08EC" w:rsidR="007C0E09" w:rsidP="007C0E09" w:rsidRDefault="007C0E09" w14:paraId="062D8427" w14:textId="0CDEF476">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70AD47" w:themeColor="accent6"/>
                <w:lang w:val="en-US"/>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0C6DAF" w:rsidR="007C0E09" w:rsidP="007C0E09" w:rsidRDefault="007C0E09" w14:paraId="1B3385A4" w14:textId="2DD8D4C5">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70AD47" w:themeColor="accent6"/>
                <w:lang w:val="en-US"/>
              </w:rPr>
            </w:pPr>
            <w:r w:rsidRPr="00F929E5">
              <w:rPr>
                <w:color w:val="FF0000"/>
              </w:rPr>
              <w:t>9,3</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0C6DAF" w:rsidR="007C0E09" w:rsidP="007C0E09" w:rsidRDefault="007C0E09" w14:paraId="229AA445" w14:textId="02E783C2">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70AD47" w:themeColor="accent6"/>
                <w:lang w:val="en-US"/>
              </w:rPr>
            </w:pPr>
            <w:r w:rsidRPr="00F929E5">
              <w:rPr>
                <w:color w:val="70AD47" w:themeColor="accent6"/>
              </w:rPr>
              <w:t>-20,2</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0C6DAF" w:rsidR="007C0E09" w:rsidP="007C0E09" w:rsidRDefault="007C0E09" w14:paraId="219CADAE" w14:textId="1F5D7431">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70AD47" w:themeColor="accent6"/>
                <w:lang w:val="en-US"/>
              </w:rPr>
            </w:pPr>
            <w:r w:rsidRPr="00F929E5">
              <w:rPr>
                <w:color w:val="70AD47" w:themeColor="accent6"/>
              </w:rPr>
              <w:t>-72,1</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0C6DAF" w:rsidR="007C0E09" w:rsidP="007C0E09" w:rsidRDefault="007C0E09" w14:paraId="12BFB20C" w14:textId="1B2111A6">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70AD47" w:themeColor="accent6"/>
                <w:lang w:val="en-US"/>
              </w:rPr>
            </w:pPr>
            <w:r w:rsidRPr="00F929E5">
              <w:rPr>
                <w:color w:val="70AD47" w:themeColor="accent6"/>
              </w:rPr>
              <w:t>-98,4</w:t>
            </w:r>
          </w:p>
        </w:tc>
      </w:tr>
      <w:tr w:rsidRPr="00CE5CBF" w:rsidR="007C0E09" w:rsidTr="008E1DA0" w14:paraId="1AF751DF" w14:textId="77777777">
        <w:trPr>
          <w:trHeight w:val="202"/>
        </w:trPr>
        <w:tc>
          <w:tcPr>
            <w:cnfStyle w:val="001000000000" w:firstRow="0" w:lastRow="0" w:firstColumn="1" w:lastColumn="0" w:oddVBand="0" w:evenVBand="0" w:oddHBand="0" w:evenHBand="0" w:firstRowFirstColumn="0" w:firstRowLastColumn="0" w:lastRowFirstColumn="0" w:lastRowLastColumn="0"/>
            <w:tcW w:w="303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007C0E09" w:rsidP="007C0E09" w:rsidRDefault="007C0E09" w14:paraId="24E13547" w14:textId="2F480F85">
            <w:pPr>
              <w:pStyle w:val="Geenafstand"/>
              <w:spacing w:line="276" w:lineRule="auto"/>
            </w:pPr>
            <w:r w:rsidRPr="00353ECB">
              <w:t xml:space="preserve">chrysant: 2,2 </w:t>
            </w:r>
            <w:proofErr w:type="spellStart"/>
            <w:r w:rsidRPr="00353ECB">
              <w:t>mln</w:t>
            </w:r>
            <w:proofErr w:type="spellEnd"/>
            <w:r w:rsidRPr="00353ECB">
              <w:t xml:space="preserve"> m3, </w:t>
            </w:r>
            <w:proofErr w:type="spellStart"/>
            <w:r w:rsidRPr="00353ECB">
              <w:t>wkk</w:t>
            </w:r>
            <w:proofErr w:type="spellEnd"/>
            <w:r w:rsidRPr="00353ECB">
              <w:t>, 63% eigen gebruik</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BB08EC" w:rsidR="007C0E09" w:rsidP="007C0E09" w:rsidRDefault="007C0E09" w14:paraId="6EC59BB6" w14:textId="3191D420">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70AD47" w:themeColor="accent6"/>
                <w:lang w:val="en-US"/>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BB08EC" w:rsidR="007C0E09" w:rsidP="007C0E09" w:rsidRDefault="007C0E09" w14:paraId="2DF39ACA" w14:textId="38124FF2">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70AD47" w:themeColor="accent6"/>
                <w:lang w:val="en-US"/>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F14A54" w:rsidR="007C0E09" w:rsidP="007C0E09" w:rsidRDefault="007C0E09" w14:paraId="75861304" w14:textId="74DDFF85">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70AD47" w:themeColor="accent6"/>
                <w:lang w:val="en-US"/>
              </w:rPr>
            </w:pPr>
            <w:r w:rsidRPr="00F929E5">
              <w:rPr>
                <w:color w:val="FF0000"/>
              </w:rPr>
              <w:t>25,1</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F14A54" w:rsidR="007C0E09" w:rsidP="007C0E09" w:rsidRDefault="007C0E09" w14:paraId="33948647" w14:textId="3EB6F29F">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70AD47" w:themeColor="accent6"/>
                <w:lang w:val="en-US"/>
              </w:rPr>
            </w:pPr>
            <w:r w:rsidRPr="00F929E5">
              <w:rPr>
                <w:color w:val="FF0000"/>
              </w:rPr>
              <w:t>9,6</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0C6DAF" w:rsidR="007C0E09" w:rsidP="007C0E09" w:rsidRDefault="007C0E09" w14:paraId="63F01527" w14:textId="46DFD031">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70AD47" w:themeColor="accent6"/>
                <w:lang w:val="en-US"/>
              </w:rPr>
            </w:pPr>
            <w:r w:rsidRPr="00F929E5">
              <w:rPr>
                <w:color w:val="70AD47" w:themeColor="accent6"/>
              </w:rPr>
              <w:t>-26,3</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0C6DAF" w:rsidR="007C0E09" w:rsidP="007C0E09" w:rsidRDefault="007C0E09" w14:paraId="0C685E53" w14:textId="05084B5D">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70AD47" w:themeColor="accent6"/>
                <w:lang w:val="en-US"/>
              </w:rPr>
            </w:pPr>
            <w:r w:rsidRPr="00F929E5">
              <w:rPr>
                <w:color w:val="70AD47" w:themeColor="accent6"/>
              </w:rPr>
              <w:t>-38,4</w:t>
            </w:r>
          </w:p>
        </w:tc>
      </w:tr>
      <w:tr w:rsidRPr="00CE5CBF" w:rsidR="007C0E09" w:rsidTr="008E1DA0" w14:paraId="682805EC"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3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007C0E09" w:rsidP="007C0E09" w:rsidRDefault="007C0E09" w14:paraId="2E604344" w14:textId="78CFCED7">
            <w:pPr>
              <w:pStyle w:val="Geenafstand"/>
              <w:spacing w:line="276" w:lineRule="auto"/>
            </w:pPr>
            <w:r w:rsidRPr="00353ECB">
              <w:t xml:space="preserve">paprika: 3,3 </w:t>
            </w:r>
            <w:proofErr w:type="spellStart"/>
            <w:r w:rsidRPr="00353ECB">
              <w:t>mln</w:t>
            </w:r>
            <w:proofErr w:type="spellEnd"/>
            <w:r w:rsidRPr="00353ECB">
              <w:t xml:space="preserve"> m3, </w:t>
            </w:r>
            <w:proofErr w:type="spellStart"/>
            <w:r w:rsidRPr="00353ECB">
              <w:t>wkk</w:t>
            </w:r>
            <w:proofErr w:type="spellEnd"/>
            <w:r w:rsidRPr="00353ECB">
              <w:t>, 1% eigen gebruik</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BB08EC" w:rsidR="007C0E09" w:rsidP="007C0E09" w:rsidRDefault="007C0E09" w14:paraId="3E0164FD" w14:textId="4FCF8E7D">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70AD47" w:themeColor="accent6"/>
                <w:lang w:val="en-US"/>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BB08EC" w:rsidR="007C0E09" w:rsidP="007C0E09" w:rsidRDefault="007C0E09" w14:paraId="568C1D38" w14:textId="4283A7F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70AD47" w:themeColor="accent6"/>
                <w:lang w:val="en-US"/>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0C6DAF" w:rsidR="007C0E09" w:rsidP="007C0E09" w:rsidRDefault="007C0E09" w14:paraId="5849C8FB" w14:textId="6FB297B1">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FF0000"/>
                <w:lang w:val="en-US"/>
              </w:rPr>
            </w:pPr>
            <w:r w:rsidRPr="00F929E5">
              <w:rPr>
                <w:color w:val="FF0000"/>
              </w:rPr>
              <w:t>29,3</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0C6DAF" w:rsidR="007C0E09" w:rsidP="007C0E09" w:rsidRDefault="007C0E09" w14:paraId="21B024A5" w14:textId="0889EC4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FF0000"/>
                <w:lang w:val="en-US"/>
              </w:rPr>
            </w:pPr>
            <w:r w:rsidRPr="00F929E5">
              <w:rPr>
                <w:color w:val="FF0000"/>
              </w:rPr>
              <w:t>18,3</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0C6DAF" w:rsidR="007C0E09" w:rsidP="007C0E09" w:rsidRDefault="007C0E09" w14:paraId="7D7A9126" w14:textId="04023B41">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FF0000"/>
                <w:lang w:val="en-US"/>
              </w:rPr>
            </w:pPr>
            <w:r w:rsidRPr="00F929E5">
              <w:rPr>
                <w:color w:val="70AD47" w:themeColor="accent6"/>
              </w:rPr>
              <w:t>-14,0</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0C6DAF" w:rsidR="007C0E09" w:rsidP="007C0E09" w:rsidRDefault="007C0E09" w14:paraId="621F5C62" w14:textId="14B4A1E8">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FF0000"/>
                <w:lang w:val="en-US"/>
              </w:rPr>
            </w:pPr>
            <w:r w:rsidRPr="00F929E5">
              <w:rPr>
                <w:color w:val="70AD47" w:themeColor="accent6"/>
              </w:rPr>
              <w:t>-23,1</w:t>
            </w:r>
          </w:p>
        </w:tc>
      </w:tr>
      <w:tr w:rsidRPr="00CE5CBF" w:rsidR="007C0E09" w:rsidTr="008E1DA0" w14:paraId="75EEC7CB" w14:textId="77777777">
        <w:trPr>
          <w:trHeight w:val="202"/>
        </w:trPr>
        <w:tc>
          <w:tcPr>
            <w:cnfStyle w:val="001000000000" w:firstRow="0" w:lastRow="0" w:firstColumn="1" w:lastColumn="0" w:oddVBand="0" w:evenVBand="0" w:oddHBand="0" w:evenHBand="0" w:firstRowFirstColumn="0" w:firstRowLastColumn="0" w:lastRowFirstColumn="0" w:lastRowLastColumn="0"/>
            <w:tcW w:w="303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007C0E09" w:rsidP="007C0E09" w:rsidRDefault="007C0E09" w14:paraId="62782545" w14:textId="7A90BC35">
            <w:pPr>
              <w:pStyle w:val="Geenafstand"/>
              <w:spacing w:line="276" w:lineRule="auto"/>
            </w:pPr>
            <w:r w:rsidRPr="00353ECB">
              <w:t xml:space="preserve">potplant: 1,35 </w:t>
            </w:r>
            <w:proofErr w:type="spellStart"/>
            <w:r w:rsidRPr="00353ECB">
              <w:t>mln</w:t>
            </w:r>
            <w:proofErr w:type="spellEnd"/>
            <w:r w:rsidRPr="00353ECB">
              <w:t xml:space="preserve"> m3, </w:t>
            </w:r>
            <w:proofErr w:type="spellStart"/>
            <w:r w:rsidRPr="00353ECB">
              <w:t>wkk</w:t>
            </w:r>
            <w:proofErr w:type="spellEnd"/>
            <w:r w:rsidRPr="00353ECB">
              <w:t>, 62% eigen gebruik</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BB08EC" w:rsidR="007C0E09" w:rsidP="007C0E09" w:rsidRDefault="007C0E09" w14:paraId="363AAF8B" w14:textId="7E433EDE">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70AD47" w:themeColor="accent6"/>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BB08EC" w:rsidR="007C0E09" w:rsidP="007C0E09" w:rsidRDefault="007C0E09" w14:paraId="046D3B6B" w14:textId="689A307E">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70AD47" w:themeColor="accent6"/>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F14A54" w:rsidR="007C0E09" w:rsidP="007C0E09" w:rsidRDefault="007C0E09" w14:paraId="6D8D3C21" w14:textId="419F3536">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70AD47" w:themeColor="accent6"/>
              </w:rPr>
            </w:pPr>
            <w:r w:rsidRPr="00F929E5">
              <w:rPr>
                <w:color w:val="FF0000"/>
              </w:rPr>
              <w:t>25,7</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F14A54" w:rsidR="007C0E09" w:rsidP="007C0E09" w:rsidRDefault="007C0E09" w14:paraId="5E48AA09" w14:textId="27B5CEC8">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70AD47" w:themeColor="accent6"/>
              </w:rPr>
            </w:pPr>
            <w:r w:rsidRPr="00F929E5">
              <w:rPr>
                <w:color w:val="FF0000"/>
              </w:rPr>
              <w:t>11,0</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0C6DAF" w:rsidR="007C0E09" w:rsidP="007C0E09" w:rsidRDefault="007C0E09" w14:paraId="24AFF26A" w14:textId="6C83EF42">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70AD47" w:themeColor="accent6"/>
              </w:rPr>
            </w:pPr>
            <w:r w:rsidRPr="00F929E5">
              <w:rPr>
                <w:color w:val="70AD47" w:themeColor="accent6"/>
              </w:rPr>
              <w:t>-25,4</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0C6DAF" w:rsidR="007C0E09" w:rsidP="007C0E09" w:rsidRDefault="007C0E09" w14:paraId="0CF38981" w14:textId="3F722911">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70AD47" w:themeColor="accent6"/>
              </w:rPr>
            </w:pPr>
            <w:r w:rsidRPr="00F929E5">
              <w:rPr>
                <w:color w:val="70AD47" w:themeColor="accent6"/>
              </w:rPr>
              <w:t>-39,1</w:t>
            </w:r>
          </w:p>
        </w:tc>
      </w:tr>
      <w:tr w:rsidRPr="00CE5CBF" w:rsidR="007C0E09" w:rsidTr="008E1DA0" w14:paraId="77DFE319"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3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007C0E09" w:rsidP="007C0E09" w:rsidRDefault="007C0E09" w14:paraId="64739DD8" w14:textId="6DA2D15A">
            <w:pPr>
              <w:pStyle w:val="Geenafstand"/>
              <w:spacing w:line="276" w:lineRule="auto"/>
            </w:pPr>
            <w:r w:rsidRPr="00353ECB">
              <w:t xml:space="preserve">tomaat: 6 </w:t>
            </w:r>
            <w:proofErr w:type="spellStart"/>
            <w:r w:rsidRPr="00353ECB">
              <w:t>mln</w:t>
            </w:r>
            <w:proofErr w:type="spellEnd"/>
            <w:r w:rsidRPr="00353ECB">
              <w:t xml:space="preserve"> m3, </w:t>
            </w:r>
            <w:proofErr w:type="spellStart"/>
            <w:r w:rsidRPr="00353ECB">
              <w:t>wkk</w:t>
            </w:r>
            <w:proofErr w:type="spellEnd"/>
            <w:r w:rsidRPr="00353ECB">
              <w:t>, 51% eigen gebruik</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BB08EC" w:rsidR="007C0E09" w:rsidP="007C0E09" w:rsidRDefault="007C0E09" w14:paraId="427B6546" w14:textId="5F98021E">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70AD47" w:themeColor="accent6"/>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BB08EC" w:rsidR="007C0E09" w:rsidP="007C0E09" w:rsidRDefault="007C0E09" w14:paraId="12E9074C" w14:textId="74CFB678">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70AD47" w:themeColor="accent6"/>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F14A54" w:rsidR="007C0E09" w:rsidP="007C0E09" w:rsidRDefault="007C0E09" w14:paraId="10C9B26C" w14:textId="6AC47233">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70AD47" w:themeColor="accent6"/>
              </w:rPr>
            </w:pPr>
            <w:r w:rsidRPr="00F929E5">
              <w:rPr>
                <w:color w:val="FF0000"/>
              </w:rPr>
              <w:t>21,5</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F14A54" w:rsidR="007C0E09" w:rsidP="007C0E09" w:rsidRDefault="007C0E09" w14:paraId="24CE9B79" w14:textId="6751C830">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70AD47" w:themeColor="accent6"/>
              </w:rPr>
            </w:pPr>
            <w:r w:rsidRPr="00F929E5">
              <w:rPr>
                <w:color w:val="FF0000"/>
              </w:rPr>
              <w:t>9,0</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0C6DAF" w:rsidR="007C0E09" w:rsidP="007C0E09" w:rsidRDefault="007C0E09" w14:paraId="252F3A50" w14:textId="269CB16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70AD47" w:themeColor="accent6"/>
              </w:rPr>
            </w:pPr>
            <w:r w:rsidRPr="00F929E5">
              <w:rPr>
                <w:color w:val="70AD47" w:themeColor="accent6"/>
              </w:rPr>
              <w:t>-23,1</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0C6DAF" w:rsidR="007C0E09" w:rsidP="007C0E09" w:rsidRDefault="007C0E09" w14:paraId="1FDCE23C" w14:textId="31668782">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70AD47" w:themeColor="accent6"/>
              </w:rPr>
            </w:pPr>
            <w:r w:rsidRPr="00F929E5">
              <w:rPr>
                <w:color w:val="70AD47" w:themeColor="accent6"/>
              </w:rPr>
              <w:t>-31,4</w:t>
            </w:r>
          </w:p>
        </w:tc>
      </w:tr>
      <w:tr w:rsidRPr="00CE5CBF" w:rsidR="007C0E09" w:rsidTr="008E1DA0" w14:paraId="31571221" w14:textId="77777777">
        <w:trPr>
          <w:trHeight w:val="202"/>
        </w:trPr>
        <w:tc>
          <w:tcPr>
            <w:cnfStyle w:val="001000000000" w:firstRow="0" w:lastRow="0" w:firstColumn="1" w:lastColumn="0" w:oddVBand="0" w:evenVBand="0" w:oddHBand="0" w:evenHBand="0" w:firstRowFirstColumn="0" w:firstRowLastColumn="0" w:lastRowFirstColumn="0" w:lastRowLastColumn="0"/>
            <w:tcW w:w="303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70598C" w:rsidR="007C0E09" w:rsidP="007C0E09" w:rsidRDefault="007C0E09" w14:paraId="44332E1C" w14:textId="164903A2">
            <w:pPr>
              <w:pStyle w:val="Geenafstand"/>
              <w:spacing w:line="276" w:lineRule="auto"/>
            </w:pPr>
            <w:r w:rsidRPr="00353ECB">
              <w:t xml:space="preserve">Vruchtgroente 1: 11,4 </w:t>
            </w:r>
            <w:proofErr w:type="spellStart"/>
            <w:r w:rsidRPr="00353ECB">
              <w:t>mln</w:t>
            </w:r>
            <w:proofErr w:type="spellEnd"/>
            <w:r w:rsidRPr="00353ECB">
              <w:t xml:space="preserve"> m3, </w:t>
            </w:r>
            <w:proofErr w:type="spellStart"/>
            <w:r w:rsidRPr="00353ECB">
              <w:t>wkk</w:t>
            </w:r>
            <w:proofErr w:type="spellEnd"/>
            <w:r w:rsidRPr="00353ECB">
              <w:t xml:space="preserve">, 47% eigen gebruik </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BB08EC" w:rsidR="007C0E09" w:rsidP="007C0E09" w:rsidRDefault="007C0E09" w14:paraId="7A7CC9E0" w14:textId="4B9894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70AD47" w:themeColor="accent6"/>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BB08EC" w:rsidR="007C0E09" w:rsidP="007C0E09" w:rsidRDefault="007C0E09" w14:paraId="2059912F" w14:textId="659621B9">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70AD47" w:themeColor="accent6"/>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BB08EC" w:rsidR="007C0E09" w:rsidP="007C0E09" w:rsidRDefault="007C0E09" w14:paraId="272386D3" w14:textId="76F61994">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FF0000"/>
              </w:rPr>
            </w:pPr>
            <w:r w:rsidRPr="00F929E5">
              <w:rPr>
                <w:color w:val="FF0000"/>
              </w:rPr>
              <w:t>23,5</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0C6DAF" w:rsidR="007C0E09" w:rsidP="007C0E09" w:rsidRDefault="007C0E09" w14:paraId="18F822D3" w14:textId="6B22BAC5">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FF0000"/>
              </w:rPr>
            </w:pPr>
            <w:r w:rsidRPr="00F929E5">
              <w:rPr>
                <w:color w:val="FF0000"/>
              </w:rPr>
              <w:t>11,7</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F14A54" w:rsidR="007C0E09" w:rsidP="007C0E09" w:rsidRDefault="007C0E09" w14:paraId="025CA7C9" w14:textId="50BFD496">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FF0000"/>
              </w:rPr>
            </w:pPr>
            <w:r w:rsidRPr="00F929E5">
              <w:rPr>
                <w:color w:val="70AD47" w:themeColor="accent6"/>
              </w:rPr>
              <w:t>-19,3</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BB08EC" w:rsidR="007C0E09" w:rsidP="007C0E09" w:rsidRDefault="007C0E09" w14:paraId="379D8729" w14:textId="688E1AC8">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70AD47" w:themeColor="accent6"/>
              </w:rPr>
            </w:pPr>
            <w:r w:rsidRPr="00F929E5">
              <w:rPr>
                <w:color w:val="70AD47" w:themeColor="accent6"/>
              </w:rPr>
              <w:t>-26,7</w:t>
            </w:r>
          </w:p>
        </w:tc>
      </w:tr>
      <w:tr w:rsidRPr="00CE5CBF" w:rsidR="007C0E09" w:rsidTr="008E1DA0" w14:paraId="403676E3"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3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70598C" w:rsidR="007C0E09" w:rsidP="007C0E09" w:rsidRDefault="007C0E09" w14:paraId="27134021" w14:textId="0F04F1B2">
            <w:pPr>
              <w:pStyle w:val="Geenafstand"/>
              <w:spacing w:line="276" w:lineRule="auto"/>
            </w:pPr>
            <w:r w:rsidRPr="00353ECB">
              <w:t xml:space="preserve"> Vruchtgroente 2: 10,6 </w:t>
            </w:r>
            <w:proofErr w:type="spellStart"/>
            <w:r w:rsidRPr="00353ECB">
              <w:t>mln</w:t>
            </w:r>
            <w:proofErr w:type="spellEnd"/>
            <w:r w:rsidRPr="00353ECB">
              <w:t xml:space="preserve"> m3, </w:t>
            </w:r>
            <w:proofErr w:type="spellStart"/>
            <w:r w:rsidRPr="00353ECB">
              <w:t>wkk</w:t>
            </w:r>
            <w:proofErr w:type="spellEnd"/>
            <w:r w:rsidRPr="00353ECB">
              <w:t xml:space="preserve">, 10% eigen gebruik </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BB08EC" w:rsidR="007C0E09" w:rsidP="007C0E09" w:rsidRDefault="007C0E09" w14:paraId="28900409" w14:textId="7224E9D8">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70AD47" w:themeColor="accent6"/>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BB08EC" w:rsidR="007C0E09" w:rsidP="007C0E09" w:rsidRDefault="007C0E09" w14:paraId="37F7A323" w14:textId="3784866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70AD47" w:themeColor="accent6"/>
              </w:rPr>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0C6DAF" w:rsidR="007C0E09" w:rsidP="007C0E09" w:rsidRDefault="007C0E09" w14:paraId="323A55B3" w14:textId="3CD7DFB6">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FF0000"/>
              </w:rPr>
            </w:pPr>
            <w:r w:rsidRPr="00F929E5">
              <w:rPr>
                <w:color w:val="FF0000"/>
              </w:rPr>
              <w:t>30,2</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0C6DAF" w:rsidR="007C0E09" w:rsidP="007C0E09" w:rsidRDefault="007C0E09" w14:paraId="02F681A8" w14:textId="751AF02E">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FF0000"/>
              </w:rPr>
            </w:pPr>
            <w:r w:rsidRPr="00F929E5">
              <w:rPr>
                <w:color w:val="FF0000"/>
              </w:rPr>
              <w:t>18,9</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F14A54" w:rsidR="007C0E09" w:rsidP="007C0E09" w:rsidRDefault="007C0E09" w14:paraId="45D8C466" w14:textId="48731F61">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FF0000"/>
              </w:rPr>
            </w:pPr>
            <w:r w:rsidRPr="00F929E5">
              <w:rPr>
                <w:color w:val="70AD47" w:themeColor="accent6"/>
              </w:rPr>
              <w:t>-11,6</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tcPr>
          <w:p w:rsidRPr="00F14A54" w:rsidR="007C0E09" w:rsidP="007C0E09" w:rsidRDefault="007C0E09" w14:paraId="27F36A01" w14:textId="08E39D72">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color w:val="FF0000"/>
              </w:rPr>
            </w:pPr>
            <w:r w:rsidRPr="00F929E5">
              <w:rPr>
                <w:color w:val="70AD47" w:themeColor="accent6"/>
              </w:rPr>
              <w:t>-18,3</w:t>
            </w:r>
          </w:p>
        </w:tc>
      </w:tr>
    </w:tbl>
    <w:p w:rsidR="001C2F35" w:rsidP="004A69EC" w:rsidRDefault="001C2F35" w14:paraId="68DCE108" w14:textId="67156F79">
      <w:pPr>
        <w:pStyle w:val="Geenafstand"/>
        <w:spacing w:line="276" w:lineRule="auto"/>
        <w:ind w:left="360"/>
      </w:pPr>
    </w:p>
    <w:p w:rsidR="001C2F35" w:rsidRDefault="001C2F35" w14:paraId="3C626546" w14:textId="77777777">
      <w:r>
        <w:br w:type="page"/>
      </w:r>
    </w:p>
    <w:p w:rsidR="004A69EC" w:rsidP="004A69EC" w:rsidRDefault="004A69EC" w14:paraId="64C7FBD8" w14:textId="77777777">
      <w:pPr>
        <w:pStyle w:val="Geenafstand"/>
        <w:spacing w:line="276" w:lineRule="auto"/>
        <w:ind w:left="360"/>
      </w:pPr>
    </w:p>
    <w:tbl>
      <w:tblPr>
        <w:tblStyle w:val="Rastertabel4-Accent5"/>
        <w:tblW w:w="9634" w:type="dxa"/>
        <w:tblLook w:val="04A0" w:firstRow="1" w:lastRow="0" w:firstColumn="1" w:lastColumn="0" w:noHBand="0" w:noVBand="1"/>
      </w:tblPr>
      <w:tblGrid>
        <w:gridCol w:w="2936"/>
        <w:gridCol w:w="956"/>
        <w:gridCol w:w="957"/>
        <w:gridCol w:w="957"/>
        <w:gridCol w:w="957"/>
        <w:gridCol w:w="957"/>
        <w:gridCol w:w="957"/>
        <w:gridCol w:w="708"/>
        <w:gridCol w:w="249"/>
      </w:tblGrid>
      <w:tr w:rsidR="004A69EC" w:rsidTr="00061670" w14:paraId="76B46317" w14:textId="77777777">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9385" w:type="dxa"/>
            <w:gridSpan w:val="8"/>
            <w:shd w:val="clear" w:color="auto" w:fill="002060"/>
            <w:vAlign w:val="center"/>
          </w:tcPr>
          <w:p w:rsidR="004A69EC" w:rsidP="00061670" w:rsidRDefault="004A69EC" w14:paraId="7CB1D5F5" w14:textId="77777777">
            <w:pPr>
              <w:rPr>
                <w:rFonts w:eastAsia="Times New Roman" w:cs="Calibri"/>
                <w:szCs w:val="18"/>
              </w:rPr>
            </w:pPr>
            <w:r>
              <w:rPr>
                <w:rFonts w:eastAsia="Times New Roman" w:cs="Calibri"/>
                <w:color w:val="FFFFFF"/>
                <w:szCs w:val="18"/>
              </w:rPr>
              <w:t xml:space="preserve">Tabel 2.2: Budgettaire effecten (prijspeil 2025) </w:t>
            </w:r>
          </w:p>
        </w:tc>
        <w:tc>
          <w:tcPr>
            <w:tcW w:w="249" w:type="dxa"/>
            <w:shd w:val="clear" w:color="auto" w:fill="002060"/>
          </w:tcPr>
          <w:p w:rsidR="004A69EC" w:rsidP="00061670" w:rsidRDefault="004A69EC" w14:paraId="4D6A00FA" w14:textId="77777777">
            <w:pPr>
              <w:cnfStyle w:val="100000000000" w:firstRow="1" w:lastRow="0" w:firstColumn="0" w:lastColumn="0" w:oddVBand="0" w:evenVBand="0" w:oddHBand="0" w:evenHBand="0" w:firstRowFirstColumn="0" w:firstRowLastColumn="0" w:lastRowFirstColumn="0" w:lastRowLastColumn="0"/>
              <w:rPr>
                <w:rFonts w:eastAsia="Times New Roman" w:cs="Calibri"/>
                <w:color w:val="FFFFFF"/>
                <w:szCs w:val="18"/>
              </w:rPr>
            </w:pPr>
          </w:p>
        </w:tc>
      </w:tr>
      <w:tr w:rsidR="004A69EC" w:rsidTr="00061670" w14:paraId="67F28255"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936" w:type="dxa"/>
            <w:vAlign w:val="center"/>
          </w:tcPr>
          <w:p w:rsidR="004A69EC" w:rsidP="00061670" w:rsidRDefault="004A69EC" w14:paraId="014A5542" w14:textId="77777777">
            <w:pPr>
              <w:rPr>
                <w:rFonts w:eastAsia="Times New Roman" w:cs="Times New Roman"/>
                <w:szCs w:val="18"/>
              </w:rPr>
            </w:pPr>
          </w:p>
        </w:tc>
        <w:tc>
          <w:tcPr>
            <w:tcW w:w="956" w:type="dxa"/>
            <w:vAlign w:val="center"/>
          </w:tcPr>
          <w:p w:rsidR="004A69EC" w:rsidP="00061670" w:rsidRDefault="004A69EC" w14:paraId="1BB567AC"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2025</w:t>
            </w:r>
          </w:p>
        </w:tc>
        <w:tc>
          <w:tcPr>
            <w:tcW w:w="957" w:type="dxa"/>
            <w:vAlign w:val="center"/>
          </w:tcPr>
          <w:p w:rsidR="004A69EC" w:rsidP="00061670" w:rsidRDefault="004A69EC" w14:paraId="1956E8C9"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2026</w:t>
            </w:r>
          </w:p>
        </w:tc>
        <w:tc>
          <w:tcPr>
            <w:tcW w:w="957" w:type="dxa"/>
            <w:vAlign w:val="center"/>
          </w:tcPr>
          <w:p w:rsidR="004A69EC" w:rsidP="00061670" w:rsidRDefault="004A69EC" w14:paraId="362D27F2"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2027</w:t>
            </w:r>
          </w:p>
        </w:tc>
        <w:tc>
          <w:tcPr>
            <w:tcW w:w="957" w:type="dxa"/>
            <w:vAlign w:val="center"/>
          </w:tcPr>
          <w:p w:rsidR="004A69EC" w:rsidP="00061670" w:rsidRDefault="004A69EC" w14:paraId="7D624497"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2028</w:t>
            </w:r>
          </w:p>
        </w:tc>
        <w:tc>
          <w:tcPr>
            <w:tcW w:w="957" w:type="dxa"/>
            <w:vAlign w:val="center"/>
          </w:tcPr>
          <w:p w:rsidR="004A69EC" w:rsidP="00061670" w:rsidRDefault="004A69EC" w14:paraId="3DEE5CED"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2029</w:t>
            </w:r>
          </w:p>
        </w:tc>
        <w:tc>
          <w:tcPr>
            <w:tcW w:w="957" w:type="dxa"/>
            <w:vAlign w:val="center"/>
          </w:tcPr>
          <w:p w:rsidR="004A69EC" w:rsidP="00061670" w:rsidRDefault="004A69EC" w14:paraId="7C6FC48A"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2030</w:t>
            </w:r>
          </w:p>
        </w:tc>
        <w:tc>
          <w:tcPr>
            <w:tcW w:w="957" w:type="dxa"/>
            <w:gridSpan w:val="2"/>
          </w:tcPr>
          <w:p w:rsidR="004A69EC" w:rsidP="00061670" w:rsidRDefault="004A69EC" w14:paraId="66D3D72B"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Cum.</w:t>
            </w:r>
          </w:p>
        </w:tc>
      </w:tr>
      <w:tr w:rsidR="004A69EC" w:rsidTr="00061670" w14:paraId="6B8DF709" w14:textId="77777777">
        <w:trPr>
          <w:trHeight w:val="202"/>
        </w:trPr>
        <w:tc>
          <w:tcPr>
            <w:cnfStyle w:val="001000000000" w:firstRow="0" w:lastRow="0" w:firstColumn="1" w:lastColumn="0" w:oddVBand="0" w:evenVBand="0" w:oddHBand="0" w:evenHBand="0" w:firstRowFirstColumn="0" w:firstRowLastColumn="0" w:lastRowFirstColumn="0" w:lastRowLastColumn="0"/>
            <w:tcW w:w="2936" w:type="dxa"/>
            <w:vAlign w:val="center"/>
          </w:tcPr>
          <w:p w:rsidRPr="008B48B0" w:rsidR="004A69EC" w:rsidP="00061670" w:rsidRDefault="004A69EC" w14:paraId="5D7EDE6E" w14:textId="77777777">
            <w:pPr>
              <w:rPr>
                <w:rFonts w:eastAsia="Times New Roman" w:cs="Calibri"/>
                <w:color w:val="000000"/>
                <w:szCs w:val="18"/>
              </w:rPr>
            </w:pPr>
          </w:p>
        </w:tc>
        <w:tc>
          <w:tcPr>
            <w:tcW w:w="956" w:type="dxa"/>
          </w:tcPr>
          <w:p w:rsidRPr="008B48B0" w:rsidR="004A69EC" w:rsidP="00061670" w:rsidRDefault="004A69EC" w14:paraId="6727FCD9" w14:textId="77777777">
            <w:pPr>
              <w:jc w:val="center"/>
              <w:cnfStyle w:val="000000000000" w:firstRow="0" w:lastRow="0" w:firstColumn="0" w:lastColumn="0" w:oddVBand="0" w:evenVBand="0" w:oddHBand="0" w:evenHBand="0" w:firstRowFirstColumn="0" w:firstRowLastColumn="0" w:lastRowFirstColumn="0" w:lastRowLastColumn="0"/>
            </w:pPr>
          </w:p>
        </w:tc>
        <w:tc>
          <w:tcPr>
            <w:tcW w:w="957" w:type="dxa"/>
          </w:tcPr>
          <w:p w:rsidRPr="008B48B0" w:rsidR="004A69EC" w:rsidP="00061670" w:rsidRDefault="004A69EC" w14:paraId="041BF757" w14:textId="77777777">
            <w:pPr>
              <w:jc w:val="center"/>
              <w:cnfStyle w:val="000000000000" w:firstRow="0" w:lastRow="0" w:firstColumn="0" w:lastColumn="0" w:oddVBand="0" w:evenVBand="0" w:oddHBand="0" w:evenHBand="0" w:firstRowFirstColumn="0" w:firstRowLastColumn="0" w:lastRowFirstColumn="0" w:lastRowLastColumn="0"/>
            </w:pPr>
          </w:p>
        </w:tc>
        <w:tc>
          <w:tcPr>
            <w:tcW w:w="957" w:type="dxa"/>
          </w:tcPr>
          <w:p w:rsidRPr="008B48B0" w:rsidR="004A69EC" w:rsidP="00061670" w:rsidRDefault="004A69EC" w14:paraId="3FEC644D" w14:textId="77777777">
            <w:pPr>
              <w:jc w:val="center"/>
              <w:cnfStyle w:val="000000000000" w:firstRow="0" w:lastRow="0" w:firstColumn="0" w:lastColumn="0" w:oddVBand="0" w:evenVBand="0" w:oddHBand="0" w:evenHBand="0" w:firstRowFirstColumn="0" w:firstRowLastColumn="0" w:lastRowFirstColumn="0" w:lastRowLastColumn="0"/>
            </w:pPr>
          </w:p>
        </w:tc>
        <w:tc>
          <w:tcPr>
            <w:tcW w:w="957" w:type="dxa"/>
          </w:tcPr>
          <w:p w:rsidRPr="008B48B0" w:rsidR="004A69EC" w:rsidP="00061670" w:rsidRDefault="004A69EC" w14:paraId="6AD0B171" w14:textId="77777777">
            <w:pPr>
              <w:jc w:val="center"/>
              <w:cnfStyle w:val="000000000000" w:firstRow="0" w:lastRow="0" w:firstColumn="0" w:lastColumn="0" w:oddVBand="0" w:evenVBand="0" w:oddHBand="0" w:evenHBand="0" w:firstRowFirstColumn="0" w:firstRowLastColumn="0" w:lastRowFirstColumn="0" w:lastRowLastColumn="0"/>
            </w:pPr>
          </w:p>
        </w:tc>
        <w:tc>
          <w:tcPr>
            <w:tcW w:w="957" w:type="dxa"/>
          </w:tcPr>
          <w:p w:rsidRPr="008B48B0" w:rsidR="004A69EC" w:rsidP="00061670" w:rsidRDefault="004A69EC" w14:paraId="6334233A" w14:textId="77777777">
            <w:pPr>
              <w:jc w:val="center"/>
              <w:cnfStyle w:val="000000000000" w:firstRow="0" w:lastRow="0" w:firstColumn="0" w:lastColumn="0" w:oddVBand="0" w:evenVBand="0" w:oddHBand="0" w:evenHBand="0" w:firstRowFirstColumn="0" w:firstRowLastColumn="0" w:lastRowFirstColumn="0" w:lastRowLastColumn="0"/>
            </w:pPr>
          </w:p>
        </w:tc>
        <w:tc>
          <w:tcPr>
            <w:tcW w:w="957" w:type="dxa"/>
          </w:tcPr>
          <w:p w:rsidRPr="008B48B0" w:rsidR="004A69EC" w:rsidP="00061670" w:rsidRDefault="004A69EC" w14:paraId="6238468E" w14:textId="77777777">
            <w:pPr>
              <w:jc w:val="center"/>
              <w:cnfStyle w:val="000000000000" w:firstRow="0" w:lastRow="0" w:firstColumn="0" w:lastColumn="0" w:oddVBand="0" w:evenVBand="0" w:oddHBand="0" w:evenHBand="0" w:firstRowFirstColumn="0" w:firstRowLastColumn="0" w:lastRowFirstColumn="0" w:lastRowLastColumn="0"/>
            </w:pPr>
          </w:p>
        </w:tc>
        <w:tc>
          <w:tcPr>
            <w:tcW w:w="957" w:type="dxa"/>
            <w:gridSpan w:val="2"/>
          </w:tcPr>
          <w:p w:rsidRPr="008B48B0" w:rsidR="004A69EC" w:rsidP="00061670" w:rsidRDefault="004A69EC" w14:paraId="23F7914D" w14:textId="77777777">
            <w:pPr>
              <w:jc w:val="center"/>
              <w:cnfStyle w:val="000000000000" w:firstRow="0" w:lastRow="0" w:firstColumn="0" w:lastColumn="0" w:oddVBand="0" w:evenVBand="0" w:oddHBand="0" w:evenHBand="0" w:firstRowFirstColumn="0" w:firstRowLastColumn="0" w:lastRowFirstColumn="0" w:lastRowLastColumn="0"/>
            </w:pPr>
          </w:p>
        </w:tc>
      </w:tr>
      <w:tr w:rsidR="004A69EC" w:rsidTr="00061670" w14:paraId="182CA09F"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936" w:type="dxa"/>
            <w:shd w:val="clear" w:color="auto" w:fill="FFFFFF"/>
            <w:vAlign w:val="center"/>
          </w:tcPr>
          <w:p w:rsidRPr="007171A1" w:rsidR="004A69EC" w:rsidP="00061670" w:rsidRDefault="004A69EC" w14:paraId="404AF9B9" w14:textId="77777777">
            <w:pPr>
              <w:rPr>
                <w:rFonts w:eastAsia="Times New Roman" w:cs="Calibri"/>
                <w:b w:val="0"/>
                <w:bCs w:val="0"/>
                <w:color w:val="000000"/>
                <w:szCs w:val="18"/>
              </w:rPr>
            </w:pPr>
            <w:r w:rsidRPr="007171A1">
              <w:rPr>
                <w:rFonts w:eastAsia="Times New Roman" w:cs="Calibri"/>
                <w:b w:val="0"/>
                <w:bCs w:val="0"/>
                <w:color w:val="000000"/>
                <w:szCs w:val="18"/>
              </w:rPr>
              <w:t xml:space="preserve">Inkomsten </w:t>
            </w:r>
            <w:proofErr w:type="spellStart"/>
            <w:r w:rsidRPr="007171A1">
              <w:rPr>
                <w:rFonts w:eastAsia="Times New Roman" w:cs="Calibri"/>
                <w:b w:val="0"/>
                <w:bCs w:val="0"/>
                <w:color w:val="000000"/>
                <w:szCs w:val="18"/>
              </w:rPr>
              <w:t>opt</w:t>
            </w:r>
            <w:proofErr w:type="spellEnd"/>
            <w:r w:rsidRPr="007171A1">
              <w:rPr>
                <w:rFonts w:eastAsia="Times New Roman" w:cs="Calibri"/>
                <w:b w:val="0"/>
                <w:bCs w:val="0"/>
                <w:color w:val="000000"/>
                <w:szCs w:val="18"/>
              </w:rPr>
              <w:t>-in ETS2</w:t>
            </w:r>
          </w:p>
        </w:tc>
        <w:tc>
          <w:tcPr>
            <w:tcW w:w="956" w:type="dxa"/>
            <w:shd w:val="clear" w:color="auto" w:fill="FFFFFF"/>
            <w:vAlign w:val="center"/>
          </w:tcPr>
          <w:p w:rsidRPr="008826E3" w:rsidR="004A69EC" w:rsidP="00061670" w:rsidRDefault="004A69EC" w14:paraId="175B05F3" w14:textId="77777777">
            <w:pPr>
              <w:jc w:val="center"/>
              <w:cnfStyle w:val="000000100000" w:firstRow="0" w:lastRow="0" w:firstColumn="0" w:lastColumn="0" w:oddVBand="0" w:evenVBand="0" w:oddHBand="1" w:evenHBand="0" w:firstRowFirstColumn="0" w:firstRowLastColumn="0" w:lastRowFirstColumn="0" w:lastRowLastColumn="0"/>
            </w:pPr>
          </w:p>
        </w:tc>
        <w:tc>
          <w:tcPr>
            <w:tcW w:w="957" w:type="dxa"/>
            <w:shd w:val="clear" w:color="auto" w:fill="FFFFFF"/>
            <w:vAlign w:val="center"/>
          </w:tcPr>
          <w:p w:rsidRPr="008826E3" w:rsidR="004A69EC" w:rsidP="00061670" w:rsidRDefault="004A69EC" w14:paraId="1A0009A8" w14:textId="77777777">
            <w:pPr>
              <w:jc w:val="center"/>
              <w:cnfStyle w:val="000000100000" w:firstRow="0" w:lastRow="0" w:firstColumn="0" w:lastColumn="0" w:oddVBand="0" w:evenVBand="0" w:oddHBand="1" w:evenHBand="0" w:firstRowFirstColumn="0" w:firstRowLastColumn="0" w:lastRowFirstColumn="0" w:lastRowLastColumn="0"/>
            </w:pPr>
          </w:p>
        </w:tc>
        <w:tc>
          <w:tcPr>
            <w:tcW w:w="957" w:type="dxa"/>
            <w:shd w:val="clear" w:color="auto" w:fill="FFFFFF"/>
            <w:vAlign w:val="center"/>
          </w:tcPr>
          <w:p w:rsidRPr="008826E3" w:rsidR="004A69EC" w:rsidP="00061670" w:rsidRDefault="004A69EC" w14:paraId="0E7F255C" w14:textId="77777777">
            <w:pPr>
              <w:jc w:val="center"/>
              <w:cnfStyle w:val="000000100000" w:firstRow="0" w:lastRow="0" w:firstColumn="0" w:lastColumn="0" w:oddVBand="0" w:evenVBand="0" w:oddHBand="1" w:evenHBand="0" w:firstRowFirstColumn="0" w:firstRowLastColumn="0" w:lastRowFirstColumn="0" w:lastRowLastColumn="0"/>
            </w:pPr>
            <w:r w:rsidRPr="002569CA">
              <w:t>374</w:t>
            </w:r>
          </w:p>
        </w:tc>
        <w:tc>
          <w:tcPr>
            <w:tcW w:w="957" w:type="dxa"/>
            <w:shd w:val="clear" w:color="auto" w:fill="FFFFFF"/>
            <w:vAlign w:val="center"/>
          </w:tcPr>
          <w:p w:rsidR="004A69EC" w:rsidP="00061670" w:rsidRDefault="004A69EC" w14:paraId="3EC8FE28" w14:textId="77777777">
            <w:pPr>
              <w:jc w:val="center"/>
              <w:cnfStyle w:val="000000100000" w:firstRow="0" w:lastRow="0" w:firstColumn="0" w:lastColumn="0" w:oddVBand="0" w:evenVBand="0" w:oddHBand="1" w:evenHBand="0" w:firstRowFirstColumn="0" w:firstRowLastColumn="0" w:lastRowFirstColumn="0" w:lastRowLastColumn="0"/>
            </w:pPr>
            <w:r w:rsidRPr="002569CA">
              <w:t>286</w:t>
            </w:r>
          </w:p>
        </w:tc>
        <w:tc>
          <w:tcPr>
            <w:tcW w:w="957" w:type="dxa"/>
            <w:shd w:val="clear" w:color="auto" w:fill="FFFFFF"/>
            <w:vAlign w:val="center"/>
          </w:tcPr>
          <w:p w:rsidRPr="008826E3" w:rsidR="004A69EC" w:rsidP="00061670" w:rsidRDefault="004A69EC" w14:paraId="3FCB262A" w14:textId="77777777">
            <w:pPr>
              <w:jc w:val="center"/>
              <w:cnfStyle w:val="000000100000" w:firstRow="0" w:lastRow="0" w:firstColumn="0" w:lastColumn="0" w:oddVBand="0" w:evenVBand="0" w:oddHBand="1" w:evenHBand="0" w:firstRowFirstColumn="0" w:firstRowLastColumn="0" w:lastRowFirstColumn="0" w:lastRowLastColumn="0"/>
            </w:pPr>
            <w:r w:rsidRPr="002569CA">
              <w:t>252</w:t>
            </w:r>
          </w:p>
        </w:tc>
        <w:tc>
          <w:tcPr>
            <w:tcW w:w="957" w:type="dxa"/>
            <w:shd w:val="clear" w:color="auto" w:fill="FFFFFF"/>
            <w:vAlign w:val="center"/>
          </w:tcPr>
          <w:p w:rsidR="004A69EC" w:rsidP="00061670" w:rsidRDefault="004A69EC" w14:paraId="6F83E6BB" w14:textId="77777777">
            <w:pPr>
              <w:jc w:val="center"/>
              <w:cnfStyle w:val="000000100000" w:firstRow="0" w:lastRow="0" w:firstColumn="0" w:lastColumn="0" w:oddVBand="0" w:evenVBand="0" w:oddHBand="1" w:evenHBand="0" w:firstRowFirstColumn="0" w:firstRowLastColumn="0" w:lastRowFirstColumn="0" w:lastRowLastColumn="0"/>
            </w:pPr>
            <w:r w:rsidRPr="002569CA">
              <w:t>250</w:t>
            </w:r>
          </w:p>
        </w:tc>
        <w:tc>
          <w:tcPr>
            <w:tcW w:w="957" w:type="dxa"/>
            <w:gridSpan w:val="2"/>
            <w:shd w:val="clear" w:color="auto" w:fill="FFFFFF"/>
            <w:vAlign w:val="center"/>
          </w:tcPr>
          <w:p w:rsidR="004A69EC" w:rsidP="00061670" w:rsidRDefault="004A69EC" w14:paraId="32378D18"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szCs w:val="18"/>
              </w:rPr>
            </w:pPr>
            <w:r w:rsidRPr="002569CA">
              <w:rPr>
                <w:rFonts w:eastAsia="Times New Roman" w:cs="Calibri"/>
                <w:szCs w:val="18"/>
              </w:rPr>
              <w:t>1.161</w:t>
            </w:r>
          </w:p>
        </w:tc>
      </w:tr>
      <w:tr w:rsidR="007C62C9" w:rsidTr="00061670" w14:paraId="427A8050" w14:textId="77777777">
        <w:trPr>
          <w:trHeight w:val="202"/>
        </w:trPr>
        <w:tc>
          <w:tcPr>
            <w:cnfStyle w:val="001000000000" w:firstRow="0" w:lastRow="0" w:firstColumn="1" w:lastColumn="0" w:oddVBand="0" w:evenVBand="0" w:oddHBand="0" w:evenHBand="0" w:firstRowFirstColumn="0" w:firstRowLastColumn="0" w:lastRowFirstColumn="0" w:lastRowLastColumn="0"/>
            <w:tcW w:w="2936" w:type="dxa"/>
            <w:shd w:val="clear" w:color="auto" w:fill="FFFFFF"/>
            <w:vAlign w:val="center"/>
          </w:tcPr>
          <w:p w:rsidRPr="007171A1" w:rsidR="007C62C9" w:rsidP="007C62C9" w:rsidRDefault="007C62C9" w14:paraId="031AB182" w14:textId="77777777">
            <w:pPr>
              <w:rPr>
                <w:rFonts w:eastAsia="Times New Roman" w:cs="Calibri"/>
                <w:b w:val="0"/>
                <w:bCs w:val="0"/>
                <w:color w:val="000000"/>
                <w:szCs w:val="18"/>
              </w:rPr>
            </w:pPr>
            <w:r>
              <w:rPr>
                <w:rFonts w:eastAsia="Times New Roman" w:cs="Calibri"/>
                <w:b w:val="0"/>
                <w:bCs w:val="0"/>
                <w:color w:val="000000"/>
                <w:szCs w:val="18"/>
              </w:rPr>
              <w:t>Afschaffen CO2-heffing GTB</w:t>
            </w:r>
          </w:p>
        </w:tc>
        <w:tc>
          <w:tcPr>
            <w:tcW w:w="956" w:type="dxa"/>
            <w:shd w:val="clear" w:color="auto" w:fill="FFFFFF"/>
            <w:vAlign w:val="center"/>
          </w:tcPr>
          <w:p w:rsidRPr="008826E3" w:rsidR="007C62C9" w:rsidP="007C62C9" w:rsidRDefault="007C62C9" w14:paraId="32186F1E" w14:textId="00574289">
            <w:pPr>
              <w:jc w:val="center"/>
              <w:cnfStyle w:val="000000000000" w:firstRow="0" w:lastRow="0" w:firstColumn="0" w:lastColumn="0" w:oddVBand="0" w:evenVBand="0" w:oddHBand="0" w:evenHBand="0" w:firstRowFirstColumn="0" w:firstRowLastColumn="0" w:lastRowFirstColumn="0" w:lastRowLastColumn="0"/>
            </w:pPr>
          </w:p>
        </w:tc>
        <w:tc>
          <w:tcPr>
            <w:tcW w:w="957" w:type="dxa"/>
            <w:shd w:val="clear" w:color="auto" w:fill="FFFFFF"/>
            <w:vAlign w:val="center"/>
          </w:tcPr>
          <w:p w:rsidRPr="008826E3" w:rsidR="007C62C9" w:rsidP="007C62C9" w:rsidRDefault="007C62C9" w14:paraId="6E6B8FCA" w14:textId="2EA03FD0">
            <w:pPr>
              <w:jc w:val="center"/>
              <w:cnfStyle w:val="000000000000" w:firstRow="0" w:lastRow="0" w:firstColumn="0" w:lastColumn="0" w:oddVBand="0" w:evenVBand="0" w:oddHBand="0" w:evenHBand="0" w:firstRowFirstColumn="0" w:firstRowLastColumn="0" w:lastRowFirstColumn="0" w:lastRowLastColumn="0"/>
            </w:pPr>
          </w:p>
        </w:tc>
        <w:tc>
          <w:tcPr>
            <w:tcW w:w="957" w:type="dxa"/>
            <w:shd w:val="clear" w:color="auto" w:fill="FFFFFF"/>
            <w:vAlign w:val="center"/>
          </w:tcPr>
          <w:p w:rsidRPr="008826E3" w:rsidR="007C62C9" w:rsidP="007C62C9" w:rsidRDefault="007C62C9" w14:paraId="2F782A93" w14:textId="6AB73F4E">
            <w:pPr>
              <w:jc w:val="center"/>
              <w:cnfStyle w:val="000000000000" w:firstRow="0" w:lastRow="0" w:firstColumn="0" w:lastColumn="0" w:oddVBand="0" w:evenVBand="0" w:oddHBand="0" w:evenHBand="0" w:firstRowFirstColumn="0" w:firstRowLastColumn="0" w:lastRowFirstColumn="0" w:lastRowLastColumn="0"/>
            </w:pPr>
            <w:r w:rsidRPr="002569CA">
              <w:t>-59</w:t>
            </w:r>
          </w:p>
        </w:tc>
        <w:tc>
          <w:tcPr>
            <w:tcW w:w="957" w:type="dxa"/>
            <w:shd w:val="clear" w:color="auto" w:fill="FFFFFF"/>
            <w:vAlign w:val="center"/>
          </w:tcPr>
          <w:p w:rsidR="007C62C9" w:rsidP="007C62C9" w:rsidRDefault="007C62C9" w14:paraId="30061C59" w14:textId="31522A2B">
            <w:pPr>
              <w:jc w:val="center"/>
              <w:cnfStyle w:val="000000000000" w:firstRow="0" w:lastRow="0" w:firstColumn="0" w:lastColumn="0" w:oddVBand="0" w:evenVBand="0" w:oddHBand="0" w:evenHBand="0" w:firstRowFirstColumn="0" w:firstRowLastColumn="0" w:lastRowFirstColumn="0" w:lastRowLastColumn="0"/>
            </w:pPr>
            <w:r w:rsidRPr="002569CA">
              <w:t>-64</w:t>
            </w:r>
          </w:p>
        </w:tc>
        <w:tc>
          <w:tcPr>
            <w:tcW w:w="957" w:type="dxa"/>
            <w:shd w:val="clear" w:color="auto" w:fill="FFFFFF"/>
            <w:vAlign w:val="center"/>
          </w:tcPr>
          <w:p w:rsidRPr="008826E3" w:rsidR="007C62C9" w:rsidP="007C62C9" w:rsidRDefault="007C62C9" w14:paraId="757A5F17" w14:textId="0585C807">
            <w:pPr>
              <w:jc w:val="center"/>
              <w:cnfStyle w:val="000000000000" w:firstRow="0" w:lastRow="0" w:firstColumn="0" w:lastColumn="0" w:oddVBand="0" w:evenVBand="0" w:oddHBand="0" w:evenHBand="0" w:firstRowFirstColumn="0" w:firstRowLastColumn="0" w:lastRowFirstColumn="0" w:lastRowLastColumn="0"/>
            </w:pPr>
            <w:r w:rsidRPr="002569CA">
              <w:t>-67</w:t>
            </w:r>
          </w:p>
        </w:tc>
        <w:tc>
          <w:tcPr>
            <w:tcW w:w="957" w:type="dxa"/>
            <w:shd w:val="clear" w:color="auto" w:fill="FFFFFF"/>
            <w:vAlign w:val="center"/>
          </w:tcPr>
          <w:p w:rsidR="007C62C9" w:rsidP="007C62C9" w:rsidRDefault="007C62C9" w14:paraId="729EF09C" w14:textId="4C5B1832">
            <w:pPr>
              <w:jc w:val="center"/>
              <w:cnfStyle w:val="000000000000" w:firstRow="0" w:lastRow="0" w:firstColumn="0" w:lastColumn="0" w:oddVBand="0" w:evenVBand="0" w:oddHBand="0" w:evenHBand="0" w:firstRowFirstColumn="0" w:firstRowLastColumn="0" w:lastRowFirstColumn="0" w:lastRowLastColumn="0"/>
            </w:pPr>
            <w:r w:rsidRPr="002569CA">
              <w:t>-69</w:t>
            </w:r>
          </w:p>
        </w:tc>
        <w:tc>
          <w:tcPr>
            <w:tcW w:w="957" w:type="dxa"/>
            <w:gridSpan w:val="2"/>
            <w:shd w:val="clear" w:color="auto" w:fill="FFFFFF"/>
            <w:vAlign w:val="center"/>
          </w:tcPr>
          <w:p w:rsidR="007C62C9" w:rsidP="007C62C9" w:rsidRDefault="007C62C9" w14:paraId="5681893B" w14:textId="12404DBB">
            <w:pPr>
              <w:jc w:val="center"/>
              <w:cnfStyle w:val="000000000000" w:firstRow="0" w:lastRow="0" w:firstColumn="0" w:lastColumn="0" w:oddVBand="0" w:evenVBand="0" w:oddHBand="0" w:evenHBand="0" w:firstRowFirstColumn="0" w:firstRowLastColumn="0" w:lastRowFirstColumn="0" w:lastRowLastColumn="0"/>
            </w:pPr>
            <w:r w:rsidRPr="002569CA">
              <w:t>-</w:t>
            </w:r>
            <w:r>
              <w:t>259</w:t>
            </w:r>
          </w:p>
        </w:tc>
      </w:tr>
      <w:tr w:rsidR="007C0E09" w:rsidTr="007C0E09" w14:paraId="79C76CB6"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936" w:type="dxa"/>
            <w:shd w:val="clear" w:color="auto" w:fill="FFFFFF"/>
            <w:vAlign w:val="center"/>
          </w:tcPr>
          <w:p w:rsidRPr="007171A1" w:rsidR="007C0E09" w:rsidP="007C0E09" w:rsidRDefault="007C0E09" w14:paraId="70995BC5" w14:textId="77777777">
            <w:pPr>
              <w:rPr>
                <w:rFonts w:eastAsia="Times New Roman" w:cs="Calibri"/>
                <w:b w:val="0"/>
                <w:bCs w:val="0"/>
                <w:color w:val="000000"/>
                <w:szCs w:val="18"/>
              </w:rPr>
            </w:pPr>
            <w:r>
              <w:rPr>
                <w:rFonts w:eastAsia="Times New Roman" w:cs="Calibri"/>
                <w:b w:val="0"/>
                <w:bCs w:val="0"/>
                <w:color w:val="000000"/>
                <w:szCs w:val="18"/>
              </w:rPr>
              <w:t>Compensatie energiebelasting</w:t>
            </w:r>
          </w:p>
        </w:tc>
        <w:tc>
          <w:tcPr>
            <w:tcW w:w="956" w:type="dxa"/>
            <w:shd w:val="clear" w:color="auto" w:fill="FFFFFF"/>
            <w:vAlign w:val="center"/>
          </w:tcPr>
          <w:p w:rsidRPr="008826E3" w:rsidR="007C0E09" w:rsidP="007C0E09" w:rsidRDefault="007C0E09" w14:paraId="4662852F" w14:textId="77777777">
            <w:pPr>
              <w:jc w:val="center"/>
              <w:cnfStyle w:val="000000100000" w:firstRow="0" w:lastRow="0" w:firstColumn="0" w:lastColumn="0" w:oddVBand="0" w:evenVBand="0" w:oddHBand="1" w:evenHBand="0" w:firstRowFirstColumn="0" w:firstRowLastColumn="0" w:lastRowFirstColumn="0" w:lastRowLastColumn="0"/>
            </w:pPr>
          </w:p>
        </w:tc>
        <w:tc>
          <w:tcPr>
            <w:tcW w:w="957" w:type="dxa"/>
            <w:shd w:val="clear" w:color="auto" w:fill="FFFFFF"/>
            <w:vAlign w:val="center"/>
          </w:tcPr>
          <w:p w:rsidRPr="008826E3" w:rsidR="007C0E09" w:rsidP="007C0E09" w:rsidRDefault="007C0E09" w14:paraId="4C9C3636" w14:textId="77777777">
            <w:pPr>
              <w:jc w:val="center"/>
              <w:cnfStyle w:val="000000100000" w:firstRow="0" w:lastRow="0" w:firstColumn="0" w:lastColumn="0" w:oddVBand="0" w:evenVBand="0" w:oddHBand="1" w:evenHBand="0" w:firstRowFirstColumn="0" w:firstRowLastColumn="0" w:lastRowFirstColumn="0" w:lastRowLastColumn="0"/>
            </w:pPr>
          </w:p>
        </w:tc>
        <w:tc>
          <w:tcPr>
            <w:tcW w:w="957" w:type="dxa"/>
            <w:shd w:val="clear" w:color="auto" w:fill="FFFFFF"/>
            <w:vAlign w:val="center"/>
          </w:tcPr>
          <w:p w:rsidRPr="008826E3" w:rsidR="007C0E09" w:rsidP="007C0E09" w:rsidRDefault="007C0E09" w14:paraId="1FD8A32A" w14:textId="3B3D0A80">
            <w:pPr>
              <w:jc w:val="center"/>
              <w:cnfStyle w:val="000000100000" w:firstRow="0" w:lastRow="0" w:firstColumn="0" w:lastColumn="0" w:oddVBand="0" w:evenVBand="0" w:oddHBand="1" w:evenHBand="0" w:firstRowFirstColumn="0" w:firstRowLastColumn="0" w:lastRowFirstColumn="0" w:lastRowLastColumn="0"/>
            </w:pPr>
            <w:r w:rsidRPr="007F0368">
              <w:t>-</w:t>
            </w:r>
            <w:r>
              <w:t>67</w:t>
            </w:r>
          </w:p>
        </w:tc>
        <w:tc>
          <w:tcPr>
            <w:tcW w:w="957" w:type="dxa"/>
            <w:shd w:val="clear" w:color="auto" w:fill="FFFFFF"/>
            <w:vAlign w:val="center"/>
          </w:tcPr>
          <w:p w:rsidR="007C0E09" w:rsidP="007C0E09" w:rsidRDefault="007C0E09" w14:paraId="54F84B29" w14:textId="32D95AB6">
            <w:pPr>
              <w:jc w:val="center"/>
              <w:cnfStyle w:val="000000100000" w:firstRow="0" w:lastRow="0" w:firstColumn="0" w:lastColumn="0" w:oddVBand="0" w:evenVBand="0" w:oddHBand="1" w:evenHBand="0" w:firstRowFirstColumn="0" w:firstRowLastColumn="0" w:lastRowFirstColumn="0" w:lastRowLastColumn="0"/>
            </w:pPr>
            <w:r w:rsidRPr="007F0368">
              <w:t>-</w:t>
            </w:r>
            <w:r>
              <w:t>95</w:t>
            </w:r>
          </w:p>
        </w:tc>
        <w:tc>
          <w:tcPr>
            <w:tcW w:w="957" w:type="dxa"/>
            <w:shd w:val="clear" w:color="auto" w:fill="FFFFFF"/>
            <w:vAlign w:val="center"/>
          </w:tcPr>
          <w:p w:rsidRPr="008826E3" w:rsidR="007C0E09" w:rsidP="007C0E09" w:rsidRDefault="007C0E09" w14:paraId="546859FB" w14:textId="210BBBA6">
            <w:pPr>
              <w:jc w:val="center"/>
              <w:cnfStyle w:val="000000100000" w:firstRow="0" w:lastRow="0" w:firstColumn="0" w:lastColumn="0" w:oddVBand="0" w:evenVBand="0" w:oddHBand="1" w:evenHBand="0" w:firstRowFirstColumn="0" w:firstRowLastColumn="0" w:lastRowFirstColumn="0" w:lastRowLastColumn="0"/>
            </w:pPr>
            <w:r w:rsidRPr="007F0368">
              <w:t>-</w:t>
            </w:r>
            <w:r>
              <w:t>114</w:t>
            </w:r>
          </w:p>
        </w:tc>
        <w:tc>
          <w:tcPr>
            <w:tcW w:w="957" w:type="dxa"/>
            <w:shd w:val="clear" w:color="auto" w:fill="FFFFFF"/>
            <w:vAlign w:val="center"/>
          </w:tcPr>
          <w:p w:rsidR="007C0E09" w:rsidP="007C0E09" w:rsidRDefault="007C0E09" w14:paraId="4250D637" w14:textId="43D55DC8">
            <w:pPr>
              <w:jc w:val="center"/>
              <w:cnfStyle w:val="000000100000" w:firstRow="0" w:lastRow="0" w:firstColumn="0" w:lastColumn="0" w:oddVBand="0" w:evenVBand="0" w:oddHBand="1" w:evenHBand="0" w:firstRowFirstColumn="0" w:firstRowLastColumn="0" w:lastRowFirstColumn="0" w:lastRowLastColumn="0"/>
            </w:pPr>
            <w:r w:rsidRPr="007F0368">
              <w:t>-1</w:t>
            </w:r>
            <w:r>
              <w:t>52</w:t>
            </w:r>
          </w:p>
        </w:tc>
        <w:tc>
          <w:tcPr>
            <w:tcW w:w="957" w:type="dxa"/>
            <w:gridSpan w:val="2"/>
            <w:shd w:val="clear" w:color="auto" w:fill="FFFFFF"/>
            <w:vAlign w:val="center"/>
          </w:tcPr>
          <w:p w:rsidR="007C0E09" w:rsidP="007C0E09" w:rsidRDefault="007C0E09" w14:paraId="3236C244" w14:textId="3B05E894">
            <w:pPr>
              <w:jc w:val="center"/>
              <w:cnfStyle w:val="000000100000" w:firstRow="0" w:lastRow="0" w:firstColumn="0" w:lastColumn="0" w:oddVBand="0" w:evenVBand="0" w:oddHBand="1" w:evenHBand="0" w:firstRowFirstColumn="0" w:firstRowLastColumn="0" w:lastRowFirstColumn="0" w:lastRowLastColumn="0"/>
            </w:pPr>
            <w:r w:rsidRPr="007F0368">
              <w:t>-</w:t>
            </w:r>
            <w:r>
              <w:t>427</w:t>
            </w:r>
          </w:p>
        </w:tc>
      </w:tr>
      <w:tr w:rsidR="007C0E09" w:rsidTr="00061670" w14:paraId="50B9CC18" w14:textId="77777777">
        <w:trPr>
          <w:trHeight w:val="202"/>
        </w:trPr>
        <w:tc>
          <w:tcPr>
            <w:cnfStyle w:val="001000000000" w:firstRow="0" w:lastRow="0" w:firstColumn="1" w:lastColumn="0" w:oddVBand="0" w:evenVBand="0" w:oddHBand="0" w:evenHBand="0" w:firstRowFirstColumn="0" w:firstRowLastColumn="0" w:lastRowFirstColumn="0" w:lastRowLastColumn="0"/>
            <w:tcW w:w="2936" w:type="dxa"/>
            <w:shd w:val="clear" w:color="auto" w:fill="FFFFFF"/>
            <w:vAlign w:val="center"/>
          </w:tcPr>
          <w:p w:rsidRPr="007C0E09" w:rsidR="007C0E09" w:rsidP="00061670" w:rsidRDefault="007C0E09" w14:paraId="2D28FAEF" w14:textId="320FFC1E">
            <w:pPr>
              <w:rPr>
                <w:rFonts w:eastAsia="Times New Roman" w:cs="Calibri"/>
                <w:b w:val="0"/>
                <w:bCs w:val="0"/>
                <w:color w:val="000000"/>
                <w:szCs w:val="18"/>
              </w:rPr>
            </w:pPr>
            <w:r w:rsidRPr="007C0E09">
              <w:rPr>
                <w:rFonts w:eastAsia="Times New Roman" w:cs="Calibri"/>
                <w:b w:val="0"/>
                <w:bCs w:val="0"/>
                <w:color w:val="000000"/>
                <w:szCs w:val="18"/>
              </w:rPr>
              <w:t>Kostencompensatieregeling ETS2</w:t>
            </w:r>
          </w:p>
        </w:tc>
        <w:tc>
          <w:tcPr>
            <w:tcW w:w="956" w:type="dxa"/>
            <w:shd w:val="clear" w:color="auto" w:fill="FFFFFF"/>
            <w:vAlign w:val="center"/>
          </w:tcPr>
          <w:p w:rsidRPr="00ED18E7" w:rsidR="007C0E09" w:rsidP="00061670" w:rsidRDefault="007C0E09" w14:paraId="182F63F1"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957" w:type="dxa"/>
            <w:shd w:val="clear" w:color="auto" w:fill="FFFFFF"/>
            <w:vAlign w:val="center"/>
          </w:tcPr>
          <w:p w:rsidRPr="00ED18E7" w:rsidR="007C0E09" w:rsidP="00061670" w:rsidRDefault="007C0E09" w14:paraId="6D19C21B"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957" w:type="dxa"/>
            <w:shd w:val="clear" w:color="auto" w:fill="FFFFFF"/>
            <w:vAlign w:val="center"/>
          </w:tcPr>
          <w:p w:rsidRPr="002569CA" w:rsidR="007C0E09" w:rsidP="00061670" w:rsidRDefault="007C0E09" w14:paraId="1038706F" w14:textId="77777777">
            <w:pPr>
              <w:jc w:val="center"/>
              <w:cnfStyle w:val="000000000000" w:firstRow="0" w:lastRow="0" w:firstColumn="0" w:lastColumn="0" w:oddVBand="0" w:evenVBand="0" w:oddHBand="0" w:evenHBand="0" w:firstRowFirstColumn="0" w:firstRowLastColumn="0" w:lastRowFirstColumn="0" w:lastRowLastColumn="0"/>
            </w:pPr>
          </w:p>
        </w:tc>
        <w:tc>
          <w:tcPr>
            <w:tcW w:w="957" w:type="dxa"/>
            <w:shd w:val="clear" w:color="auto" w:fill="FFFFFF"/>
            <w:vAlign w:val="center"/>
          </w:tcPr>
          <w:p w:rsidRPr="002569CA" w:rsidR="007C0E09" w:rsidP="00061670" w:rsidRDefault="007C0E09" w14:paraId="603E1815" w14:textId="77777777">
            <w:pPr>
              <w:jc w:val="center"/>
              <w:cnfStyle w:val="000000000000" w:firstRow="0" w:lastRow="0" w:firstColumn="0" w:lastColumn="0" w:oddVBand="0" w:evenVBand="0" w:oddHBand="0" w:evenHBand="0" w:firstRowFirstColumn="0" w:firstRowLastColumn="0" w:lastRowFirstColumn="0" w:lastRowLastColumn="0"/>
            </w:pPr>
          </w:p>
        </w:tc>
        <w:tc>
          <w:tcPr>
            <w:tcW w:w="957" w:type="dxa"/>
            <w:shd w:val="clear" w:color="auto" w:fill="FFFFFF"/>
            <w:vAlign w:val="center"/>
          </w:tcPr>
          <w:p w:rsidRPr="002569CA" w:rsidR="007C0E09" w:rsidP="00061670" w:rsidRDefault="007C0E09" w14:paraId="492EBB97" w14:textId="1F8FC0E5">
            <w:pPr>
              <w:jc w:val="center"/>
              <w:cnfStyle w:val="000000000000" w:firstRow="0" w:lastRow="0" w:firstColumn="0" w:lastColumn="0" w:oddVBand="0" w:evenVBand="0" w:oddHBand="0" w:evenHBand="0" w:firstRowFirstColumn="0" w:firstRowLastColumn="0" w:lastRowFirstColumn="0" w:lastRowLastColumn="0"/>
            </w:pPr>
            <w:r>
              <w:t>-66</w:t>
            </w:r>
          </w:p>
        </w:tc>
        <w:tc>
          <w:tcPr>
            <w:tcW w:w="957" w:type="dxa"/>
            <w:shd w:val="clear" w:color="auto" w:fill="FFFFFF"/>
            <w:vAlign w:val="center"/>
          </w:tcPr>
          <w:p w:rsidRPr="002569CA" w:rsidR="007C0E09" w:rsidP="00061670" w:rsidRDefault="007C0E09" w14:paraId="20DF6128" w14:textId="79C53E38">
            <w:pPr>
              <w:jc w:val="center"/>
              <w:cnfStyle w:val="000000000000" w:firstRow="0" w:lastRow="0" w:firstColumn="0" w:lastColumn="0" w:oddVBand="0" w:evenVBand="0" w:oddHBand="0" w:evenHBand="0" w:firstRowFirstColumn="0" w:firstRowLastColumn="0" w:lastRowFirstColumn="0" w:lastRowLastColumn="0"/>
            </w:pPr>
            <w:r>
              <w:t>-42</w:t>
            </w:r>
          </w:p>
        </w:tc>
        <w:tc>
          <w:tcPr>
            <w:tcW w:w="957" w:type="dxa"/>
            <w:gridSpan w:val="2"/>
            <w:shd w:val="clear" w:color="auto" w:fill="FFFFFF"/>
            <w:vAlign w:val="center"/>
          </w:tcPr>
          <w:p w:rsidR="007C0E09" w:rsidP="00061670" w:rsidRDefault="007C0E09" w14:paraId="349EF214" w14:textId="0B937B72">
            <w:pPr>
              <w:jc w:val="center"/>
              <w:cnfStyle w:val="000000000000" w:firstRow="0" w:lastRow="0" w:firstColumn="0" w:lastColumn="0" w:oddVBand="0" w:evenVBand="0" w:oddHBand="0" w:evenHBand="0" w:firstRowFirstColumn="0" w:firstRowLastColumn="0" w:lastRowFirstColumn="0" w:lastRowLastColumn="0"/>
            </w:pPr>
            <w:r>
              <w:t>-109</w:t>
            </w:r>
          </w:p>
        </w:tc>
      </w:tr>
      <w:tr w:rsidR="004A69EC" w:rsidTr="00061670" w14:paraId="1D8951CF"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936" w:type="dxa"/>
            <w:shd w:val="clear" w:color="auto" w:fill="FFFFFF"/>
            <w:vAlign w:val="center"/>
          </w:tcPr>
          <w:p w:rsidRPr="005F786F" w:rsidR="004A69EC" w:rsidP="00061670" w:rsidRDefault="004A69EC" w14:paraId="72A2834A" w14:textId="77777777">
            <w:pPr>
              <w:rPr>
                <w:rFonts w:eastAsia="Times New Roman" w:cs="Calibri"/>
                <w:b w:val="0"/>
                <w:bCs w:val="0"/>
                <w:color w:val="000000"/>
                <w:szCs w:val="18"/>
              </w:rPr>
            </w:pPr>
            <w:r w:rsidRPr="005F786F">
              <w:rPr>
                <w:rFonts w:eastAsia="Times New Roman" w:cs="Calibri"/>
                <w:b w:val="0"/>
                <w:bCs w:val="0"/>
                <w:color w:val="000000"/>
                <w:szCs w:val="18"/>
              </w:rPr>
              <w:t xml:space="preserve">Envelop </w:t>
            </w:r>
            <w:r>
              <w:rPr>
                <w:rFonts w:eastAsia="Times New Roman" w:cs="Calibri"/>
                <w:b w:val="0"/>
                <w:bCs w:val="0"/>
                <w:color w:val="000000"/>
                <w:szCs w:val="18"/>
              </w:rPr>
              <w:t>compensatie glastuinbouw</w:t>
            </w:r>
          </w:p>
        </w:tc>
        <w:tc>
          <w:tcPr>
            <w:tcW w:w="956" w:type="dxa"/>
            <w:shd w:val="clear" w:color="auto" w:fill="FFFFFF"/>
            <w:vAlign w:val="center"/>
          </w:tcPr>
          <w:p w:rsidRPr="00ED18E7" w:rsidR="004A69EC" w:rsidP="00061670" w:rsidRDefault="004A69EC" w14:paraId="5F93B3C7" w14:textId="77777777">
            <w:pPr>
              <w:jc w:val="center"/>
              <w:cnfStyle w:val="000000100000" w:firstRow="0" w:lastRow="0" w:firstColumn="0" w:lastColumn="0" w:oddVBand="0" w:evenVBand="0" w:oddHBand="1" w:evenHBand="0" w:firstRowFirstColumn="0" w:firstRowLastColumn="0" w:lastRowFirstColumn="0" w:lastRowLastColumn="0"/>
              <w:rPr>
                <w:b/>
                <w:bCs/>
              </w:rPr>
            </w:pPr>
          </w:p>
        </w:tc>
        <w:tc>
          <w:tcPr>
            <w:tcW w:w="957" w:type="dxa"/>
            <w:shd w:val="clear" w:color="auto" w:fill="FFFFFF"/>
            <w:vAlign w:val="center"/>
          </w:tcPr>
          <w:p w:rsidRPr="00ED18E7" w:rsidR="004A69EC" w:rsidP="00061670" w:rsidRDefault="004A69EC" w14:paraId="4064C9E9" w14:textId="77777777">
            <w:pPr>
              <w:jc w:val="center"/>
              <w:cnfStyle w:val="000000100000" w:firstRow="0" w:lastRow="0" w:firstColumn="0" w:lastColumn="0" w:oddVBand="0" w:evenVBand="0" w:oddHBand="1" w:evenHBand="0" w:firstRowFirstColumn="0" w:firstRowLastColumn="0" w:lastRowFirstColumn="0" w:lastRowLastColumn="0"/>
              <w:rPr>
                <w:b/>
                <w:bCs/>
              </w:rPr>
            </w:pPr>
          </w:p>
        </w:tc>
        <w:tc>
          <w:tcPr>
            <w:tcW w:w="957" w:type="dxa"/>
            <w:shd w:val="clear" w:color="auto" w:fill="FFFFFF"/>
            <w:vAlign w:val="center"/>
          </w:tcPr>
          <w:p w:rsidRPr="00ED18E7" w:rsidR="004A69EC" w:rsidP="00061670" w:rsidRDefault="004A69EC" w14:paraId="75A2C9B5" w14:textId="136D75E4">
            <w:pPr>
              <w:jc w:val="center"/>
              <w:cnfStyle w:val="000000100000" w:firstRow="0" w:lastRow="0" w:firstColumn="0" w:lastColumn="0" w:oddVBand="0" w:evenVBand="0" w:oddHBand="1" w:evenHBand="0" w:firstRowFirstColumn="0" w:firstRowLastColumn="0" w:lastRowFirstColumn="0" w:lastRowLastColumn="0"/>
              <w:rPr>
                <w:b/>
                <w:bCs/>
              </w:rPr>
            </w:pPr>
            <w:r w:rsidRPr="002569CA">
              <w:t>-</w:t>
            </w:r>
            <w:r w:rsidR="003B53D1">
              <w:t>2</w:t>
            </w:r>
            <w:r w:rsidR="00CA283F">
              <w:t>48</w:t>
            </w:r>
          </w:p>
        </w:tc>
        <w:tc>
          <w:tcPr>
            <w:tcW w:w="957" w:type="dxa"/>
            <w:shd w:val="clear" w:color="auto" w:fill="FFFFFF"/>
            <w:vAlign w:val="center"/>
          </w:tcPr>
          <w:p w:rsidRPr="00ED18E7" w:rsidR="004A69EC" w:rsidP="00061670" w:rsidRDefault="004A69EC" w14:paraId="01210B56" w14:textId="4A81EF39">
            <w:pPr>
              <w:jc w:val="center"/>
              <w:cnfStyle w:val="000000100000" w:firstRow="0" w:lastRow="0" w:firstColumn="0" w:lastColumn="0" w:oddVBand="0" w:evenVBand="0" w:oddHBand="1" w:evenHBand="0" w:firstRowFirstColumn="0" w:firstRowLastColumn="0" w:lastRowFirstColumn="0" w:lastRowLastColumn="0"/>
              <w:rPr>
                <w:b/>
                <w:bCs/>
              </w:rPr>
            </w:pPr>
            <w:r w:rsidRPr="002569CA">
              <w:t>-</w:t>
            </w:r>
            <w:r w:rsidR="003B53D1">
              <w:t>11</w:t>
            </w:r>
            <w:r w:rsidR="00CA283F">
              <w:t>9</w:t>
            </w:r>
          </w:p>
        </w:tc>
        <w:tc>
          <w:tcPr>
            <w:tcW w:w="957" w:type="dxa"/>
            <w:shd w:val="clear" w:color="auto" w:fill="FFFFFF"/>
            <w:vAlign w:val="center"/>
          </w:tcPr>
          <w:p w:rsidRPr="00ED18E7" w:rsidR="004A69EC" w:rsidP="00061670" w:rsidRDefault="003B53D1" w14:paraId="6BBC88FA" w14:textId="52C3FEF6">
            <w:pPr>
              <w:jc w:val="center"/>
              <w:cnfStyle w:val="000000100000" w:firstRow="0" w:lastRow="0" w:firstColumn="0" w:lastColumn="0" w:oddVBand="0" w:evenVBand="0" w:oddHBand="1" w:evenHBand="0" w:firstRowFirstColumn="0" w:firstRowLastColumn="0" w:lastRowFirstColumn="0" w:lastRowLastColumn="0"/>
              <w:rPr>
                <w:b/>
                <w:bCs/>
              </w:rPr>
            </w:pPr>
            <w:r>
              <w:t>0</w:t>
            </w:r>
          </w:p>
        </w:tc>
        <w:tc>
          <w:tcPr>
            <w:tcW w:w="957" w:type="dxa"/>
            <w:shd w:val="clear" w:color="auto" w:fill="FFFFFF"/>
            <w:vAlign w:val="center"/>
          </w:tcPr>
          <w:p w:rsidRPr="00ED18E7" w:rsidR="004A69EC" w:rsidP="00061670" w:rsidRDefault="004A69EC" w14:paraId="3ADFDB81" w14:textId="77777777">
            <w:pPr>
              <w:jc w:val="center"/>
              <w:cnfStyle w:val="000000100000" w:firstRow="0" w:lastRow="0" w:firstColumn="0" w:lastColumn="0" w:oddVBand="0" w:evenVBand="0" w:oddHBand="1" w:evenHBand="0" w:firstRowFirstColumn="0" w:firstRowLastColumn="0" w:lastRowFirstColumn="0" w:lastRowLastColumn="0"/>
              <w:rPr>
                <w:b/>
                <w:bCs/>
              </w:rPr>
            </w:pPr>
            <w:r w:rsidRPr="002569CA">
              <w:t>0</w:t>
            </w:r>
          </w:p>
        </w:tc>
        <w:tc>
          <w:tcPr>
            <w:tcW w:w="957" w:type="dxa"/>
            <w:gridSpan w:val="2"/>
            <w:shd w:val="clear" w:color="auto" w:fill="FFFFFF"/>
            <w:vAlign w:val="center"/>
          </w:tcPr>
          <w:p w:rsidRPr="00ED18E7" w:rsidR="004A69EC" w:rsidP="00061670" w:rsidRDefault="004A69EC" w14:paraId="38F4AC78" w14:textId="215A8B64">
            <w:pPr>
              <w:jc w:val="center"/>
              <w:cnfStyle w:val="000000100000" w:firstRow="0" w:lastRow="0" w:firstColumn="0" w:lastColumn="0" w:oddVBand="0" w:evenVBand="0" w:oddHBand="1" w:evenHBand="0" w:firstRowFirstColumn="0" w:firstRowLastColumn="0" w:lastRowFirstColumn="0" w:lastRowLastColumn="0"/>
              <w:rPr>
                <w:b/>
                <w:bCs/>
              </w:rPr>
            </w:pPr>
            <w:r>
              <w:t>-</w:t>
            </w:r>
            <w:r w:rsidRPr="002569CA">
              <w:t>3</w:t>
            </w:r>
            <w:r w:rsidR="003B53D1">
              <w:t>66</w:t>
            </w:r>
          </w:p>
        </w:tc>
      </w:tr>
      <w:tr w:rsidR="004A69EC" w:rsidTr="00061670" w14:paraId="5681AB0C" w14:textId="77777777">
        <w:trPr>
          <w:trHeight w:val="202"/>
        </w:trPr>
        <w:tc>
          <w:tcPr>
            <w:cnfStyle w:val="001000000000" w:firstRow="0" w:lastRow="0" w:firstColumn="1" w:lastColumn="0" w:oddVBand="0" w:evenVBand="0" w:oddHBand="0" w:evenHBand="0" w:firstRowFirstColumn="0" w:firstRowLastColumn="0" w:lastRowFirstColumn="0" w:lastRowLastColumn="0"/>
            <w:tcW w:w="2936" w:type="dxa"/>
            <w:shd w:val="clear" w:color="auto" w:fill="FFFFFF"/>
            <w:vAlign w:val="center"/>
          </w:tcPr>
          <w:p w:rsidRPr="003E4E4C" w:rsidR="004A69EC" w:rsidP="00061670" w:rsidRDefault="004A69EC" w14:paraId="3814405A" w14:textId="77777777">
            <w:pPr>
              <w:rPr>
                <w:rFonts w:eastAsia="Times New Roman" w:cs="Calibri"/>
                <w:color w:val="000000"/>
                <w:szCs w:val="18"/>
              </w:rPr>
            </w:pPr>
            <w:r w:rsidRPr="003E4E4C">
              <w:rPr>
                <w:rFonts w:eastAsia="Times New Roman" w:cs="Calibri"/>
                <w:color w:val="000000"/>
                <w:szCs w:val="18"/>
              </w:rPr>
              <w:t>Totaal</w:t>
            </w:r>
          </w:p>
        </w:tc>
        <w:tc>
          <w:tcPr>
            <w:tcW w:w="956" w:type="dxa"/>
            <w:shd w:val="clear" w:color="auto" w:fill="FFFFFF"/>
          </w:tcPr>
          <w:p w:rsidRPr="003E4E4C" w:rsidR="004A69EC" w:rsidP="00061670" w:rsidRDefault="004A69EC" w14:paraId="7BF5817A" w14:textId="3DCE1430">
            <w:pPr>
              <w:jc w:val="center"/>
              <w:cnfStyle w:val="000000000000" w:firstRow="0" w:lastRow="0" w:firstColumn="0" w:lastColumn="0" w:oddVBand="0" w:evenVBand="0" w:oddHBand="0" w:evenHBand="0" w:firstRowFirstColumn="0" w:firstRowLastColumn="0" w:lastRowFirstColumn="0" w:lastRowLastColumn="0"/>
              <w:rPr>
                <w:b/>
                <w:bCs/>
              </w:rPr>
            </w:pPr>
          </w:p>
        </w:tc>
        <w:tc>
          <w:tcPr>
            <w:tcW w:w="957" w:type="dxa"/>
            <w:shd w:val="clear" w:color="auto" w:fill="FFFFFF"/>
          </w:tcPr>
          <w:p w:rsidRPr="003E4E4C" w:rsidR="004A69EC" w:rsidP="00061670" w:rsidRDefault="004A69EC" w14:paraId="14751BC9" w14:textId="6C44E527">
            <w:pPr>
              <w:jc w:val="center"/>
              <w:cnfStyle w:val="000000000000" w:firstRow="0" w:lastRow="0" w:firstColumn="0" w:lastColumn="0" w:oddVBand="0" w:evenVBand="0" w:oddHBand="0" w:evenHBand="0" w:firstRowFirstColumn="0" w:firstRowLastColumn="0" w:lastRowFirstColumn="0" w:lastRowLastColumn="0"/>
              <w:rPr>
                <w:b/>
                <w:bCs/>
              </w:rPr>
            </w:pPr>
          </w:p>
        </w:tc>
        <w:tc>
          <w:tcPr>
            <w:tcW w:w="957" w:type="dxa"/>
            <w:shd w:val="clear" w:color="auto" w:fill="FFFFFF"/>
          </w:tcPr>
          <w:p w:rsidRPr="003E4E4C" w:rsidR="004A69EC" w:rsidP="00061670" w:rsidRDefault="00CA283F" w14:paraId="6BB7A83D" w14:textId="4668094D">
            <w:pPr>
              <w:jc w:val="center"/>
              <w:cnfStyle w:val="000000000000" w:firstRow="0" w:lastRow="0" w:firstColumn="0" w:lastColumn="0" w:oddVBand="0" w:evenVBand="0" w:oddHBand="0" w:evenHBand="0" w:firstRowFirstColumn="0" w:firstRowLastColumn="0" w:lastRowFirstColumn="0" w:lastRowLastColumn="0"/>
              <w:rPr>
                <w:b/>
                <w:bCs/>
              </w:rPr>
            </w:pPr>
            <w:r>
              <w:rPr>
                <w:b/>
                <w:bCs/>
              </w:rPr>
              <w:t>0</w:t>
            </w:r>
          </w:p>
        </w:tc>
        <w:tc>
          <w:tcPr>
            <w:tcW w:w="957" w:type="dxa"/>
            <w:shd w:val="clear" w:color="auto" w:fill="FFFFFF"/>
          </w:tcPr>
          <w:p w:rsidRPr="003E4E4C" w:rsidR="004A69EC" w:rsidP="00061670" w:rsidRDefault="00CA283F" w14:paraId="7FBE0B2A" w14:textId="49670415">
            <w:pPr>
              <w:jc w:val="center"/>
              <w:cnfStyle w:val="000000000000" w:firstRow="0" w:lastRow="0" w:firstColumn="0" w:lastColumn="0" w:oddVBand="0" w:evenVBand="0" w:oddHBand="0" w:evenHBand="0" w:firstRowFirstColumn="0" w:firstRowLastColumn="0" w:lastRowFirstColumn="0" w:lastRowLastColumn="0"/>
              <w:rPr>
                <w:b/>
                <w:bCs/>
              </w:rPr>
            </w:pPr>
            <w:r>
              <w:rPr>
                <w:b/>
                <w:bCs/>
              </w:rPr>
              <w:t>8</w:t>
            </w:r>
          </w:p>
        </w:tc>
        <w:tc>
          <w:tcPr>
            <w:tcW w:w="957" w:type="dxa"/>
            <w:shd w:val="clear" w:color="auto" w:fill="FFFFFF"/>
          </w:tcPr>
          <w:p w:rsidRPr="003E4E4C" w:rsidR="004A69EC" w:rsidP="00061670" w:rsidRDefault="003B53D1" w14:paraId="38BF56C0" w14:textId="58D4110D">
            <w:pPr>
              <w:jc w:val="center"/>
              <w:cnfStyle w:val="000000000000" w:firstRow="0" w:lastRow="0" w:firstColumn="0" w:lastColumn="0" w:oddVBand="0" w:evenVBand="0" w:oddHBand="0" w:evenHBand="0" w:firstRowFirstColumn="0" w:firstRowLastColumn="0" w:lastRowFirstColumn="0" w:lastRowLastColumn="0"/>
              <w:rPr>
                <w:b/>
                <w:bCs/>
              </w:rPr>
            </w:pPr>
            <w:r>
              <w:rPr>
                <w:b/>
                <w:bCs/>
              </w:rPr>
              <w:t>5</w:t>
            </w:r>
          </w:p>
        </w:tc>
        <w:tc>
          <w:tcPr>
            <w:tcW w:w="957" w:type="dxa"/>
            <w:shd w:val="clear" w:color="auto" w:fill="FFFFFF"/>
          </w:tcPr>
          <w:p w:rsidRPr="003E4E4C" w:rsidR="004A69EC" w:rsidP="00061670" w:rsidRDefault="007C0E09" w14:paraId="1F6FCD68" w14:textId="5EFCC376">
            <w:pPr>
              <w:jc w:val="center"/>
              <w:cnfStyle w:val="000000000000" w:firstRow="0" w:lastRow="0" w:firstColumn="0" w:lastColumn="0" w:oddVBand="0" w:evenVBand="0" w:oddHBand="0" w:evenHBand="0" w:firstRowFirstColumn="0" w:firstRowLastColumn="0" w:lastRowFirstColumn="0" w:lastRowLastColumn="0"/>
              <w:rPr>
                <w:b/>
                <w:bCs/>
              </w:rPr>
            </w:pPr>
            <w:r>
              <w:rPr>
                <w:b/>
                <w:bCs/>
              </w:rPr>
              <w:t>-13</w:t>
            </w:r>
          </w:p>
        </w:tc>
        <w:tc>
          <w:tcPr>
            <w:tcW w:w="957" w:type="dxa"/>
            <w:gridSpan w:val="2"/>
            <w:shd w:val="clear" w:color="auto" w:fill="FFFFFF"/>
          </w:tcPr>
          <w:p w:rsidRPr="003E4E4C" w:rsidR="004A69EC" w:rsidP="00061670" w:rsidRDefault="003B53D1" w14:paraId="1F27D777" w14:textId="118FEB2D">
            <w:pPr>
              <w:jc w:val="center"/>
              <w:cnfStyle w:val="000000000000" w:firstRow="0" w:lastRow="0" w:firstColumn="0" w:lastColumn="0" w:oddVBand="0" w:evenVBand="0" w:oddHBand="0" w:evenHBand="0" w:firstRowFirstColumn="0" w:firstRowLastColumn="0" w:lastRowFirstColumn="0" w:lastRowLastColumn="0"/>
              <w:rPr>
                <w:b/>
                <w:bCs/>
              </w:rPr>
            </w:pPr>
            <w:r>
              <w:rPr>
                <w:b/>
                <w:bCs/>
              </w:rPr>
              <w:t>0</w:t>
            </w:r>
          </w:p>
        </w:tc>
      </w:tr>
    </w:tbl>
    <w:p w:rsidR="00F70261" w:rsidP="005B38EB" w:rsidRDefault="00F70261" w14:paraId="407F4299" w14:textId="77777777"/>
    <w:sectPr w:rsidR="00F70261" w:rsidSect="00ED18E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D6E4E" w14:textId="77777777" w:rsidR="005C3B80" w:rsidRDefault="005C3B80" w:rsidP="009F553A">
      <w:pPr>
        <w:spacing w:after="0" w:line="240" w:lineRule="auto"/>
      </w:pPr>
      <w:r>
        <w:separator/>
      </w:r>
    </w:p>
  </w:endnote>
  <w:endnote w:type="continuationSeparator" w:id="0">
    <w:p w14:paraId="280120A2" w14:textId="77777777" w:rsidR="005C3B80" w:rsidRDefault="005C3B80" w:rsidP="009F5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A0FE0" w14:textId="77777777" w:rsidR="005C3B80" w:rsidRDefault="005C3B80" w:rsidP="009F553A">
      <w:pPr>
        <w:spacing w:after="0" w:line="240" w:lineRule="auto"/>
      </w:pPr>
      <w:r>
        <w:separator/>
      </w:r>
    </w:p>
  </w:footnote>
  <w:footnote w:type="continuationSeparator" w:id="0">
    <w:p w14:paraId="73DD5D8A" w14:textId="77777777" w:rsidR="005C3B80" w:rsidRDefault="005C3B80" w:rsidP="009F5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6F7F"/>
    <w:multiLevelType w:val="hybridMultilevel"/>
    <w:tmpl w:val="5D8062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752972"/>
    <w:multiLevelType w:val="hybridMultilevel"/>
    <w:tmpl w:val="75FEF4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B945BB"/>
    <w:multiLevelType w:val="hybridMultilevel"/>
    <w:tmpl w:val="088A14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3E5F24"/>
    <w:multiLevelType w:val="hybridMultilevel"/>
    <w:tmpl w:val="7A965C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1C7219"/>
    <w:multiLevelType w:val="hybridMultilevel"/>
    <w:tmpl w:val="D1F68A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B84419"/>
    <w:multiLevelType w:val="hybridMultilevel"/>
    <w:tmpl w:val="65746854"/>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num w:numId="1" w16cid:durableId="1051885434">
    <w:abstractNumId w:val="2"/>
  </w:num>
  <w:num w:numId="2" w16cid:durableId="403340833">
    <w:abstractNumId w:val="1"/>
  </w:num>
  <w:num w:numId="3" w16cid:durableId="955140160">
    <w:abstractNumId w:val="0"/>
  </w:num>
  <w:num w:numId="4" w16cid:durableId="2043550172">
    <w:abstractNumId w:val="5"/>
  </w:num>
  <w:num w:numId="5" w16cid:durableId="1059204060">
    <w:abstractNumId w:val="3"/>
  </w:num>
  <w:num w:numId="6" w16cid:durableId="965887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61"/>
    <w:rsid w:val="00001C64"/>
    <w:rsid w:val="000162E4"/>
    <w:rsid w:val="00017D31"/>
    <w:rsid w:val="000463DF"/>
    <w:rsid w:val="000574D4"/>
    <w:rsid w:val="000648AA"/>
    <w:rsid w:val="00083FC9"/>
    <w:rsid w:val="000854CB"/>
    <w:rsid w:val="00086CC5"/>
    <w:rsid w:val="00087128"/>
    <w:rsid w:val="000A26F1"/>
    <w:rsid w:val="000B7566"/>
    <w:rsid w:val="000C0CBA"/>
    <w:rsid w:val="000C6DAF"/>
    <w:rsid w:val="000E015C"/>
    <w:rsid w:val="000F143C"/>
    <w:rsid w:val="000F40FC"/>
    <w:rsid w:val="00113901"/>
    <w:rsid w:val="0013037A"/>
    <w:rsid w:val="00131F7D"/>
    <w:rsid w:val="00142F8A"/>
    <w:rsid w:val="00144448"/>
    <w:rsid w:val="0015579D"/>
    <w:rsid w:val="0016402A"/>
    <w:rsid w:val="0016482A"/>
    <w:rsid w:val="00164F69"/>
    <w:rsid w:val="001A33B1"/>
    <w:rsid w:val="001A3717"/>
    <w:rsid w:val="001A7203"/>
    <w:rsid w:val="001C2F35"/>
    <w:rsid w:val="001D0C72"/>
    <w:rsid w:val="001D189C"/>
    <w:rsid w:val="001D1B22"/>
    <w:rsid w:val="001E6A24"/>
    <w:rsid w:val="00204E57"/>
    <w:rsid w:val="0022142D"/>
    <w:rsid w:val="002564C1"/>
    <w:rsid w:val="002569CA"/>
    <w:rsid w:val="002749CA"/>
    <w:rsid w:val="002910F2"/>
    <w:rsid w:val="002A221C"/>
    <w:rsid w:val="002A769E"/>
    <w:rsid w:val="002C2554"/>
    <w:rsid w:val="002C40B5"/>
    <w:rsid w:val="002C62E4"/>
    <w:rsid w:val="002D0FA2"/>
    <w:rsid w:val="002E1D80"/>
    <w:rsid w:val="002E1DF6"/>
    <w:rsid w:val="002E57AE"/>
    <w:rsid w:val="002F1D44"/>
    <w:rsid w:val="00305685"/>
    <w:rsid w:val="0032238A"/>
    <w:rsid w:val="00324766"/>
    <w:rsid w:val="003252DC"/>
    <w:rsid w:val="00330127"/>
    <w:rsid w:val="0035073B"/>
    <w:rsid w:val="00354155"/>
    <w:rsid w:val="003802B7"/>
    <w:rsid w:val="003A0EA3"/>
    <w:rsid w:val="003A11B7"/>
    <w:rsid w:val="003A6039"/>
    <w:rsid w:val="003A798D"/>
    <w:rsid w:val="003B53D1"/>
    <w:rsid w:val="003D31A0"/>
    <w:rsid w:val="003E4E4C"/>
    <w:rsid w:val="003E6BA1"/>
    <w:rsid w:val="00412448"/>
    <w:rsid w:val="004348BB"/>
    <w:rsid w:val="00440F63"/>
    <w:rsid w:val="0044468D"/>
    <w:rsid w:val="00452CC8"/>
    <w:rsid w:val="0045662A"/>
    <w:rsid w:val="004662B0"/>
    <w:rsid w:val="00477022"/>
    <w:rsid w:val="004A464E"/>
    <w:rsid w:val="004A4765"/>
    <w:rsid w:val="004A61B7"/>
    <w:rsid w:val="004A69EC"/>
    <w:rsid w:val="004B3D3B"/>
    <w:rsid w:val="004B400A"/>
    <w:rsid w:val="004C182D"/>
    <w:rsid w:val="004C67D6"/>
    <w:rsid w:val="004D0BF5"/>
    <w:rsid w:val="004E0B2E"/>
    <w:rsid w:val="004E1866"/>
    <w:rsid w:val="004F0A8E"/>
    <w:rsid w:val="005123E0"/>
    <w:rsid w:val="00522AF6"/>
    <w:rsid w:val="00544A78"/>
    <w:rsid w:val="00551CBB"/>
    <w:rsid w:val="0056353B"/>
    <w:rsid w:val="005A1919"/>
    <w:rsid w:val="005A7B7F"/>
    <w:rsid w:val="005B38EB"/>
    <w:rsid w:val="005B4543"/>
    <w:rsid w:val="005B5E22"/>
    <w:rsid w:val="005B612F"/>
    <w:rsid w:val="005C3B80"/>
    <w:rsid w:val="005C3BF1"/>
    <w:rsid w:val="005D5B53"/>
    <w:rsid w:val="005D7206"/>
    <w:rsid w:val="005D7E13"/>
    <w:rsid w:val="005F786F"/>
    <w:rsid w:val="00611548"/>
    <w:rsid w:val="006420A7"/>
    <w:rsid w:val="00671F10"/>
    <w:rsid w:val="006B6AD7"/>
    <w:rsid w:val="007051C3"/>
    <w:rsid w:val="00713E9D"/>
    <w:rsid w:val="007242B9"/>
    <w:rsid w:val="007255BC"/>
    <w:rsid w:val="00727A0A"/>
    <w:rsid w:val="007437B4"/>
    <w:rsid w:val="007463DF"/>
    <w:rsid w:val="00747D28"/>
    <w:rsid w:val="00751753"/>
    <w:rsid w:val="00754A36"/>
    <w:rsid w:val="00760E1A"/>
    <w:rsid w:val="00765396"/>
    <w:rsid w:val="0077453C"/>
    <w:rsid w:val="00780F11"/>
    <w:rsid w:val="00796469"/>
    <w:rsid w:val="00797EC3"/>
    <w:rsid w:val="00797F0F"/>
    <w:rsid w:val="007A0AD5"/>
    <w:rsid w:val="007A2FC3"/>
    <w:rsid w:val="007A7D81"/>
    <w:rsid w:val="007B7864"/>
    <w:rsid w:val="007C0E09"/>
    <w:rsid w:val="007C62C9"/>
    <w:rsid w:val="007E3B1E"/>
    <w:rsid w:val="007E7EB7"/>
    <w:rsid w:val="007F3534"/>
    <w:rsid w:val="00814E8E"/>
    <w:rsid w:val="008223B1"/>
    <w:rsid w:val="008325D8"/>
    <w:rsid w:val="00836935"/>
    <w:rsid w:val="00852340"/>
    <w:rsid w:val="00853238"/>
    <w:rsid w:val="00856D0C"/>
    <w:rsid w:val="00873469"/>
    <w:rsid w:val="008925F5"/>
    <w:rsid w:val="0089529A"/>
    <w:rsid w:val="008C3814"/>
    <w:rsid w:val="008C4707"/>
    <w:rsid w:val="008C73AA"/>
    <w:rsid w:val="009040EE"/>
    <w:rsid w:val="0091032D"/>
    <w:rsid w:val="009120AF"/>
    <w:rsid w:val="009241F5"/>
    <w:rsid w:val="00963496"/>
    <w:rsid w:val="0096349F"/>
    <w:rsid w:val="00967009"/>
    <w:rsid w:val="009703AF"/>
    <w:rsid w:val="00985AA2"/>
    <w:rsid w:val="009A1FD4"/>
    <w:rsid w:val="009A395B"/>
    <w:rsid w:val="009B6F10"/>
    <w:rsid w:val="009C1631"/>
    <w:rsid w:val="009C47EA"/>
    <w:rsid w:val="009E26C0"/>
    <w:rsid w:val="009E4122"/>
    <w:rsid w:val="009E7E73"/>
    <w:rsid w:val="009F097A"/>
    <w:rsid w:val="009F4BA1"/>
    <w:rsid w:val="009F553A"/>
    <w:rsid w:val="00A00972"/>
    <w:rsid w:val="00A0730A"/>
    <w:rsid w:val="00A20582"/>
    <w:rsid w:val="00A20B36"/>
    <w:rsid w:val="00A446D8"/>
    <w:rsid w:val="00A51FDB"/>
    <w:rsid w:val="00A52ABD"/>
    <w:rsid w:val="00A52F20"/>
    <w:rsid w:val="00A54C35"/>
    <w:rsid w:val="00A56273"/>
    <w:rsid w:val="00A62E85"/>
    <w:rsid w:val="00A6510C"/>
    <w:rsid w:val="00A66770"/>
    <w:rsid w:val="00A72C44"/>
    <w:rsid w:val="00A73708"/>
    <w:rsid w:val="00A97224"/>
    <w:rsid w:val="00AA098F"/>
    <w:rsid w:val="00AA5CF7"/>
    <w:rsid w:val="00AB0897"/>
    <w:rsid w:val="00AC4E57"/>
    <w:rsid w:val="00AE19F6"/>
    <w:rsid w:val="00AE2980"/>
    <w:rsid w:val="00AE7D91"/>
    <w:rsid w:val="00AF6378"/>
    <w:rsid w:val="00B06701"/>
    <w:rsid w:val="00B3306A"/>
    <w:rsid w:val="00B330DA"/>
    <w:rsid w:val="00B40A86"/>
    <w:rsid w:val="00B50854"/>
    <w:rsid w:val="00B62056"/>
    <w:rsid w:val="00B6291D"/>
    <w:rsid w:val="00B7594E"/>
    <w:rsid w:val="00B85C1A"/>
    <w:rsid w:val="00B94035"/>
    <w:rsid w:val="00BA2EE2"/>
    <w:rsid w:val="00BB08EC"/>
    <w:rsid w:val="00BB1D94"/>
    <w:rsid w:val="00BB3CCC"/>
    <w:rsid w:val="00BB4F25"/>
    <w:rsid w:val="00BB657C"/>
    <w:rsid w:val="00BD55E1"/>
    <w:rsid w:val="00BF6560"/>
    <w:rsid w:val="00C0772A"/>
    <w:rsid w:val="00C232A1"/>
    <w:rsid w:val="00C2618D"/>
    <w:rsid w:val="00C34E49"/>
    <w:rsid w:val="00C416AB"/>
    <w:rsid w:val="00C42737"/>
    <w:rsid w:val="00C71027"/>
    <w:rsid w:val="00C742AA"/>
    <w:rsid w:val="00C764C6"/>
    <w:rsid w:val="00C974D9"/>
    <w:rsid w:val="00CA283F"/>
    <w:rsid w:val="00CC0FAA"/>
    <w:rsid w:val="00CC6969"/>
    <w:rsid w:val="00CD0ACA"/>
    <w:rsid w:val="00CF2CC0"/>
    <w:rsid w:val="00D0533E"/>
    <w:rsid w:val="00D17FB8"/>
    <w:rsid w:val="00D45078"/>
    <w:rsid w:val="00D4532F"/>
    <w:rsid w:val="00D5485E"/>
    <w:rsid w:val="00D651E8"/>
    <w:rsid w:val="00D74977"/>
    <w:rsid w:val="00D76D79"/>
    <w:rsid w:val="00DA5A03"/>
    <w:rsid w:val="00DB06C5"/>
    <w:rsid w:val="00DB0B07"/>
    <w:rsid w:val="00DB3570"/>
    <w:rsid w:val="00DB4841"/>
    <w:rsid w:val="00DF32B5"/>
    <w:rsid w:val="00E32EDE"/>
    <w:rsid w:val="00E36AA1"/>
    <w:rsid w:val="00E44C58"/>
    <w:rsid w:val="00E625E5"/>
    <w:rsid w:val="00E84206"/>
    <w:rsid w:val="00EA7244"/>
    <w:rsid w:val="00EB5FC0"/>
    <w:rsid w:val="00EB7512"/>
    <w:rsid w:val="00ED18E7"/>
    <w:rsid w:val="00ED53F4"/>
    <w:rsid w:val="00EF1758"/>
    <w:rsid w:val="00EF4A9E"/>
    <w:rsid w:val="00F14A54"/>
    <w:rsid w:val="00F165E7"/>
    <w:rsid w:val="00F246AE"/>
    <w:rsid w:val="00F246E4"/>
    <w:rsid w:val="00F32DE7"/>
    <w:rsid w:val="00F46520"/>
    <w:rsid w:val="00F51EBD"/>
    <w:rsid w:val="00F557DB"/>
    <w:rsid w:val="00F56855"/>
    <w:rsid w:val="00F61E20"/>
    <w:rsid w:val="00F66123"/>
    <w:rsid w:val="00F70261"/>
    <w:rsid w:val="00F934A1"/>
    <w:rsid w:val="00FA46DE"/>
    <w:rsid w:val="00FD1DE7"/>
    <w:rsid w:val="00FF1913"/>
    <w:rsid w:val="23BDB6FD"/>
    <w:rsid w:val="60CD5AF9"/>
    <w:rsid w:val="78265E22"/>
    <w:rsid w:val="7EFEC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894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F7026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F7026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F7026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F7026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F70261"/>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F70261"/>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70261"/>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70261"/>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70261"/>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0261"/>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F70261"/>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F70261"/>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F70261"/>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F70261"/>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F70261"/>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F70261"/>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F70261"/>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F70261"/>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F70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0261"/>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F7026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0261"/>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F702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0261"/>
    <w:rPr>
      <w:i/>
      <w:iCs/>
      <w:color w:val="404040" w:themeColor="text1" w:themeTint="BF"/>
      <w:lang w:val="nl-NL"/>
    </w:rPr>
  </w:style>
  <w:style w:type="paragraph" w:styleId="Lijstalinea">
    <w:name w:val="List Paragraph"/>
    <w:basedOn w:val="Standaard"/>
    <w:uiPriority w:val="34"/>
    <w:qFormat/>
    <w:rsid w:val="00F70261"/>
    <w:pPr>
      <w:ind w:left="720"/>
      <w:contextualSpacing/>
    </w:pPr>
  </w:style>
  <w:style w:type="character" w:styleId="Intensievebenadrukking">
    <w:name w:val="Intense Emphasis"/>
    <w:basedOn w:val="Standaardalinea-lettertype"/>
    <w:uiPriority w:val="21"/>
    <w:qFormat/>
    <w:rsid w:val="00F70261"/>
    <w:rPr>
      <w:i/>
      <w:iCs/>
      <w:color w:val="2E74B5" w:themeColor="accent1" w:themeShade="BF"/>
    </w:rPr>
  </w:style>
  <w:style w:type="paragraph" w:styleId="Duidelijkcitaat">
    <w:name w:val="Intense Quote"/>
    <w:basedOn w:val="Standaard"/>
    <w:next w:val="Standaard"/>
    <w:link w:val="DuidelijkcitaatChar"/>
    <w:uiPriority w:val="30"/>
    <w:qFormat/>
    <w:rsid w:val="00F702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F70261"/>
    <w:rPr>
      <w:i/>
      <w:iCs/>
      <w:color w:val="2E74B5" w:themeColor="accent1" w:themeShade="BF"/>
      <w:lang w:val="nl-NL"/>
    </w:rPr>
  </w:style>
  <w:style w:type="character" w:styleId="Intensieveverwijzing">
    <w:name w:val="Intense Reference"/>
    <w:basedOn w:val="Standaardalinea-lettertype"/>
    <w:uiPriority w:val="32"/>
    <w:qFormat/>
    <w:rsid w:val="00F70261"/>
    <w:rPr>
      <w:b/>
      <w:bCs/>
      <w:smallCaps/>
      <w:color w:val="2E74B5" w:themeColor="accent1" w:themeShade="BF"/>
      <w:spacing w:val="5"/>
    </w:rPr>
  </w:style>
  <w:style w:type="table" w:styleId="Tabelraster">
    <w:name w:val="Table Grid"/>
    <w:basedOn w:val="Standaardtabel"/>
    <w:uiPriority w:val="39"/>
    <w:rsid w:val="00F70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F55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553A"/>
    <w:rPr>
      <w:lang w:val="nl-NL"/>
    </w:rPr>
  </w:style>
  <w:style w:type="paragraph" w:styleId="Voettekst">
    <w:name w:val="footer"/>
    <w:basedOn w:val="Standaard"/>
    <w:link w:val="VoettekstChar"/>
    <w:uiPriority w:val="99"/>
    <w:unhideWhenUsed/>
    <w:rsid w:val="009F55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553A"/>
    <w:rPr>
      <w:lang w:val="nl-NL"/>
    </w:rPr>
  </w:style>
  <w:style w:type="character" w:styleId="Verwijzingopmerking">
    <w:name w:val="annotation reference"/>
    <w:basedOn w:val="Standaardalinea-lettertype"/>
    <w:uiPriority w:val="99"/>
    <w:semiHidden/>
    <w:unhideWhenUsed/>
    <w:rsid w:val="0015579D"/>
    <w:rPr>
      <w:sz w:val="16"/>
      <w:szCs w:val="16"/>
    </w:rPr>
  </w:style>
  <w:style w:type="paragraph" w:styleId="Tekstopmerking">
    <w:name w:val="annotation text"/>
    <w:basedOn w:val="Standaard"/>
    <w:link w:val="TekstopmerkingChar"/>
    <w:uiPriority w:val="99"/>
    <w:unhideWhenUsed/>
    <w:rsid w:val="0015579D"/>
    <w:pPr>
      <w:spacing w:line="240" w:lineRule="auto"/>
    </w:pPr>
    <w:rPr>
      <w:sz w:val="20"/>
      <w:szCs w:val="20"/>
    </w:rPr>
  </w:style>
  <w:style w:type="character" w:customStyle="1" w:styleId="TekstopmerkingChar">
    <w:name w:val="Tekst opmerking Char"/>
    <w:basedOn w:val="Standaardalinea-lettertype"/>
    <w:link w:val="Tekstopmerking"/>
    <w:uiPriority w:val="99"/>
    <w:rsid w:val="0015579D"/>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15579D"/>
    <w:rPr>
      <w:b/>
      <w:bCs/>
    </w:rPr>
  </w:style>
  <w:style w:type="character" w:customStyle="1" w:styleId="OnderwerpvanopmerkingChar">
    <w:name w:val="Onderwerp van opmerking Char"/>
    <w:basedOn w:val="TekstopmerkingChar"/>
    <w:link w:val="Onderwerpvanopmerking"/>
    <w:uiPriority w:val="99"/>
    <w:semiHidden/>
    <w:rsid w:val="0015579D"/>
    <w:rPr>
      <w:b/>
      <w:bCs/>
      <w:sz w:val="20"/>
      <w:szCs w:val="20"/>
      <w:lang w:val="nl-NL"/>
    </w:rPr>
  </w:style>
  <w:style w:type="table" w:styleId="Rastertabel4-Accent5">
    <w:name w:val="Grid Table 4 Accent 5"/>
    <w:basedOn w:val="Standaardtabel"/>
    <w:uiPriority w:val="49"/>
    <w:rsid w:val="00ED18E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Geenafstand">
    <w:name w:val="No Spacing"/>
    <w:uiPriority w:val="1"/>
    <w:qFormat/>
    <w:rsid w:val="00ED18E7"/>
    <w:pPr>
      <w:spacing w:after="0" w:line="240" w:lineRule="auto"/>
    </w:pPr>
    <w:rPr>
      <w:lang w:val="nl-NL"/>
    </w:rPr>
  </w:style>
  <w:style w:type="paragraph" w:styleId="Revisie">
    <w:name w:val="Revision"/>
    <w:hidden/>
    <w:uiPriority w:val="99"/>
    <w:semiHidden/>
    <w:rsid w:val="000A26F1"/>
    <w:pPr>
      <w:spacing w:after="0" w:line="240" w:lineRule="auto"/>
    </w:pPr>
    <w:rPr>
      <w:lang w:val="nl-NL"/>
    </w:rPr>
  </w:style>
  <w:style w:type="character" w:styleId="Voetnootmarkering">
    <w:name w:val="footnote reference"/>
    <w:basedOn w:val="Standaardalinea-lettertype"/>
    <w:uiPriority w:val="99"/>
    <w:semiHidden/>
    <w:unhideWhenUsed/>
    <w:rsid w:val="009F4BA1"/>
    <w:rPr>
      <w:vertAlign w:val="superscript"/>
    </w:rPr>
  </w:style>
  <w:style w:type="table" w:styleId="Lijsttabel3-Accent1">
    <w:name w:val="List Table 3 Accent 1"/>
    <w:basedOn w:val="Standaardtabel"/>
    <w:uiPriority w:val="48"/>
    <w:rsid w:val="00C2618D"/>
    <w:pPr>
      <w:spacing w:after="0" w:line="240" w:lineRule="auto"/>
    </w:pPr>
    <w:rPr>
      <w:rFonts w:asciiTheme="minorHAnsi" w:hAnsiTheme="minorHAnsi"/>
      <w:sz w:val="22"/>
      <w:lang w:val="nl-N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8</ap:Pages>
  <ap:Words>2200</ap:Words>
  <ap:Characters>12103</ap:Characters>
  <ap:DocSecurity>0</ap:DocSecurity>
  <ap:Lines>100</ap:Lines>
  <ap:Paragraphs>28</ap:Paragraphs>
  <ap:ScaleCrop>false</ap:ScaleCrop>
  <ap:LinksUpToDate>false</ap:LinksUpToDate>
  <ap:CharactersWithSpaces>14275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2025-06-02T14:54:00.0000000Z</dcterms:created>
  <dcterms:modified xsi:type="dcterms:W3CDTF">2025-06-02T14:54:00.0000000Z</dcterms:modified>
  <version/>
  <category/>
</coreProperties>
</file>