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362E" w:rsidR="00E3362E" w:rsidRDefault="00E3362E" w14:paraId="5104A649" w14:textId="3A6C210D">
      <w:pPr>
        <w:rPr>
          <w:b/>
          <w:bCs/>
        </w:rPr>
      </w:pPr>
      <w:r w:rsidRPr="00E3362E">
        <w:rPr>
          <w:b/>
          <w:bCs/>
        </w:rPr>
        <w:t>Stuk 32</w:t>
      </w:r>
    </w:p>
    <w:p w:rsidRPr="005412F6" w:rsidR="00B06701" w:rsidRDefault="005412F6" w14:paraId="45894001" w14:textId="7C89E434">
      <w:pPr>
        <w:rPr>
          <w:b/>
          <w:bCs/>
          <w:u w:val="single"/>
        </w:rPr>
      </w:pPr>
      <w:r w:rsidRPr="005412F6">
        <w:rPr>
          <w:b/>
          <w:bCs/>
          <w:u w:val="single"/>
        </w:rPr>
        <w:t xml:space="preserve">Voorstel pakket circulaire economie </w:t>
      </w:r>
    </w:p>
    <w:p w:rsidRPr="00A73565" w:rsidR="00806155" w:rsidP="006E1525" w:rsidRDefault="00A73565" w14:paraId="2A59D256" w14:textId="3EDD61A6">
      <w:pPr>
        <w:spacing w:line="269" w:lineRule="auto"/>
      </w:pPr>
      <w:r>
        <w:t xml:space="preserve">In een aantal BWO’s is gesproken over de invulling van het CE-pakket. Daarbij is op een aantal delen reeds overeenstemming gevonden. Wat nog resteert is de </w:t>
      </w:r>
      <w:r w:rsidRPr="00A73565">
        <w:t>invulling van de budgettaire opgave van de circulaire plastic heffing (547 mln.) en de CO2-reductieopgave bij afvalverbrandingsinstallaties</w:t>
      </w:r>
      <w:r>
        <w:t>.</w:t>
      </w:r>
    </w:p>
    <w:p w:rsidR="00C759F5" w:rsidP="006E1525" w:rsidRDefault="005412F6" w14:paraId="232230F4" w14:textId="0C7A8588">
      <w:pPr>
        <w:spacing w:line="269" w:lineRule="auto"/>
      </w:pPr>
      <w:r w:rsidRPr="005412F6">
        <w:rPr>
          <w:b/>
          <w:bCs/>
        </w:rPr>
        <w:t>Beslispunt:</w:t>
      </w:r>
      <w:r>
        <w:t xml:space="preserve"> </w:t>
      </w:r>
      <w:r w:rsidR="008A13E5">
        <w:t xml:space="preserve">Bent u akkoord met onderstaand pakket voor invulling van de budgettaire opgave van de circulaire plastic heffing (547 mln.) en </w:t>
      </w:r>
      <w:r w:rsidR="00192EF1">
        <w:t>de</w:t>
      </w:r>
      <w:r w:rsidR="008A13E5">
        <w:t xml:space="preserve"> CO2-reductie</w:t>
      </w:r>
      <w:r w:rsidR="00192EF1">
        <w:t>opgave</w:t>
      </w:r>
      <w:r w:rsidR="008A13E5">
        <w:t xml:space="preserve"> bij afvalverbrandingsinstallaties? Indien niet akkoord, welk alternatief wenst u? </w:t>
      </w:r>
    </w:p>
    <w:p w:rsidRPr="008A13E5" w:rsidR="008A13E5" w:rsidP="006E1525" w:rsidRDefault="008A13E5" w14:paraId="740FC8E2" w14:textId="77777777">
      <w:pPr>
        <w:pStyle w:val="Geenafstand"/>
        <w:spacing w:line="269" w:lineRule="auto"/>
        <w:rPr>
          <w:b/>
          <w:bCs/>
        </w:rPr>
      </w:pPr>
    </w:p>
    <w:p w:rsidRPr="005412F6" w:rsidR="005412F6" w:rsidP="006E1525" w:rsidRDefault="005412F6" w14:paraId="7571C1F3" w14:textId="7E9C9B11">
      <w:pPr>
        <w:pStyle w:val="Geenafstand"/>
        <w:spacing w:line="269" w:lineRule="auto"/>
        <w:rPr>
          <w:b/>
          <w:bCs/>
        </w:rPr>
      </w:pPr>
      <w:r w:rsidRPr="005412F6">
        <w:rPr>
          <w:b/>
          <w:bCs/>
        </w:rPr>
        <w:t>Toelichting</w:t>
      </w:r>
      <w:r w:rsidR="007D7B3E">
        <w:rPr>
          <w:b/>
          <w:bCs/>
        </w:rPr>
        <w:t xml:space="preserve"> voorgesteld pakket</w:t>
      </w:r>
    </w:p>
    <w:p w:rsidRPr="007D7B3E" w:rsidR="007D7B3E" w:rsidP="006E1525" w:rsidRDefault="007D7B3E" w14:paraId="1E16CD29" w14:textId="1F5CC97A">
      <w:pPr>
        <w:pStyle w:val="Geenafstand"/>
        <w:numPr>
          <w:ilvl w:val="0"/>
          <w:numId w:val="4"/>
        </w:numPr>
        <w:spacing w:line="269" w:lineRule="auto"/>
        <w:rPr>
          <w:b/>
          <w:bCs/>
        </w:rPr>
      </w:pPr>
      <w:r>
        <w:t>De afspraak in het HLA om per 2028 een circulaire plastic heffing in te voeren, wordt terug gedraaid.</w:t>
      </w:r>
      <w:r w:rsidR="0004699A">
        <w:t xml:space="preserve"> Door dit bij VJN aan te kondigen, wordt ook duidelijkheid aan de industrie gegeven. </w:t>
      </w:r>
      <w:r>
        <w:t>Dit leidt tot een budgettaire derving van 547 mln. Deze budgettaire derving wordt gedekt via:</w:t>
      </w:r>
      <w:r>
        <w:tab/>
      </w:r>
    </w:p>
    <w:p w:rsidRPr="007D7B3E" w:rsidR="007D7B3E" w:rsidP="006E1525" w:rsidRDefault="007D7B3E" w14:paraId="6C79DF27" w14:textId="452BA359">
      <w:pPr>
        <w:pStyle w:val="Geenafstand"/>
        <w:numPr>
          <w:ilvl w:val="1"/>
          <w:numId w:val="4"/>
        </w:numPr>
        <w:spacing w:line="269" w:lineRule="auto"/>
        <w:rPr>
          <w:b/>
          <w:bCs/>
        </w:rPr>
      </w:pPr>
      <w:r>
        <w:t>Hervorming afvalstoffenbelasting: hierbij wordt gekeken naar afschaffen vrijstellingen en aanpassing tarieven voor stort;</w:t>
      </w:r>
    </w:p>
    <w:p w:rsidRPr="007D7B3E" w:rsidR="007D7B3E" w:rsidP="006E1525" w:rsidRDefault="007D7B3E" w14:paraId="62341402" w14:textId="3B98DB24">
      <w:pPr>
        <w:pStyle w:val="Geenafstand"/>
        <w:numPr>
          <w:ilvl w:val="1"/>
          <w:numId w:val="4"/>
        </w:numPr>
        <w:spacing w:line="269" w:lineRule="auto"/>
        <w:rPr>
          <w:b/>
          <w:bCs/>
        </w:rPr>
      </w:pPr>
      <w:r>
        <w:t>Terugdraaien terugsluis budgettaire opbrengst CO2-heffing voor afvalverbrandingsinstallaties naar Klimaatfonds, in combinatie met aanscherping van de heffing (zie hieronder);</w:t>
      </w:r>
    </w:p>
    <w:p w:rsidRPr="007D7B3E" w:rsidR="007D7B3E" w:rsidP="006E1525" w:rsidRDefault="007D7B3E" w14:paraId="7A005846" w14:textId="426BE98D">
      <w:pPr>
        <w:pStyle w:val="Geenafstand"/>
        <w:numPr>
          <w:ilvl w:val="1"/>
          <w:numId w:val="4"/>
        </w:numPr>
        <w:spacing w:line="269" w:lineRule="auto"/>
        <w:rPr>
          <w:b/>
          <w:bCs/>
        </w:rPr>
      </w:pPr>
      <w:r>
        <w:t>Generieke verhoging van de tarieven van de afvalstoffenbelasting.</w:t>
      </w:r>
    </w:p>
    <w:p w:rsidRPr="008A13E5" w:rsidR="007D7B3E" w:rsidP="006E1525" w:rsidRDefault="007D7B3E" w14:paraId="2EC60CE8" w14:textId="1F164E6A">
      <w:pPr>
        <w:pStyle w:val="Geenafstand"/>
        <w:numPr>
          <w:ilvl w:val="0"/>
          <w:numId w:val="4"/>
        </w:numPr>
        <w:spacing w:line="269" w:lineRule="auto"/>
        <w:rPr>
          <w:b/>
          <w:bCs/>
        </w:rPr>
      </w:pPr>
      <w:r>
        <w:t xml:space="preserve">Aanscherping CO2-heffing voor alleen afvalverbrandingsinstallaties: tarief naar 295 euro/ton CO2 in 2030, vrijgestelde uitstoot vanaf 2030 lineair afbouwen naar nul in 2033. Deze maatregel zorgt samen met de aanpassingen in de afvalstoffenbelasting voor een additionele CO2-reductie van 2 Mton in 2030. </w:t>
      </w:r>
    </w:p>
    <w:p w:rsidRPr="007D7B3E" w:rsidR="008A13E5" w:rsidP="006E1525" w:rsidRDefault="008A13E5" w14:paraId="70B2A47B" w14:textId="5AB18697">
      <w:pPr>
        <w:pStyle w:val="Geenafstand"/>
        <w:numPr>
          <w:ilvl w:val="0"/>
          <w:numId w:val="4"/>
        </w:numPr>
        <w:spacing w:line="269" w:lineRule="auto"/>
        <w:rPr>
          <w:b/>
          <w:bCs/>
        </w:rPr>
      </w:pPr>
      <w:r>
        <w:t>Voor overige delen</w:t>
      </w:r>
      <w:r w:rsidR="00DA4AEB">
        <w:t xml:space="preserve"> van het CE-pakket is</w:t>
      </w:r>
      <w:r>
        <w:t xml:space="preserve"> reeds overeenstemming.</w:t>
      </w:r>
    </w:p>
    <w:p w:rsidR="007D7B3E" w:rsidP="006E1525" w:rsidRDefault="007D7B3E" w14:paraId="2889AE09" w14:textId="77777777">
      <w:pPr>
        <w:pStyle w:val="Geenafstand"/>
        <w:spacing w:line="269" w:lineRule="auto"/>
      </w:pPr>
    </w:p>
    <w:p w:rsidR="007D7B3E" w:rsidP="006E1525" w:rsidRDefault="007D7B3E" w14:paraId="4AD56E47" w14:textId="3F0D1D48">
      <w:pPr>
        <w:pStyle w:val="Geenafstand"/>
        <w:spacing w:line="269" w:lineRule="auto"/>
        <w:rPr>
          <w:b/>
          <w:bCs/>
        </w:rPr>
      </w:pPr>
      <w:r w:rsidRPr="005412F6">
        <w:rPr>
          <w:b/>
          <w:bCs/>
        </w:rPr>
        <w:t>Toelichting</w:t>
      </w:r>
      <w:r>
        <w:rPr>
          <w:b/>
          <w:bCs/>
        </w:rPr>
        <w:t xml:space="preserve"> vervolgproces</w:t>
      </w:r>
    </w:p>
    <w:p w:rsidR="007D7B3E" w:rsidP="006E1525" w:rsidRDefault="007D7B3E" w14:paraId="4F073597" w14:textId="6B71C534">
      <w:pPr>
        <w:pStyle w:val="Geenafstand"/>
        <w:numPr>
          <w:ilvl w:val="0"/>
          <w:numId w:val="5"/>
        </w:numPr>
        <w:spacing w:line="269" w:lineRule="auto"/>
      </w:pPr>
      <w:r>
        <w:t xml:space="preserve">De fiscale maatregelen </w:t>
      </w:r>
      <w:r w:rsidR="0004699A">
        <w:t xml:space="preserve">(aanscherping CO2-heffing, verhogen en hervorming afvalstoffenbelasting) </w:t>
      </w:r>
      <w:r>
        <w:t>van dit pakket worden dit jaar opgenomen in het pakket Belastingplan 2026.</w:t>
      </w:r>
    </w:p>
    <w:p w:rsidRPr="006E1525" w:rsidR="006E1525" w:rsidP="006E1525" w:rsidRDefault="005412F6" w14:paraId="33142229" w14:textId="77777777">
      <w:pPr>
        <w:pStyle w:val="Geenafstand"/>
        <w:numPr>
          <w:ilvl w:val="0"/>
          <w:numId w:val="5"/>
        </w:numPr>
        <w:spacing w:line="269" w:lineRule="auto"/>
        <w:rPr>
          <w:szCs w:val="18"/>
        </w:rPr>
      </w:pPr>
      <w:r w:rsidRPr="006E1525">
        <w:rPr>
          <w:rFonts w:cstheme="minorHAnsi"/>
          <w:szCs w:val="18"/>
        </w:rPr>
        <w:t>Tegelijkertijd</w:t>
      </w:r>
      <w:r w:rsidRPr="006E1525" w:rsidR="007D7B3E">
        <w:rPr>
          <w:rFonts w:cstheme="minorHAnsi"/>
          <w:szCs w:val="18"/>
        </w:rPr>
        <w:t xml:space="preserve"> gaat het kabinet na de voorjaarsbesluitvorming via een plastic tafel nader in gesprek met stakeholders over hoe de transitie naar een circulaire economie kan worden versneld. </w:t>
      </w:r>
    </w:p>
    <w:p w:rsidRPr="005412F6" w:rsidR="00806155" w:rsidP="00806155" w:rsidRDefault="005412F6" w14:paraId="2D2B5C6B" w14:textId="7914B911">
      <w:pPr>
        <w:pStyle w:val="Geenafstand"/>
        <w:numPr>
          <w:ilvl w:val="0"/>
          <w:numId w:val="5"/>
        </w:numPr>
        <w:spacing w:line="269" w:lineRule="auto"/>
      </w:pPr>
      <w:r w:rsidRPr="00806155">
        <w:rPr>
          <w:rFonts w:cstheme="minorHAnsi"/>
          <w:szCs w:val="18"/>
        </w:rPr>
        <w:t>Indien hier uitvoerba</w:t>
      </w:r>
      <w:r w:rsidRPr="00806155" w:rsidR="007D7B3E">
        <w:rPr>
          <w:rFonts w:cstheme="minorHAnsi"/>
          <w:szCs w:val="18"/>
        </w:rPr>
        <w:t>re</w:t>
      </w:r>
      <w:r w:rsidRPr="00806155">
        <w:rPr>
          <w:rFonts w:cstheme="minorHAnsi"/>
          <w:szCs w:val="18"/>
        </w:rPr>
        <w:t xml:space="preserve"> en gedragen </w:t>
      </w:r>
      <w:r w:rsidRPr="00806155" w:rsidR="007D7B3E">
        <w:rPr>
          <w:rFonts w:cstheme="minorHAnsi"/>
          <w:szCs w:val="18"/>
        </w:rPr>
        <w:t xml:space="preserve">alternatieve </w:t>
      </w:r>
      <w:r w:rsidRPr="00806155" w:rsidR="006E1525">
        <w:rPr>
          <w:rFonts w:cstheme="minorHAnsi"/>
          <w:szCs w:val="18"/>
        </w:rPr>
        <w:t xml:space="preserve">normerende/beprijzende </w:t>
      </w:r>
      <w:r w:rsidRPr="00806155" w:rsidR="007D7B3E">
        <w:rPr>
          <w:rFonts w:cstheme="minorHAnsi"/>
          <w:szCs w:val="18"/>
        </w:rPr>
        <w:t xml:space="preserve">voorstellen uit voortkomen, dan </w:t>
      </w:r>
      <w:r w:rsidR="00DA4AEB">
        <w:rPr>
          <w:rFonts w:cstheme="minorHAnsi"/>
          <w:szCs w:val="18"/>
        </w:rPr>
        <w:t xml:space="preserve">kan het </w:t>
      </w:r>
      <w:r w:rsidRPr="00806155" w:rsidR="00954592">
        <w:rPr>
          <w:rFonts w:cstheme="minorHAnsi"/>
          <w:szCs w:val="18"/>
        </w:rPr>
        <w:t xml:space="preserve">pakket </w:t>
      </w:r>
      <w:r w:rsidR="006A5D20">
        <w:rPr>
          <w:rFonts w:cstheme="minorHAnsi"/>
          <w:szCs w:val="18"/>
        </w:rPr>
        <w:t xml:space="preserve">bij voorjaarsbesluitvorming 2026 </w:t>
      </w:r>
      <w:r w:rsidRPr="00806155" w:rsidR="00954592">
        <w:rPr>
          <w:rFonts w:cstheme="minorHAnsi"/>
          <w:szCs w:val="18"/>
        </w:rPr>
        <w:t>hierop worden aangepast. Randvoorwaardelijk is dat het CE-pakket leidt tot een budgettaire opbrengst van 547 mln. (</w:t>
      </w:r>
      <w:proofErr w:type="spellStart"/>
      <w:r w:rsidRPr="00806155" w:rsidR="00954592">
        <w:rPr>
          <w:rFonts w:cstheme="minorHAnsi"/>
          <w:szCs w:val="18"/>
        </w:rPr>
        <w:t>struc</w:t>
      </w:r>
      <w:proofErr w:type="spellEnd"/>
      <w:r w:rsidRPr="00806155" w:rsidR="00954592">
        <w:rPr>
          <w:rFonts w:cstheme="minorHAnsi"/>
          <w:szCs w:val="18"/>
        </w:rPr>
        <w:t>.) en tot een additionele CO2-reductie van 2 Mton in 2030.</w:t>
      </w:r>
    </w:p>
    <w:tbl>
      <w:tblPr>
        <w:tblStyle w:val="Tabelraster"/>
        <w:tblpPr w:leftFromText="141" w:rightFromText="141" w:vertAnchor="text" w:horzAnchor="margin" w:tblpY="226"/>
        <w:tblOverlap w:val="never"/>
        <w:tblW w:w="9288" w:type="dxa"/>
        <w:tblLook w:val="04A0" w:firstRow="1" w:lastRow="0" w:firstColumn="1" w:lastColumn="0" w:noHBand="0" w:noVBand="1"/>
      </w:tblPr>
      <w:tblGrid>
        <w:gridCol w:w="5081"/>
        <w:gridCol w:w="878"/>
        <w:gridCol w:w="791"/>
        <w:gridCol w:w="785"/>
        <w:gridCol w:w="785"/>
        <w:gridCol w:w="968"/>
      </w:tblGrid>
      <w:tr w:rsidRPr="004F1D5F" w:rsidR="007D7B3E" w:rsidTr="00806155" w14:paraId="31B16552" w14:textId="77777777">
        <w:trPr>
          <w:trHeight w:val="212"/>
        </w:trPr>
        <w:tc>
          <w:tcPr>
            <w:tcW w:w="9288" w:type="dxa"/>
            <w:gridSpan w:val="6"/>
            <w:shd w:val="clear" w:color="auto" w:fill="002060"/>
          </w:tcPr>
          <w:p w:rsidRPr="00806155" w:rsidR="007D7B3E" w:rsidP="00806155" w:rsidRDefault="007D7B3E" w14:paraId="35C7165B" w14:textId="0EA461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 xml:space="preserve">Tabel 1 – Budgettaire plaat CE-pakket in mln. euro </w:t>
            </w:r>
          </w:p>
        </w:tc>
      </w:tr>
      <w:tr w:rsidRPr="004F1D5F" w:rsidR="007D7B3E" w:rsidTr="00806155" w14:paraId="4EDB8639" w14:textId="77777777">
        <w:trPr>
          <w:trHeight w:val="354"/>
        </w:trPr>
        <w:tc>
          <w:tcPr>
            <w:tcW w:w="5081" w:type="dxa"/>
          </w:tcPr>
          <w:p w:rsidRPr="00806155" w:rsidR="007D7B3E" w:rsidP="00806155" w:rsidRDefault="007D7B3E" w14:paraId="7D88C078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8" w:type="dxa"/>
          </w:tcPr>
          <w:p w:rsidRPr="00806155" w:rsidR="007D7B3E" w:rsidP="00806155" w:rsidRDefault="007D7B3E" w14:paraId="024CB8F4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791" w:type="dxa"/>
          </w:tcPr>
          <w:p w:rsidRPr="00806155" w:rsidR="007D7B3E" w:rsidP="00806155" w:rsidRDefault="007D7B3E" w14:paraId="546017C5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785" w:type="dxa"/>
          </w:tcPr>
          <w:p w:rsidRPr="00806155" w:rsidR="007D7B3E" w:rsidP="00806155" w:rsidRDefault="007D7B3E" w14:paraId="057CC414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785" w:type="dxa"/>
          </w:tcPr>
          <w:p w:rsidRPr="00806155" w:rsidR="007D7B3E" w:rsidP="00806155" w:rsidRDefault="007D7B3E" w14:paraId="1E7ADFC7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968" w:type="dxa"/>
          </w:tcPr>
          <w:p w:rsidRPr="00806155" w:rsidR="007D7B3E" w:rsidP="00806155" w:rsidRDefault="007D7B3E" w14:paraId="6AE784B8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2035 (</w:t>
            </w:r>
            <w:proofErr w:type="spellStart"/>
            <w:r w:rsidRPr="00806155">
              <w:rPr>
                <w:rFonts w:cstheme="minorHAnsi"/>
                <w:b/>
                <w:bCs/>
                <w:sz w:val="16"/>
                <w:szCs w:val="16"/>
              </w:rPr>
              <w:t>struc</w:t>
            </w:r>
            <w:proofErr w:type="spellEnd"/>
            <w:r w:rsidRPr="00806155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Pr="004F1D5F" w:rsidR="007D7B3E" w:rsidTr="00806155" w14:paraId="4F87EB24" w14:textId="77777777">
        <w:trPr>
          <w:trHeight w:val="172"/>
        </w:trPr>
        <w:tc>
          <w:tcPr>
            <w:tcW w:w="9288" w:type="dxa"/>
            <w:gridSpan w:val="6"/>
            <w:shd w:val="clear" w:color="auto" w:fill="auto"/>
          </w:tcPr>
          <w:p w:rsidRPr="00806155" w:rsidR="007D7B3E" w:rsidP="00806155" w:rsidRDefault="007D7B3E" w14:paraId="137A2270" w14:textId="53616C2D">
            <w:pPr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I. Afvalstoffenbelasting (ASB):</w:t>
            </w:r>
          </w:p>
        </w:tc>
      </w:tr>
      <w:tr w:rsidRPr="004F1D5F" w:rsidR="007D7B3E" w:rsidTr="00806155" w14:paraId="3350D752" w14:textId="77777777">
        <w:trPr>
          <w:trHeight w:val="207"/>
        </w:trPr>
        <w:tc>
          <w:tcPr>
            <w:tcW w:w="5081" w:type="dxa"/>
            <w:shd w:val="clear" w:color="auto" w:fill="auto"/>
          </w:tcPr>
          <w:p w:rsidRPr="00806155" w:rsidR="007D7B3E" w:rsidP="00806155" w:rsidRDefault="007D7B3E" w14:paraId="2C54B6B8" w14:textId="1C76C76C">
            <w:pPr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Hervorming ASB</w:t>
            </w:r>
            <w:r w:rsidR="00192EF1">
              <w:rPr>
                <w:rFonts w:cstheme="minorHAnsi"/>
                <w:sz w:val="16"/>
                <w:szCs w:val="16"/>
              </w:rPr>
              <w:t xml:space="preserve">. </w:t>
            </w:r>
            <w:r w:rsidRPr="00192EF1" w:rsidR="00192EF1">
              <w:rPr>
                <w:rFonts w:cstheme="minorHAnsi"/>
                <w:sz w:val="16"/>
                <w:szCs w:val="16"/>
              </w:rPr>
              <w:t>Daarbij wordt gekeken naar de huidige vrijstellingen en ASB-tarieven voor stort</w:t>
            </w:r>
            <w:r w:rsidR="00192EF1">
              <w:rPr>
                <w:rFonts w:cstheme="minorHAnsi"/>
                <w:sz w:val="16"/>
                <w:szCs w:val="16"/>
              </w:rPr>
              <w:t xml:space="preserve"> </w:t>
            </w:r>
            <w:r w:rsidR="00971CCA">
              <w:rPr>
                <w:rFonts w:cstheme="minorHAnsi"/>
                <w:sz w:val="16"/>
                <w:szCs w:val="16"/>
              </w:rPr>
              <w:t>s</w:t>
            </w:r>
            <w:r w:rsidRPr="00806155">
              <w:rPr>
                <w:rFonts w:cstheme="minorHAnsi"/>
                <w:sz w:val="16"/>
                <w:szCs w:val="16"/>
              </w:rPr>
              <w:t xml:space="preserve">(taakstellende opbrengst) </w:t>
            </w:r>
          </w:p>
        </w:tc>
        <w:tc>
          <w:tcPr>
            <w:tcW w:w="878" w:type="dxa"/>
            <w:shd w:val="clear" w:color="auto" w:fill="auto"/>
          </w:tcPr>
          <w:p w:rsidRPr="00806155" w:rsidR="007D7B3E" w:rsidP="00806155" w:rsidRDefault="007D7B3E" w14:paraId="48F2873C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791" w:type="dxa"/>
            <w:shd w:val="clear" w:color="auto" w:fill="auto"/>
          </w:tcPr>
          <w:p w:rsidRPr="00806155" w:rsidR="007D7B3E" w:rsidP="00806155" w:rsidRDefault="007D7B3E" w14:paraId="1B3AF333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3F909C4E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29C93FB1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968" w:type="dxa"/>
            <w:shd w:val="clear" w:color="auto" w:fill="auto"/>
          </w:tcPr>
          <w:p w:rsidRPr="00806155" w:rsidR="007D7B3E" w:rsidP="00806155" w:rsidRDefault="007D7B3E" w14:paraId="289D3D99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125</w:t>
            </w:r>
          </w:p>
        </w:tc>
      </w:tr>
      <w:tr w:rsidRPr="004F1D5F" w:rsidR="007D7B3E" w:rsidTr="00806155" w14:paraId="5241F106" w14:textId="77777777">
        <w:trPr>
          <w:trHeight w:val="172"/>
        </w:trPr>
        <w:tc>
          <w:tcPr>
            <w:tcW w:w="5081" w:type="dxa"/>
            <w:shd w:val="clear" w:color="auto" w:fill="auto"/>
          </w:tcPr>
          <w:p w:rsidRPr="00806155" w:rsidR="007D7B3E" w:rsidP="00806155" w:rsidRDefault="007D7B3E" w14:paraId="3F613C3B" w14:textId="5E46A22A">
            <w:pPr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 xml:space="preserve">Generieke tariefverhoging </w:t>
            </w:r>
            <w:r w:rsidR="00447887">
              <w:rPr>
                <w:rFonts w:cstheme="minorHAnsi"/>
                <w:sz w:val="16"/>
                <w:szCs w:val="16"/>
              </w:rPr>
              <w:t>(technische invulling)</w:t>
            </w:r>
          </w:p>
        </w:tc>
        <w:tc>
          <w:tcPr>
            <w:tcW w:w="878" w:type="dxa"/>
            <w:shd w:val="clear" w:color="auto" w:fill="auto"/>
          </w:tcPr>
          <w:p w:rsidRPr="00806155" w:rsidR="007D7B3E" w:rsidP="00806155" w:rsidRDefault="007D7B3E" w14:paraId="10507C4D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91" w:type="dxa"/>
            <w:shd w:val="clear" w:color="auto" w:fill="auto"/>
          </w:tcPr>
          <w:p w:rsidRPr="00806155" w:rsidR="007D7B3E" w:rsidP="00806155" w:rsidRDefault="007D7B3E" w14:paraId="7ABD59C8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4D2A3641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67704B54" w14:textId="423ECC9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132</w:t>
            </w:r>
          </w:p>
        </w:tc>
        <w:tc>
          <w:tcPr>
            <w:tcW w:w="968" w:type="dxa"/>
            <w:shd w:val="clear" w:color="auto" w:fill="auto"/>
          </w:tcPr>
          <w:p w:rsidRPr="00806155" w:rsidR="007D7B3E" w:rsidP="00806155" w:rsidRDefault="007D7B3E" w14:paraId="5A06CF0C" w14:textId="7E3B9019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305</w:t>
            </w:r>
          </w:p>
        </w:tc>
      </w:tr>
      <w:tr w:rsidRPr="007745E0" w:rsidR="007D7B3E" w:rsidTr="00806155" w14:paraId="10674627" w14:textId="77777777">
        <w:trPr>
          <w:trHeight w:val="172"/>
        </w:trPr>
        <w:tc>
          <w:tcPr>
            <w:tcW w:w="9288" w:type="dxa"/>
            <w:gridSpan w:val="6"/>
            <w:shd w:val="clear" w:color="auto" w:fill="auto"/>
          </w:tcPr>
          <w:p w:rsidRPr="00806155" w:rsidR="007D7B3E" w:rsidP="00806155" w:rsidRDefault="007D7B3E" w14:paraId="46C86213" w14:textId="58F5C5B9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II. CO2-heffing </w:t>
            </w:r>
            <w:proofErr w:type="spellStart"/>
            <w:r w:rsidRPr="00806155">
              <w:rPr>
                <w:rFonts w:cstheme="minorHAnsi"/>
                <w:b/>
                <w:bCs/>
                <w:sz w:val="16"/>
                <w:szCs w:val="16"/>
                <w:lang w:val="en-US"/>
              </w:rPr>
              <w:t>industrie</w:t>
            </w:r>
            <w:proofErr w:type="spellEnd"/>
            <w:r w:rsidRPr="00806155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voor AVIs (CO2-reductie: 2 Mton in 2030)</w:t>
            </w:r>
          </w:p>
        </w:tc>
      </w:tr>
      <w:tr w:rsidRPr="004F1D5F" w:rsidR="007D7B3E" w:rsidTr="00806155" w14:paraId="12B4A9D6" w14:textId="77777777">
        <w:trPr>
          <w:trHeight w:val="172"/>
        </w:trPr>
        <w:tc>
          <w:tcPr>
            <w:tcW w:w="5081" w:type="dxa"/>
            <w:shd w:val="clear" w:color="auto" w:fill="auto"/>
          </w:tcPr>
          <w:p w:rsidRPr="00806155" w:rsidR="007D7B3E" w:rsidP="00806155" w:rsidRDefault="007D7B3E" w14:paraId="64FAF213" w14:textId="77777777">
            <w:pPr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 xml:space="preserve">Inzetten budgettaire terugsluis </w:t>
            </w:r>
          </w:p>
        </w:tc>
        <w:tc>
          <w:tcPr>
            <w:tcW w:w="878" w:type="dxa"/>
            <w:shd w:val="clear" w:color="auto" w:fill="auto"/>
          </w:tcPr>
          <w:p w:rsidRPr="00806155" w:rsidR="007D7B3E" w:rsidP="00806155" w:rsidRDefault="007D7B3E" w14:paraId="0A25ADAE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791" w:type="dxa"/>
            <w:shd w:val="clear" w:color="auto" w:fill="auto"/>
          </w:tcPr>
          <w:p w:rsidRPr="00806155" w:rsidR="007D7B3E" w:rsidP="00806155" w:rsidRDefault="007D7B3E" w14:paraId="62849977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14005F59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216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6D568922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276</w:t>
            </w:r>
          </w:p>
        </w:tc>
        <w:tc>
          <w:tcPr>
            <w:tcW w:w="968" w:type="dxa"/>
            <w:shd w:val="clear" w:color="auto" w:fill="auto"/>
          </w:tcPr>
          <w:p w:rsidRPr="00806155" w:rsidR="007D7B3E" w:rsidP="00806155" w:rsidRDefault="007D7B3E" w14:paraId="2BD7D936" w14:textId="09B497AC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276</w:t>
            </w:r>
          </w:p>
        </w:tc>
      </w:tr>
      <w:tr w:rsidRPr="004F1D5F" w:rsidR="007D7B3E" w:rsidTr="00806155" w14:paraId="083C739B" w14:textId="77777777">
        <w:trPr>
          <w:trHeight w:val="700"/>
        </w:trPr>
        <w:tc>
          <w:tcPr>
            <w:tcW w:w="5081" w:type="dxa"/>
            <w:shd w:val="clear" w:color="auto" w:fill="auto"/>
          </w:tcPr>
          <w:p w:rsidRPr="00806155" w:rsidR="007D7B3E" w:rsidP="00806155" w:rsidRDefault="007D7B3E" w14:paraId="37E43994" w14:textId="000303B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Aanpassing voor uitsluitend AVI’s</w:t>
            </w:r>
            <w:r w:rsidR="00447887">
              <w:rPr>
                <w:rFonts w:cstheme="minorHAnsi"/>
                <w:sz w:val="16"/>
                <w:szCs w:val="16"/>
              </w:rPr>
              <w:t xml:space="preserve"> (technische invulling)</w:t>
            </w:r>
          </w:p>
        </w:tc>
        <w:tc>
          <w:tcPr>
            <w:tcW w:w="878" w:type="dxa"/>
            <w:shd w:val="clear" w:color="auto" w:fill="auto"/>
          </w:tcPr>
          <w:p w:rsidRPr="00806155" w:rsidR="007D7B3E" w:rsidP="00806155" w:rsidRDefault="007D7B3E" w14:paraId="4981BD81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791" w:type="dxa"/>
            <w:shd w:val="clear" w:color="auto" w:fill="auto"/>
          </w:tcPr>
          <w:p w:rsidRPr="00806155" w:rsidR="007D7B3E" w:rsidP="00806155" w:rsidRDefault="007D7B3E" w14:paraId="114FD66F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135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3EE20843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785" w:type="dxa"/>
            <w:shd w:val="clear" w:color="auto" w:fill="auto"/>
          </w:tcPr>
          <w:p w:rsidRPr="00806155" w:rsidR="007D7B3E" w:rsidP="00806155" w:rsidRDefault="007D7B3E" w14:paraId="0063C511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968" w:type="dxa"/>
            <w:shd w:val="clear" w:color="auto" w:fill="auto"/>
          </w:tcPr>
          <w:p w:rsidRPr="00806155" w:rsidR="007D7B3E" w:rsidP="00806155" w:rsidRDefault="007D7B3E" w14:paraId="0E8BBEAC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 xml:space="preserve">-157 (t.o.v. </w:t>
            </w:r>
          </w:p>
          <w:p w:rsidRPr="00806155" w:rsidR="007D7B3E" w:rsidP="00806155" w:rsidRDefault="007D7B3E" w14:paraId="221E8762" w14:textId="77777777">
            <w:pPr>
              <w:jc w:val="right"/>
              <w:rPr>
                <w:rFonts w:cstheme="minorHAnsi"/>
                <w:sz w:val="16"/>
                <w:szCs w:val="16"/>
              </w:rPr>
            </w:pPr>
            <w:r w:rsidRPr="00806155">
              <w:rPr>
                <w:rFonts w:cstheme="minorHAnsi"/>
                <w:sz w:val="16"/>
                <w:szCs w:val="16"/>
              </w:rPr>
              <w:t>de 276)</w:t>
            </w:r>
          </w:p>
        </w:tc>
      </w:tr>
      <w:tr w:rsidRPr="004F1D5F" w:rsidR="007D7B3E" w:rsidTr="00806155" w14:paraId="7AE1F450" w14:textId="77777777">
        <w:trPr>
          <w:trHeight w:val="172"/>
        </w:trPr>
        <w:tc>
          <w:tcPr>
            <w:tcW w:w="5081" w:type="dxa"/>
          </w:tcPr>
          <w:p w:rsidRPr="00806155" w:rsidR="007D7B3E" w:rsidP="00806155" w:rsidRDefault="007D7B3E" w14:paraId="122BC56C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Totaal:</w:t>
            </w:r>
          </w:p>
        </w:tc>
        <w:tc>
          <w:tcPr>
            <w:tcW w:w="1669" w:type="dxa"/>
            <w:gridSpan w:val="2"/>
          </w:tcPr>
          <w:p w:rsidRPr="00806155" w:rsidR="007D7B3E" w:rsidP="00806155" w:rsidRDefault="007D7B3E" w14:paraId="344177FB" w14:textId="77777777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‘27+’28: 547</w:t>
            </w:r>
          </w:p>
        </w:tc>
        <w:tc>
          <w:tcPr>
            <w:tcW w:w="785" w:type="dxa"/>
          </w:tcPr>
          <w:p w:rsidRPr="00806155" w:rsidR="007D7B3E" w:rsidP="00806155" w:rsidRDefault="007D7B3E" w14:paraId="4EA4B76B" w14:textId="77777777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785" w:type="dxa"/>
          </w:tcPr>
          <w:p w:rsidRPr="00806155" w:rsidR="007D7B3E" w:rsidP="00806155" w:rsidRDefault="007D7B3E" w14:paraId="201D588B" w14:textId="77777777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547</w:t>
            </w:r>
          </w:p>
        </w:tc>
        <w:tc>
          <w:tcPr>
            <w:tcW w:w="968" w:type="dxa"/>
          </w:tcPr>
          <w:p w:rsidRPr="00806155" w:rsidR="007D7B3E" w:rsidP="00806155" w:rsidRDefault="007D7B3E" w14:paraId="20DA89B7" w14:textId="77777777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06155">
              <w:rPr>
                <w:rFonts w:cstheme="minorHAnsi"/>
                <w:b/>
                <w:bCs/>
                <w:sz w:val="16"/>
                <w:szCs w:val="16"/>
              </w:rPr>
              <w:t>547</w:t>
            </w:r>
          </w:p>
        </w:tc>
      </w:tr>
    </w:tbl>
    <w:p w:rsidRPr="005412F6" w:rsidR="005412F6" w:rsidP="00806155" w:rsidRDefault="005412F6" w14:paraId="7AC575F5" w14:textId="77777777"/>
    <w:sectPr w:rsidRPr="005412F6" w:rsidR="005412F6" w:rsidSect="001E6A24">
      <w:footerReference w:type="even" r:id="rId7"/>
      <w:footerReference w:type="default" r:id="rId8"/>
      <w:footerReference w:type="first" r:id="rId9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668A" w14:textId="77777777" w:rsidR="00C759F5" w:rsidRDefault="00C759F5" w:rsidP="00C759F5">
      <w:pPr>
        <w:spacing w:after="0" w:line="240" w:lineRule="auto"/>
      </w:pPr>
      <w:r>
        <w:separator/>
      </w:r>
    </w:p>
  </w:endnote>
  <w:endnote w:type="continuationSeparator" w:id="0">
    <w:p w14:paraId="18AA4A8E" w14:textId="77777777" w:rsidR="00C759F5" w:rsidRDefault="00C759F5" w:rsidP="00C7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BC11" w14:textId="49B3B1C2" w:rsidR="00192EF1" w:rsidRDefault="00192EF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73905" wp14:editId="78F308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55164127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A615F" w14:textId="5B165359" w:rsidR="00192EF1" w:rsidRPr="00192EF1" w:rsidRDefault="00192EF1" w:rsidP="00192E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E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7390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3C1A615F" w14:textId="5B165359" w:rsidR="00192EF1" w:rsidRPr="00192EF1" w:rsidRDefault="00192EF1" w:rsidP="00192E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E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FC2F" w14:textId="68E742F9" w:rsidR="00192EF1" w:rsidRDefault="00192EF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0130AA" wp14:editId="15DC702E">
              <wp:simplePos x="914400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71650350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2028B" w14:textId="270854B5" w:rsidR="00192EF1" w:rsidRPr="00192EF1" w:rsidRDefault="00192EF1" w:rsidP="00192E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E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130A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0C62028B" w14:textId="270854B5" w:rsidR="00192EF1" w:rsidRPr="00192EF1" w:rsidRDefault="00192EF1" w:rsidP="00192E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E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3F44" w14:textId="4AAFA6D3" w:rsidR="00192EF1" w:rsidRDefault="00192EF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9FC165" wp14:editId="31C1AA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486922845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33E46" w14:textId="06A8D87A" w:rsidR="00192EF1" w:rsidRPr="00192EF1" w:rsidRDefault="00192EF1" w:rsidP="00192E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E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FC16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textbox style="mso-fit-shape-to-text:t" inset="20pt,0,0,15pt">
                <w:txbxContent>
                  <w:p w14:paraId="58F33E46" w14:textId="06A8D87A" w:rsidR="00192EF1" w:rsidRPr="00192EF1" w:rsidRDefault="00192EF1" w:rsidP="00192E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E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69DA" w14:textId="77777777" w:rsidR="00C759F5" w:rsidRDefault="00C759F5" w:rsidP="00C759F5">
      <w:pPr>
        <w:spacing w:after="0" w:line="240" w:lineRule="auto"/>
      </w:pPr>
      <w:r>
        <w:separator/>
      </w:r>
    </w:p>
  </w:footnote>
  <w:footnote w:type="continuationSeparator" w:id="0">
    <w:p w14:paraId="04970E93" w14:textId="77777777" w:rsidR="00C759F5" w:rsidRDefault="00C759F5" w:rsidP="00C7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027E"/>
    <w:multiLevelType w:val="hybridMultilevel"/>
    <w:tmpl w:val="382685A8"/>
    <w:lvl w:ilvl="0" w:tplc="BB2E5E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B50A6"/>
    <w:multiLevelType w:val="hybridMultilevel"/>
    <w:tmpl w:val="6FF691C4"/>
    <w:lvl w:ilvl="0" w:tplc="549A0B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E560E"/>
    <w:multiLevelType w:val="hybridMultilevel"/>
    <w:tmpl w:val="33C470BE"/>
    <w:lvl w:ilvl="0" w:tplc="0413001B">
      <w:start w:val="1"/>
      <w:numFmt w:val="lowerRoman"/>
      <w:lvlText w:val="%1."/>
      <w:lvlJc w:val="righ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465E52"/>
    <w:multiLevelType w:val="hybridMultilevel"/>
    <w:tmpl w:val="FA0644AE"/>
    <w:lvl w:ilvl="0" w:tplc="4134D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B31FC"/>
    <w:multiLevelType w:val="hybridMultilevel"/>
    <w:tmpl w:val="8C869CC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353356">
    <w:abstractNumId w:val="4"/>
  </w:num>
  <w:num w:numId="2" w16cid:durableId="1651523976">
    <w:abstractNumId w:val="2"/>
  </w:num>
  <w:num w:numId="3" w16cid:durableId="1785491507">
    <w:abstractNumId w:val="1"/>
  </w:num>
  <w:num w:numId="4" w16cid:durableId="1088845818">
    <w:abstractNumId w:val="3"/>
  </w:num>
  <w:num w:numId="5" w16cid:durableId="14668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F5"/>
    <w:rsid w:val="0004699A"/>
    <w:rsid w:val="00120320"/>
    <w:rsid w:val="0016282C"/>
    <w:rsid w:val="00180BE8"/>
    <w:rsid w:val="00192EF1"/>
    <w:rsid w:val="001E6A24"/>
    <w:rsid w:val="002060B8"/>
    <w:rsid w:val="002858A0"/>
    <w:rsid w:val="00292B6C"/>
    <w:rsid w:val="002E3365"/>
    <w:rsid w:val="003447AD"/>
    <w:rsid w:val="00447887"/>
    <w:rsid w:val="00465B99"/>
    <w:rsid w:val="004F19F2"/>
    <w:rsid w:val="005412F6"/>
    <w:rsid w:val="005B083B"/>
    <w:rsid w:val="006839EB"/>
    <w:rsid w:val="006A5D20"/>
    <w:rsid w:val="006E1525"/>
    <w:rsid w:val="007745E0"/>
    <w:rsid w:val="007A1514"/>
    <w:rsid w:val="007D7B3E"/>
    <w:rsid w:val="00806155"/>
    <w:rsid w:val="008A13E5"/>
    <w:rsid w:val="008B0CD0"/>
    <w:rsid w:val="00906F64"/>
    <w:rsid w:val="00941B95"/>
    <w:rsid w:val="00954592"/>
    <w:rsid w:val="00971CCA"/>
    <w:rsid w:val="00A20444"/>
    <w:rsid w:val="00A73565"/>
    <w:rsid w:val="00B06701"/>
    <w:rsid w:val="00C358F5"/>
    <w:rsid w:val="00C759F5"/>
    <w:rsid w:val="00DA4AEB"/>
    <w:rsid w:val="00DB06C5"/>
    <w:rsid w:val="00DF1CA4"/>
    <w:rsid w:val="00E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7D0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7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5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5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5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5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5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5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9F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59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59F5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59F5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59F5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59F5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9F5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59F5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59F5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7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59F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5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5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7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59F5"/>
    <w:rPr>
      <w:i/>
      <w:iCs/>
      <w:color w:val="404040" w:themeColor="text1" w:themeTint="BF"/>
      <w:lang w:val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C759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59F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59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59F5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759F5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C759F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59F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59F5"/>
    <w:rPr>
      <w:rFonts w:asciiTheme="minorHAnsi" w:hAnsiTheme="minorHAnsi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59F5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C759F5"/>
    <w:rPr>
      <w:lang w:val="nl-NL"/>
    </w:rPr>
  </w:style>
  <w:style w:type="paragraph" w:styleId="Geenafstand">
    <w:name w:val="No Spacing"/>
    <w:uiPriority w:val="1"/>
    <w:qFormat/>
    <w:rsid w:val="005412F6"/>
    <w:pPr>
      <w:spacing w:after="0" w:line="240" w:lineRule="auto"/>
    </w:pPr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92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2EF1"/>
    <w:rPr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77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45E0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450</ap:Words>
  <ap:Characters>2477</ap:Characters>
  <ap:DocSecurity>0</ap:DocSecurity>
  <ap:Lines>20</ap:Lines>
  <ap:Paragraphs>5</ap:Paragraphs>
  <ap:ScaleCrop>false</ap:ScaleCrop>
  <ap:LinksUpToDate>false</ap:LinksUpToDate>
  <ap:CharactersWithSpaces>2922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2025-06-02T14:55:00.0000000Z</dcterms:created>
  <dcterms:modified xsi:type="dcterms:W3CDTF">2025-06-02T14:55:00.0000000Z</dcterms:modified>
  <version/>
  <category/>
</coreProperties>
</file>