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5CE" w:rsidRDefault="00C435CE" w14:paraId="76CEDCFE" w14:textId="77777777">
      <w:pPr>
        <w:rPr>
          <w:b/>
          <w:bCs/>
          <w:sz w:val="18"/>
          <w:szCs w:val="18"/>
        </w:rPr>
      </w:pPr>
      <w:r>
        <w:rPr>
          <w:b/>
          <w:bCs/>
          <w:sz w:val="18"/>
          <w:szCs w:val="18"/>
        </w:rPr>
        <w:t>Stuk 34A</w:t>
      </w:r>
    </w:p>
    <w:p w:rsidR="00FC3CB6" w:rsidRDefault="005F61AC" w14:paraId="13D6087D" w14:textId="1F14AA1D">
      <w:pPr>
        <w:rPr>
          <w:b/>
          <w:bCs/>
          <w:sz w:val="18"/>
          <w:szCs w:val="18"/>
        </w:rPr>
      </w:pPr>
      <w:r w:rsidRPr="005F61AC">
        <w:rPr>
          <w:b/>
          <w:bCs/>
          <w:sz w:val="18"/>
          <w:szCs w:val="18"/>
        </w:rPr>
        <w:t>Bestuurlijk overleg Voorjaarsbesluitvorming g</w:t>
      </w:r>
      <w:r>
        <w:rPr>
          <w:b/>
          <w:bCs/>
          <w:sz w:val="18"/>
          <w:szCs w:val="18"/>
        </w:rPr>
        <w:t>lastuinbouw</w:t>
      </w:r>
    </w:p>
    <w:p w:rsidRPr="008B1BC4" w:rsidR="00C270C9" w:rsidRDefault="00C270C9" w14:paraId="4030F3FC" w14:textId="5EBC779A">
      <w:pPr>
        <w:rPr>
          <w:sz w:val="18"/>
          <w:szCs w:val="18"/>
        </w:rPr>
      </w:pPr>
      <w:r w:rsidRPr="008B1BC4">
        <w:rPr>
          <w:sz w:val="18"/>
          <w:szCs w:val="18"/>
        </w:rPr>
        <w:t>15 – 04 - 2025</w:t>
      </w:r>
    </w:p>
    <w:p w:rsidRPr="005F61AC" w:rsidR="000E238E" w:rsidRDefault="00B67CAD" w14:paraId="7059BA0E" w14:textId="7CF8EF92">
      <w:pPr>
        <w:rPr>
          <w:b/>
          <w:bCs/>
          <w:sz w:val="18"/>
          <w:szCs w:val="18"/>
        </w:rPr>
      </w:pPr>
      <w:r w:rsidRPr="005F61AC">
        <w:rPr>
          <w:b/>
          <w:bCs/>
          <w:sz w:val="18"/>
          <w:szCs w:val="18"/>
        </w:rPr>
        <w:t>Aanleiding</w:t>
      </w:r>
    </w:p>
    <w:p w:rsidRPr="005F61AC" w:rsidR="005F61AC" w:rsidP="006C6AB7" w:rsidRDefault="005F61AC" w14:paraId="330CC6C4" w14:textId="4F3F1525">
      <w:pPr>
        <w:rPr>
          <w:sz w:val="18"/>
          <w:szCs w:val="18"/>
        </w:rPr>
      </w:pPr>
      <w:r w:rsidRPr="005F61AC">
        <w:rPr>
          <w:sz w:val="18"/>
          <w:szCs w:val="18"/>
        </w:rPr>
        <w:t>In</w:t>
      </w:r>
      <w:r w:rsidR="006C6AB7">
        <w:rPr>
          <w:sz w:val="18"/>
          <w:szCs w:val="18"/>
        </w:rPr>
        <w:t xml:space="preserve"> het</w:t>
      </w:r>
      <w:r w:rsidRPr="005F61AC">
        <w:rPr>
          <w:sz w:val="18"/>
          <w:szCs w:val="18"/>
        </w:rPr>
        <w:t xml:space="preserve"> BO GTB van 14 feb</w:t>
      </w:r>
      <w:r w:rsidR="006C6AB7">
        <w:rPr>
          <w:sz w:val="18"/>
          <w:szCs w:val="18"/>
        </w:rPr>
        <w:t xml:space="preserve">ruari is </w:t>
      </w:r>
      <w:r w:rsidRPr="005F61AC">
        <w:rPr>
          <w:sz w:val="18"/>
          <w:szCs w:val="18"/>
        </w:rPr>
        <w:t>gesproken over een samenhangend pakket voor de glastuinbouw waarbi</w:t>
      </w:r>
      <w:r w:rsidR="006C6AB7">
        <w:rPr>
          <w:sz w:val="18"/>
          <w:szCs w:val="18"/>
        </w:rPr>
        <w:t>j d</w:t>
      </w:r>
      <w:r w:rsidRPr="005F61AC">
        <w:rPr>
          <w:sz w:val="18"/>
          <w:szCs w:val="18"/>
        </w:rPr>
        <w:t>e Ambitie uit het Convenant Energietransitie Glastuinbouw wordt nagekomen</w:t>
      </w:r>
      <w:r w:rsidR="006C6AB7">
        <w:rPr>
          <w:sz w:val="18"/>
          <w:szCs w:val="18"/>
        </w:rPr>
        <w:t xml:space="preserve"> en d</w:t>
      </w:r>
      <w:r w:rsidRPr="005F61AC">
        <w:rPr>
          <w:sz w:val="18"/>
          <w:szCs w:val="18"/>
        </w:rPr>
        <w:t>e onzekerheid ten aanzien van ETS2 en de bijmengverplichting groen gas wordt geadresseerd</w:t>
      </w:r>
    </w:p>
    <w:p w:rsidRPr="005F61AC" w:rsidR="005F61AC" w:rsidP="006C6AB7" w:rsidRDefault="006C6AB7" w14:paraId="0C32277F" w14:textId="35CDE897">
      <w:pPr>
        <w:rPr>
          <w:sz w:val="18"/>
          <w:szCs w:val="18"/>
        </w:rPr>
      </w:pPr>
      <w:r>
        <w:rPr>
          <w:sz w:val="18"/>
          <w:szCs w:val="18"/>
        </w:rPr>
        <w:t xml:space="preserve">Op basis daarvan heeft het kabinet </w:t>
      </w:r>
      <w:r w:rsidR="003605D2">
        <w:rPr>
          <w:sz w:val="18"/>
          <w:szCs w:val="18"/>
        </w:rPr>
        <w:t>verschillende mogelijkheden onderzocht</w:t>
      </w:r>
      <w:r w:rsidR="000719C5">
        <w:rPr>
          <w:sz w:val="18"/>
          <w:szCs w:val="18"/>
        </w:rPr>
        <w:t xml:space="preserve"> om dit voorjaar tot een besluit te komen waarmee duidelijkheid geboden kan worden</w:t>
      </w:r>
      <w:r w:rsidR="003605D2">
        <w:rPr>
          <w:sz w:val="18"/>
          <w:szCs w:val="18"/>
        </w:rPr>
        <w:t xml:space="preserve">. </w:t>
      </w:r>
      <w:r w:rsidRPr="005F61AC" w:rsidR="005F61AC">
        <w:rPr>
          <w:sz w:val="18"/>
          <w:szCs w:val="18"/>
        </w:rPr>
        <w:t xml:space="preserve">Vandaag bespreken we graag het </w:t>
      </w:r>
      <w:r w:rsidR="000719C5">
        <w:rPr>
          <w:sz w:val="18"/>
          <w:szCs w:val="18"/>
        </w:rPr>
        <w:t>voorjaars</w:t>
      </w:r>
      <w:r w:rsidRPr="005F61AC" w:rsidR="005F61AC">
        <w:rPr>
          <w:sz w:val="18"/>
          <w:szCs w:val="18"/>
        </w:rPr>
        <w:t>besluit.</w:t>
      </w:r>
    </w:p>
    <w:p w:rsidR="008B1BC4" w:rsidRDefault="008B1BC4" w14:paraId="73F6ED57" w14:textId="77777777">
      <w:pPr>
        <w:rPr>
          <w:b/>
          <w:bCs/>
          <w:sz w:val="18"/>
          <w:szCs w:val="18"/>
        </w:rPr>
      </w:pPr>
    </w:p>
    <w:p w:rsidRPr="005F61AC" w:rsidR="00B67CAD" w:rsidRDefault="000719C5" w14:paraId="5BB58FCA" w14:textId="1F9D634B">
      <w:pPr>
        <w:rPr>
          <w:b/>
          <w:bCs/>
          <w:sz w:val="18"/>
          <w:szCs w:val="18"/>
        </w:rPr>
      </w:pPr>
      <w:r>
        <w:rPr>
          <w:b/>
          <w:bCs/>
          <w:sz w:val="18"/>
          <w:szCs w:val="18"/>
        </w:rPr>
        <w:t>Besluit</w:t>
      </w:r>
    </w:p>
    <w:p w:rsidRPr="007C32FF" w:rsidR="00637974" w:rsidP="000719C5" w:rsidRDefault="00637974" w14:paraId="00D072BE" w14:textId="5B47183D">
      <w:pPr>
        <w:rPr>
          <w:rFonts w:cs="Aptos"/>
          <w:sz w:val="18"/>
          <w:szCs w:val="18"/>
        </w:rPr>
      </w:pPr>
      <w:bookmarkStart w:name="_Hlk195609596" w:id="0"/>
      <w:r w:rsidRPr="007C32FF">
        <w:rPr>
          <w:sz w:val="18"/>
          <w:szCs w:val="18"/>
        </w:rPr>
        <w:t xml:space="preserve">Vanwege het brede belang van de bijmengverplichting voor een robuust toekomstig energiesysteem, het verdienvermogen en stikstof- en methaanreductie in de landbouw en het aanbod van duurzame CO2 gaat het kabinet door met de reeds afgesproken bijmengverplichting. Om tegemoet te komen aan de lastenstijging wordt de verplichting wel verlaagd (met 25%) en pas vanaf 2027 ingevoerd. Daarbij stelt het kabinet zichzelf de voorwaarde dat de glastuinbouw volledig gecompenseerd wordt voor de extra lasten met staatssteungoedkeuring* én stelt het 200 </w:t>
      </w:r>
      <w:proofErr w:type="spellStart"/>
      <w:r w:rsidRPr="007C32FF">
        <w:rPr>
          <w:sz w:val="18"/>
          <w:szCs w:val="18"/>
        </w:rPr>
        <w:t>mln</w:t>
      </w:r>
      <w:proofErr w:type="spellEnd"/>
      <w:r w:rsidRPr="007C32FF">
        <w:rPr>
          <w:sz w:val="18"/>
          <w:szCs w:val="18"/>
        </w:rPr>
        <w:t xml:space="preserve"> uit het Klimaatfonds beschikbaar voor randvoorwaarden om de glastuinbouw verder te helpen in de transitie met o.a. warmte en betaalbare elektriciteit. Dit </w:t>
      </w:r>
      <w:proofErr w:type="spellStart"/>
      <w:r w:rsidRPr="007C32FF">
        <w:rPr>
          <w:sz w:val="18"/>
          <w:szCs w:val="18"/>
        </w:rPr>
        <w:t>randvoorwaardenpakket</w:t>
      </w:r>
      <w:proofErr w:type="spellEnd"/>
      <w:r w:rsidRPr="007C32FF">
        <w:rPr>
          <w:sz w:val="18"/>
          <w:szCs w:val="18"/>
        </w:rPr>
        <w:t xml:space="preserve"> wordt verder uitgewerkt met de sector en met Prinsjesdag 2025 gepresenteerd. </w:t>
      </w:r>
    </w:p>
    <w:p w:rsidRPr="007C32FF" w:rsidR="00637974" w:rsidP="007C32FF" w:rsidRDefault="00637974" w14:paraId="293D1786" w14:textId="34E4CE7E">
      <w:pPr>
        <w:rPr>
          <w:sz w:val="18"/>
          <w:szCs w:val="18"/>
        </w:rPr>
      </w:pPr>
      <w:r w:rsidRPr="007C32FF">
        <w:rPr>
          <w:sz w:val="18"/>
          <w:szCs w:val="18"/>
        </w:rPr>
        <w:t>Omdat de glastuinbouw niet uitgezonderd kan worden van ETS2 wordt het CO2</w:t>
      </w:r>
      <w:r w:rsidRPr="007C32FF" w:rsidR="007C32FF">
        <w:rPr>
          <w:sz w:val="18"/>
          <w:szCs w:val="18"/>
        </w:rPr>
        <w:t>-</w:t>
      </w:r>
      <w:r w:rsidRPr="007C32FF">
        <w:rPr>
          <w:sz w:val="18"/>
          <w:szCs w:val="18"/>
        </w:rPr>
        <w:t xml:space="preserve">heffingssysteem per 2027 vervangen door een ETS2 </w:t>
      </w:r>
      <w:proofErr w:type="spellStart"/>
      <w:r w:rsidRPr="007C32FF">
        <w:rPr>
          <w:sz w:val="18"/>
          <w:szCs w:val="18"/>
        </w:rPr>
        <w:t>opt</w:t>
      </w:r>
      <w:proofErr w:type="spellEnd"/>
      <w:r w:rsidRPr="007C32FF">
        <w:rPr>
          <w:sz w:val="18"/>
          <w:szCs w:val="18"/>
        </w:rPr>
        <w:t xml:space="preserve">-in, waarvoor de sector ook gecompenseerd wordt tot de hoogte van het nieuwe tarief voor de CO2 heffing die nodig is om het 2030 restemissiedoel van de sector (4,3 </w:t>
      </w:r>
      <w:proofErr w:type="spellStart"/>
      <w:r w:rsidRPr="007C32FF">
        <w:rPr>
          <w:sz w:val="18"/>
          <w:szCs w:val="18"/>
        </w:rPr>
        <w:t>Mton</w:t>
      </w:r>
      <w:proofErr w:type="spellEnd"/>
      <w:r w:rsidRPr="007C32FF">
        <w:rPr>
          <w:sz w:val="18"/>
          <w:szCs w:val="18"/>
        </w:rPr>
        <w:t xml:space="preserve">) met voldoende zekerheid te halen (42,5 EUR/ton CO2, definitieve doorrekening in augustus). Bij uitzondering wordt voor de glastuinbouw binnen de SDE voor bestaande projecten niet gecorrigeerd voor de ETS2 </w:t>
      </w:r>
      <w:proofErr w:type="spellStart"/>
      <w:r w:rsidRPr="007C32FF">
        <w:rPr>
          <w:sz w:val="18"/>
          <w:szCs w:val="18"/>
        </w:rPr>
        <w:t>opt</w:t>
      </w:r>
      <w:proofErr w:type="spellEnd"/>
      <w:r w:rsidRPr="007C32FF">
        <w:rPr>
          <w:sz w:val="18"/>
          <w:szCs w:val="18"/>
        </w:rPr>
        <w:t>-in, omdat bedrijven hier rekening mee hebben gehouden bij het aanvragen van subsidie.</w:t>
      </w:r>
    </w:p>
    <w:p w:rsidRPr="007C32FF" w:rsidR="00637974" w:rsidP="007C32FF" w:rsidRDefault="00637974" w14:paraId="79949091" w14:textId="45143200">
      <w:pPr>
        <w:rPr>
          <w:sz w:val="18"/>
          <w:szCs w:val="18"/>
        </w:rPr>
      </w:pPr>
      <w:r w:rsidRPr="007C32FF">
        <w:rPr>
          <w:sz w:val="18"/>
          <w:szCs w:val="18"/>
        </w:rPr>
        <w:t>Ruim voor 2030 gaat het kabinet in gesprek met de sector over nieuwe afspraken voor na 2030 om de balans in stimuleren, normeren en beprijzen voort te zetten.</w:t>
      </w:r>
    </w:p>
    <w:p w:rsidR="00637974" w:rsidP="007C32FF" w:rsidRDefault="00637974" w14:paraId="537B1225" w14:textId="77777777">
      <w:pPr>
        <w:rPr>
          <w:sz w:val="18"/>
          <w:szCs w:val="18"/>
        </w:rPr>
      </w:pPr>
      <w:r w:rsidRPr="007C32FF">
        <w:rPr>
          <w:sz w:val="18"/>
          <w:szCs w:val="18"/>
        </w:rPr>
        <w:t>* In april 2026 wordt geëvalueerd of de uitgewerkte compensatie redelijk en tijdig is. Als de voorgestelde compensatie niet uitgevoerd kan worden komt er een alternatieve vorm van compensatie voor de sector en als er geen alternatief kan worden gevonden dat voldoende bedrijfsspecifieke compensatie biedt zullen de afspraken worden heroverwogen</w:t>
      </w:r>
    </w:p>
    <w:p w:rsidR="008B1BC4" w:rsidP="007C32FF" w:rsidRDefault="008B1BC4" w14:paraId="0233FDD4" w14:textId="77777777">
      <w:pPr>
        <w:rPr>
          <w:b/>
          <w:bCs/>
          <w:sz w:val="18"/>
          <w:szCs w:val="18"/>
        </w:rPr>
      </w:pPr>
    </w:p>
    <w:p w:rsidRPr="001166BF" w:rsidR="007C32FF" w:rsidP="007C32FF" w:rsidRDefault="007C32FF" w14:paraId="45A60728" w14:textId="1BCC2855">
      <w:pPr>
        <w:rPr>
          <w:b/>
          <w:bCs/>
          <w:sz w:val="18"/>
          <w:szCs w:val="18"/>
        </w:rPr>
      </w:pPr>
      <w:r w:rsidRPr="001166BF">
        <w:rPr>
          <w:b/>
          <w:bCs/>
          <w:sz w:val="18"/>
          <w:szCs w:val="18"/>
        </w:rPr>
        <w:t xml:space="preserve">Uitwerking van </w:t>
      </w:r>
      <w:r w:rsidRPr="001166BF" w:rsidR="001166BF">
        <w:rPr>
          <w:b/>
          <w:bCs/>
          <w:sz w:val="18"/>
          <w:szCs w:val="18"/>
        </w:rPr>
        <w:t>de verschillende elementen</w:t>
      </w:r>
    </w:p>
    <w:p w:rsidRPr="00664E68" w:rsidR="006C0E6F" w:rsidP="00664E68" w:rsidRDefault="00664E68" w14:paraId="40238D1B" w14:textId="7B1A80F3">
      <w:pPr>
        <w:rPr>
          <w:sz w:val="18"/>
          <w:szCs w:val="18"/>
        </w:rPr>
      </w:pPr>
      <w:r>
        <w:rPr>
          <w:sz w:val="18"/>
          <w:szCs w:val="18"/>
        </w:rPr>
        <w:t>In lijn met bovenstaand besluit dienen de volgende elementen komende maanden, richting Prinsjesdag 2025, verder uitgewerkt te worden.</w:t>
      </w:r>
      <w:bookmarkEnd w:id="0"/>
    </w:p>
    <w:p w:rsidRPr="00DA30ED" w:rsidR="00DA30ED" w:rsidP="008E1E99" w:rsidRDefault="000E238E" w14:paraId="1626B418" w14:textId="385E0CEC">
      <w:pPr>
        <w:pStyle w:val="Lijstalinea"/>
        <w:numPr>
          <w:ilvl w:val="0"/>
          <w:numId w:val="1"/>
        </w:numPr>
        <w:spacing w:after="0"/>
        <w:ind w:left="714" w:hanging="357"/>
        <w:rPr>
          <w:b/>
          <w:bCs/>
          <w:sz w:val="18"/>
          <w:szCs w:val="18"/>
        </w:rPr>
      </w:pPr>
      <w:r w:rsidRPr="00DA30ED">
        <w:rPr>
          <w:b/>
          <w:bCs/>
          <w:sz w:val="18"/>
          <w:szCs w:val="18"/>
        </w:rPr>
        <w:t>Tariefstudie:</w:t>
      </w:r>
      <w:r w:rsidRPr="00DA30ED" w:rsidR="00435AFD">
        <w:rPr>
          <w:b/>
          <w:bCs/>
          <w:sz w:val="18"/>
          <w:szCs w:val="18"/>
        </w:rPr>
        <w:t xml:space="preserve"> </w:t>
      </w:r>
      <w:r w:rsidRPr="00DA30ED" w:rsidR="00692B57">
        <w:rPr>
          <w:sz w:val="18"/>
          <w:szCs w:val="18"/>
        </w:rPr>
        <w:t xml:space="preserve">Het convenant is gericht op een economisch rendabele en </w:t>
      </w:r>
      <w:proofErr w:type="spellStart"/>
      <w:r w:rsidRPr="00DA30ED" w:rsidR="00692B57">
        <w:rPr>
          <w:sz w:val="18"/>
          <w:szCs w:val="18"/>
        </w:rPr>
        <w:t>klimaatneutrale</w:t>
      </w:r>
      <w:proofErr w:type="spellEnd"/>
      <w:r w:rsidRPr="00DA30ED" w:rsidR="00692B57">
        <w:rPr>
          <w:sz w:val="18"/>
          <w:szCs w:val="18"/>
        </w:rPr>
        <w:t xml:space="preserve"> sector in 2040, met een 2030 restemissiedoel van 4,3 </w:t>
      </w:r>
      <w:proofErr w:type="spellStart"/>
      <w:r w:rsidRPr="00DA30ED" w:rsidR="00692B57">
        <w:rPr>
          <w:sz w:val="18"/>
          <w:szCs w:val="18"/>
        </w:rPr>
        <w:t>Mton</w:t>
      </w:r>
      <w:proofErr w:type="spellEnd"/>
      <w:r w:rsidRPr="00DA30ED" w:rsidR="00692B57">
        <w:rPr>
          <w:sz w:val="18"/>
          <w:szCs w:val="18"/>
        </w:rPr>
        <w:t>.</w:t>
      </w:r>
      <w:r w:rsidRPr="00DA30ED" w:rsidR="00435AFD">
        <w:rPr>
          <w:sz w:val="18"/>
          <w:szCs w:val="18"/>
        </w:rPr>
        <w:t xml:space="preserve"> </w:t>
      </w:r>
      <w:r w:rsidRPr="00DA30ED" w:rsidR="00692B57">
        <w:rPr>
          <w:sz w:val="18"/>
          <w:szCs w:val="18"/>
        </w:rPr>
        <w:t xml:space="preserve">Volgens de KEV 2024 van het PBL ligt de sector nog niet op koers het sectordoel te halen (5,8 </w:t>
      </w:r>
      <w:proofErr w:type="spellStart"/>
      <w:r w:rsidRPr="00DA30ED" w:rsidR="00692B57">
        <w:rPr>
          <w:sz w:val="18"/>
          <w:szCs w:val="18"/>
        </w:rPr>
        <w:t>Mton</w:t>
      </w:r>
      <w:proofErr w:type="spellEnd"/>
      <w:r w:rsidR="00A935F9">
        <w:rPr>
          <w:sz w:val="18"/>
          <w:szCs w:val="18"/>
        </w:rPr>
        <w:t xml:space="preserve">, met een gat van 1,5 </w:t>
      </w:r>
      <w:proofErr w:type="spellStart"/>
      <w:r w:rsidR="00A935F9">
        <w:rPr>
          <w:sz w:val="18"/>
          <w:szCs w:val="18"/>
        </w:rPr>
        <w:t>Mton</w:t>
      </w:r>
      <w:proofErr w:type="spellEnd"/>
      <w:r w:rsidRPr="00DA30ED" w:rsidR="00692B57">
        <w:rPr>
          <w:sz w:val="18"/>
          <w:szCs w:val="18"/>
        </w:rPr>
        <w:t>).</w:t>
      </w:r>
      <w:r w:rsidRPr="00DA30ED" w:rsidR="00435AFD">
        <w:rPr>
          <w:sz w:val="18"/>
          <w:szCs w:val="18"/>
        </w:rPr>
        <w:t xml:space="preserve"> </w:t>
      </w:r>
      <w:r w:rsidR="00DA30ED">
        <w:rPr>
          <w:sz w:val="18"/>
          <w:szCs w:val="18"/>
        </w:rPr>
        <w:t xml:space="preserve">Er is een verschilstudie gemaakt door Berenschot </w:t>
      </w:r>
      <w:proofErr w:type="spellStart"/>
      <w:r w:rsidR="00DA30ED">
        <w:rPr>
          <w:sz w:val="18"/>
          <w:szCs w:val="18"/>
        </w:rPr>
        <w:t>Kalavasta</w:t>
      </w:r>
      <w:proofErr w:type="spellEnd"/>
      <w:r w:rsidR="00DA30ED">
        <w:rPr>
          <w:sz w:val="18"/>
          <w:szCs w:val="18"/>
        </w:rPr>
        <w:t xml:space="preserve">. De tariefstudie is op basis van deze analyse geactualiseerd. De conceptresultaten resulteren in een verhoging naar </w:t>
      </w:r>
      <w:r w:rsidRPr="00435AFD" w:rsidR="00DA30ED">
        <w:rPr>
          <w:sz w:val="18"/>
          <w:szCs w:val="18"/>
        </w:rPr>
        <w:t>42,50 EUR/ton CO2</w:t>
      </w:r>
      <w:r w:rsidR="00DA30ED">
        <w:rPr>
          <w:sz w:val="18"/>
          <w:szCs w:val="18"/>
        </w:rPr>
        <w:t xml:space="preserve"> in 2030. </w:t>
      </w:r>
      <w:r w:rsidR="00941733">
        <w:rPr>
          <w:sz w:val="18"/>
          <w:szCs w:val="18"/>
        </w:rPr>
        <w:t xml:space="preserve">Deze tariefstudie zal in de komende maanden worden gefinaliseerd aan de hand van de genomen </w:t>
      </w:r>
      <w:proofErr w:type="spellStart"/>
      <w:r w:rsidR="00941733">
        <w:rPr>
          <w:sz w:val="18"/>
          <w:szCs w:val="18"/>
        </w:rPr>
        <w:t>principe-besluiten</w:t>
      </w:r>
      <w:proofErr w:type="spellEnd"/>
      <w:r w:rsidR="00941733">
        <w:rPr>
          <w:sz w:val="18"/>
          <w:szCs w:val="18"/>
        </w:rPr>
        <w:t>.</w:t>
      </w:r>
    </w:p>
    <w:p w:rsidR="008E1E99" w:rsidP="008E1E99" w:rsidRDefault="008E1E99" w14:paraId="1728AC12" w14:textId="77777777">
      <w:pPr>
        <w:numPr>
          <w:ilvl w:val="0"/>
          <w:numId w:val="1"/>
        </w:numPr>
        <w:spacing w:after="0" w:line="240" w:lineRule="auto"/>
        <w:rPr>
          <w:rFonts w:eastAsia="Times New Roman" w:cs="Aptos"/>
          <w:b/>
          <w:bCs/>
          <w:sz w:val="18"/>
          <w:szCs w:val="18"/>
        </w:rPr>
      </w:pPr>
      <w:r>
        <w:rPr>
          <w:rFonts w:eastAsia="Times New Roman"/>
          <w:b/>
          <w:bCs/>
          <w:sz w:val="18"/>
          <w:szCs w:val="18"/>
        </w:rPr>
        <w:t>Bijmengverplichting:</w:t>
      </w:r>
      <w:r>
        <w:rPr>
          <w:rFonts w:eastAsia="Times New Roman"/>
          <w:sz w:val="18"/>
          <w:szCs w:val="18"/>
        </w:rPr>
        <w:t xml:space="preserve"> De bijmengverplichting is in den brede belangrijk voor een robuust toekomstig energiesysteem, voor warmtelevering in de gebouwde omgeving, voor verdienvermogen, stikstof- en methaanreductie in de landbouw en voor aanbod van duurzame CO2. Het wetsvoorstel gaat daarom door, maar wordt op twee punten bijgesteld </w:t>
      </w:r>
      <w:r>
        <w:rPr>
          <w:rFonts w:eastAsia="Times New Roman"/>
          <w:sz w:val="18"/>
          <w:szCs w:val="18"/>
        </w:rPr>
        <w:lastRenderedPageBreak/>
        <w:t xml:space="preserve">om lasten te verlagen (halvering): 1) verlate invoering per 2027 en 2) reductie van verplichte hoeveelheid bij te mengen groen gas met 25%. Indien de </w:t>
      </w:r>
      <w:proofErr w:type="spellStart"/>
      <w:r>
        <w:rPr>
          <w:rFonts w:eastAsia="Times New Roman"/>
          <w:sz w:val="18"/>
          <w:szCs w:val="18"/>
        </w:rPr>
        <w:t>convenantspartners</w:t>
      </w:r>
      <w:proofErr w:type="spellEnd"/>
      <w:r>
        <w:rPr>
          <w:rFonts w:eastAsia="Times New Roman"/>
          <w:sz w:val="18"/>
          <w:szCs w:val="18"/>
        </w:rPr>
        <w:t xml:space="preserve"> voor de zomer gezamenlijk tot een beter alternatief komen voor de bijmengverplichting met eenzelfde doelbereik in den breedte (inclusief opschaling groen gas) dan kan daar over nagedacht worden. Parallel worden vervolgstappen in het wetstraject genomen (advies Raad van State, verzending aan Tweede Kamer) zodat er geen verdere vertraging optreedt.  </w:t>
      </w:r>
    </w:p>
    <w:p w:rsidRPr="00167538" w:rsidR="00167538" w:rsidP="00167538" w:rsidRDefault="000E238E" w14:paraId="3A106873" w14:textId="344FD6A1">
      <w:pPr>
        <w:pStyle w:val="Lijstalinea"/>
        <w:numPr>
          <w:ilvl w:val="0"/>
          <w:numId w:val="1"/>
        </w:numPr>
        <w:rPr>
          <w:b/>
          <w:bCs/>
          <w:sz w:val="18"/>
          <w:szCs w:val="18"/>
        </w:rPr>
      </w:pPr>
      <w:r w:rsidRPr="00B36F68">
        <w:rPr>
          <w:b/>
          <w:bCs/>
          <w:sz w:val="18"/>
          <w:szCs w:val="18"/>
        </w:rPr>
        <w:t>Compensatie:</w:t>
      </w:r>
      <w:r w:rsidRPr="00B36F68" w:rsidR="00E17C2E">
        <w:rPr>
          <w:b/>
          <w:bCs/>
          <w:sz w:val="18"/>
          <w:szCs w:val="18"/>
        </w:rPr>
        <w:t xml:space="preserve"> </w:t>
      </w:r>
      <w:r w:rsidRPr="00E17C2E" w:rsidR="000C25DF">
        <w:rPr>
          <w:sz w:val="18"/>
          <w:szCs w:val="18"/>
        </w:rPr>
        <w:t>D</w:t>
      </w:r>
      <w:r w:rsidR="002A7B63">
        <w:rPr>
          <w:sz w:val="18"/>
          <w:szCs w:val="18"/>
        </w:rPr>
        <w:t xml:space="preserve">e sector </w:t>
      </w:r>
      <w:r w:rsidR="006B71B5">
        <w:rPr>
          <w:sz w:val="18"/>
          <w:szCs w:val="18"/>
        </w:rPr>
        <w:t xml:space="preserve">wordt </w:t>
      </w:r>
      <w:r w:rsidR="002A7B63">
        <w:rPr>
          <w:sz w:val="18"/>
          <w:szCs w:val="18"/>
        </w:rPr>
        <w:t xml:space="preserve">volledig gecompenseerd voor de bijmengverplichting en voor de ETS2 </w:t>
      </w:r>
      <w:proofErr w:type="spellStart"/>
      <w:r w:rsidR="002A7B63">
        <w:rPr>
          <w:sz w:val="18"/>
          <w:szCs w:val="18"/>
        </w:rPr>
        <w:t>opt</w:t>
      </w:r>
      <w:proofErr w:type="spellEnd"/>
      <w:r w:rsidR="002A7B63">
        <w:rPr>
          <w:sz w:val="18"/>
          <w:szCs w:val="18"/>
        </w:rPr>
        <w:t xml:space="preserve">-in </w:t>
      </w:r>
      <w:r w:rsidRPr="007C32FF" w:rsidR="002A7B63">
        <w:rPr>
          <w:sz w:val="18"/>
          <w:szCs w:val="18"/>
        </w:rPr>
        <w:t xml:space="preserve">tot de hoogte van het nieuwe tarief voor de CO2 heffing die nodig is om het 2030 restemissiedoel van de sector (4,3 </w:t>
      </w:r>
      <w:proofErr w:type="spellStart"/>
      <w:r w:rsidRPr="007C32FF" w:rsidR="002A7B63">
        <w:rPr>
          <w:sz w:val="18"/>
          <w:szCs w:val="18"/>
        </w:rPr>
        <w:t>Mton</w:t>
      </w:r>
      <w:proofErr w:type="spellEnd"/>
      <w:r w:rsidRPr="007C32FF" w:rsidR="002A7B63">
        <w:rPr>
          <w:sz w:val="18"/>
          <w:szCs w:val="18"/>
        </w:rPr>
        <w:t>) met voldoende zekerheid te halen</w:t>
      </w:r>
      <w:r w:rsidR="002E4434">
        <w:rPr>
          <w:sz w:val="18"/>
          <w:szCs w:val="18"/>
        </w:rPr>
        <w:t xml:space="preserve">. De </w:t>
      </w:r>
      <w:r w:rsidR="00884AA3">
        <w:rPr>
          <w:sz w:val="18"/>
          <w:szCs w:val="18"/>
        </w:rPr>
        <w:t xml:space="preserve">benodigde hoogte van het tarief (concept </w:t>
      </w:r>
      <w:r w:rsidRPr="007C32FF" w:rsidR="002A7B63">
        <w:rPr>
          <w:sz w:val="18"/>
          <w:szCs w:val="18"/>
        </w:rPr>
        <w:t>42,5 EUR/ton CO2</w:t>
      </w:r>
      <w:r w:rsidR="00884AA3">
        <w:rPr>
          <w:sz w:val="18"/>
          <w:szCs w:val="18"/>
        </w:rPr>
        <w:t xml:space="preserve">) </w:t>
      </w:r>
      <w:r w:rsidR="005D1434">
        <w:rPr>
          <w:sz w:val="18"/>
          <w:szCs w:val="18"/>
        </w:rPr>
        <w:t xml:space="preserve">en de daarbij aansluitende compensatie </w:t>
      </w:r>
      <w:r w:rsidR="00884AA3">
        <w:rPr>
          <w:sz w:val="18"/>
          <w:szCs w:val="18"/>
        </w:rPr>
        <w:t>wordt richting augustus</w:t>
      </w:r>
      <w:r w:rsidRPr="007C32FF" w:rsidR="002A7B63">
        <w:rPr>
          <w:sz w:val="18"/>
          <w:szCs w:val="18"/>
        </w:rPr>
        <w:t xml:space="preserve"> definitie</w:t>
      </w:r>
      <w:r w:rsidR="00C65128">
        <w:rPr>
          <w:sz w:val="18"/>
          <w:szCs w:val="18"/>
        </w:rPr>
        <w:t>f</w:t>
      </w:r>
      <w:r w:rsidRPr="007C32FF" w:rsidR="002A7B63">
        <w:rPr>
          <w:sz w:val="18"/>
          <w:szCs w:val="18"/>
        </w:rPr>
        <w:t xml:space="preserve"> </w:t>
      </w:r>
      <w:r w:rsidR="00C65128">
        <w:rPr>
          <w:sz w:val="18"/>
          <w:szCs w:val="18"/>
        </w:rPr>
        <w:t>doorgerekend.</w:t>
      </w:r>
      <w:r w:rsidR="005D1434">
        <w:rPr>
          <w:sz w:val="18"/>
          <w:szCs w:val="18"/>
        </w:rPr>
        <w:t xml:space="preserve"> Hierbij wordt in ieder geval verder gewerkt aan </w:t>
      </w:r>
      <w:r w:rsidR="00B630C7">
        <w:rPr>
          <w:sz w:val="18"/>
          <w:szCs w:val="18"/>
        </w:rPr>
        <w:t>1) het afschaffen van de CO2-heffing per 2027, 2) de oprichting van een kostencompensatieregeling</w:t>
      </w:r>
      <w:r w:rsidR="00941733">
        <w:rPr>
          <w:sz w:val="18"/>
          <w:szCs w:val="18"/>
        </w:rPr>
        <w:t xml:space="preserve"> per 2027</w:t>
      </w:r>
      <w:r w:rsidR="00B630C7">
        <w:rPr>
          <w:sz w:val="18"/>
          <w:szCs w:val="18"/>
        </w:rPr>
        <w:t xml:space="preserve">, en 3) </w:t>
      </w:r>
      <w:r w:rsidR="00577CDB">
        <w:rPr>
          <w:sz w:val="18"/>
          <w:szCs w:val="18"/>
        </w:rPr>
        <w:t xml:space="preserve">fiscale compensatie via de </w:t>
      </w:r>
      <w:r w:rsidR="00E325EB">
        <w:rPr>
          <w:sz w:val="18"/>
          <w:szCs w:val="18"/>
        </w:rPr>
        <w:t>energiebelastingtarieven voor de glastuinbouw</w:t>
      </w:r>
      <w:r w:rsidR="00577CDB">
        <w:rPr>
          <w:sz w:val="18"/>
          <w:szCs w:val="18"/>
        </w:rPr>
        <w:t xml:space="preserve">. </w:t>
      </w:r>
      <w:r w:rsidR="00AE7038">
        <w:rPr>
          <w:sz w:val="18"/>
          <w:szCs w:val="18"/>
        </w:rPr>
        <w:t>Om oog te houden voor</w:t>
      </w:r>
      <w:r w:rsidR="00396AB0">
        <w:rPr>
          <w:sz w:val="18"/>
          <w:szCs w:val="18"/>
        </w:rPr>
        <w:t xml:space="preserve"> het staatssteunproces dat doorlopen moet worden voor compensatie, wordt uiterlijk</w:t>
      </w:r>
      <w:r w:rsidR="00AE7038">
        <w:rPr>
          <w:sz w:val="18"/>
          <w:szCs w:val="18"/>
        </w:rPr>
        <w:t xml:space="preserve"> </w:t>
      </w:r>
      <w:r w:rsidR="00396AB0">
        <w:rPr>
          <w:sz w:val="18"/>
          <w:szCs w:val="18"/>
        </w:rPr>
        <w:t>i</w:t>
      </w:r>
      <w:r w:rsidRPr="007C32FF" w:rsidR="009946C2">
        <w:rPr>
          <w:sz w:val="18"/>
          <w:szCs w:val="18"/>
        </w:rPr>
        <w:t xml:space="preserve">n april 2026 geëvalueerd of de uitgewerkte compensatie redelijk en tijdig is. </w:t>
      </w:r>
      <w:r w:rsidR="00E0481A">
        <w:rPr>
          <w:sz w:val="18"/>
          <w:szCs w:val="18"/>
        </w:rPr>
        <w:t>Indien dit niet het geval is,</w:t>
      </w:r>
      <w:r w:rsidRPr="007C32FF" w:rsidR="009946C2">
        <w:rPr>
          <w:sz w:val="18"/>
          <w:szCs w:val="18"/>
        </w:rPr>
        <w:t xml:space="preserve"> komt er een alternatieve vorm van compensatie voor de sector en als er geen alternatief kan worden gevonden dat voldoende bedrijfsspecifieke compensatie biedt zullen de afspraken worden heroverwogen</w:t>
      </w:r>
      <w:r w:rsidR="00336844">
        <w:rPr>
          <w:sz w:val="18"/>
          <w:szCs w:val="18"/>
        </w:rPr>
        <w:t>.</w:t>
      </w:r>
    </w:p>
    <w:p w:rsidRPr="007C711C" w:rsidR="007C711C" w:rsidP="001575B0" w:rsidRDefault="002921B5" w14:paraId="036D39D0" w14:textId="77777777">
      <w:pPr>
        <w:pStyle w:val="Lijstalinea"/>
        <w:numPr>
          <w:ilvl w:val="0"/>
          <w:numId w:val="1"/>
        </w:numPr>
        <w:rPr>
          <w:b/>
          <w:bCs/>
          <w:sz w:val="18"/>
          <w:szCs w:val="18"/>
        </w:rPr>
      </w:pPr>
      <w:r w:rsidRPr="00167538">
        <w:rPr>
          <w:b/>
          <w:bCs/>
          <w:sz w:val="18"/>
          <w:szCs w:val="18"/>
        </w:rPr>
        <w:t>Randvoorwaarden:</w:t>
      </w:r>
      <w:r w:rsidRPr="00167538" w:rsidR="00167538">
        <w:rPr>
          <w:b/>
          <w:bCs/>
          <w:sz w:val="18"/>
          <w:szCs w:val="18"/>
        </w:rPr>
        <w:t xml:space="preserve"> </w:t>
      </w:r>
      <w:r w:rsidRPr="00A75A8A" w:rsidR="00A75A8A">
        <w:rPr>
          <w:sz w:val="18"/>
          <w:szCs w:val="18"/>
        </w:rPr>
        <w:t>Het kabinet</w:t>
      </w:r>
      <w:r w:rsidR="00A75A8A">
        <w:rPr>
          <w:b/>
          <w:bCs/>
          <w:sz w:val="18"/>
          <w:szCs w:val="18"/>
        </w:rPr>
        <w:t xml:space="preserve"> </w:t>
      </w:r>
      <w:r w:rsidR="00A75A8A">
        <w:rPr>
          <w:sz w:val="18"/>
          <w:szCs w:val="18"/>
        </w:rPr>
        <w:t xml:space="preserve">vindt het belangrijk </w:t>
      </w:r>
      <w:r w:rsidR="00CF019E">
        <w:rPr>
          <w:sz w:val="18"/>
          <w:szCs w:val="18"/>
        </w:rPr>
        <w:t xml:space="preserve">dat </w:t>
      </w:r>
      <w:r w:rsidR="009C44C8">
        <w:rPr>
          <w:sz w:val="18"/>
          <w:szCs w:val="18"/>
        </w:rPr>
        <w:t xml:space="preserve">de randvoorwaarden voor verduurzaming voldoende op orde zijn. </w:t>
      </w:r>
      <w:r w:rsidR="001B188A">
        <w:rPr>
          <w:sz w:val="18"/>
          <w:szCs w:val="18"/>
        </w:rPr>
        <w:t xml:space="preserve">Hiervoor is o.a. de SDE een belangrijk instrument voor de glastuinbouw. </w:t>
      </w:r>
      <w:r w:rsidRPr="00E378FF" w:rsidR="001B188A">
        <w:rPr>
          <w:sz w:val="18"/>
          <w:szCs w:val="18"/>
        </w:rPr>
        <w:t xml:space="preserve">De komende jaren kan de glastuinbouw ook weer gebruik maken van de SDE++. In de VJN is voor 2026 een openstellingsbudget van 8 miljard euro overeengekomen. </w:t>
      </w:r>
      <w:r w:rsidRPr="007C32FF" w:rsidR="00742872">
        <w:rPr>
          <w:sz w:val="18"/>
          <w:szCs w:val="18"/>
        </w:rPr>
        <w:t xml:space="preserve">Bij uitzondering wordt voor de glastuinbouw binnen de SDE voor bestaande projecten niet gecorrigeerd voor de ETS2 </w:t>
      </w:r>
      <w:proofErr w:type="spellStart"/>
      <w:r w:rsidRPr="007C32FF" w:rsidR="00742872">
        <w:rPr>
          <w:sz w:val="18"/>
          <w:szCs w:val="18"/>
        </w:rPr>
        <w:t>opt</w:t>
      </w:r>
      <w:proofErr w:type="spellEnd"/>
      <w:r w:rsidRPr="007C32FF" w:rsidR="00742872">
        <w:rPr>
          <w:sz w:val="18"/>
          <w:szCs w:val="18"/>
        </w:rPr>
        <w:t>-in, omdat bedrijven hier rekening mee hebben gehouden bij het aanvragen van subsidie.</w:t>
      </w:r>
      <w:r w:rsidR="001575B0">
        <w:rPr>
          <w:sz w:val="18"/>
          <w:szCs w:val="18"/>
        </w:rPr>
        <w:t xml:space="preserve"> </w:t>
      </w:r>
      <w:r w:rsidR="009C44C8">
        <w:rPr>
          <w:sz w:val="18"/>
          <w:szCs w:val="18"/>
        </w:rPr>
        <w:t>Daar</w:t>
      </w:r>
      <w:r w:rsidR="001575B0">
        <w:rPr>
          <w:sz w:val="18"/>
          <w:szCs w:val="18"/>
        </w:rPr>
        <w:t>naast</w:t>
      </w:r>
      <w:r w:rsidR="009C44C8">
        <w:rPr>
          <w:sz w:val="18"/>
          <w:szCs w:val="18"/>
        </w:rPr>
        <w:t xml:space="preserve"> stelt het kabinet, aanvullend aan de volledige compensatie van de </w:t>
      </w:r>
      <w:proofErr w:type="spellStart"/>
      <w:r w:rsidR="009C44C8">
        <w:rPr>
          <w:sz w:val="18"/>
          <w:szCs w:val="18"/>
        </w:rPr>
        <w:t>overshoot</w:t>
      </w:r>
      <w:proofErr w:type="spellEnd"/>
      <w:r w:rsidR="001263AC">
        <w:rPr>
          <w:sz w:val="18"/>
          <w:szCs w:val="18"/>
        </w:rPr>
        <w:t>,</w:t>
      </w:r>
      <w:r w:rsidRPr="00167538" w:rsidR="00167538">
        <w:rPr>
          <w:sz w:val="18"/>
          <w:szCs w:val="18"/>
        </w:rPr>
        <w:t xml:space="preserve"> 200 </w:t>
      </w:r>
      <w:proofErr w:type="spellStart"/>
      <w:r w:rsidRPr="00167538" w:rsidR="00167538">
        <w:rPr>
          <w:sz w:val="18"/>
          <w:szCs w:val="18"/>
        </w:rPr>
        <w:t>mln</w:t>
      </w:r>
      <w:proofErr w:type="spellEnd"/>
      <w:r w:rsidRPr="00167538" w:rsidR="00167538">
        <w:rPr>
          <w:sz w:val="18"/>
          <w:szCs w:val="18"/>
        </w:rPr>
        <w:t xml:space="preserve"> uit het Klimaatfonds beschikbaar voor randvoorwaarden</w:t>
      </w:r>
      <w:r w:rsidR="001263AC">
        <w:rPr>
          <w:sz w:val="18"/>
          <w:szCs w:val="18"/>
        </w:rPr>
        <w:t xml:space="preserve">. In overleg met de sector wordt hiermee een </w:t>
      </w:r>
      <w:proofErr w:type="spellStart"/>
      <w:r w:rsidR="001263AC">
        <w:rPr>
          <w:sz w:val="18"/>
          <w:szCs w:val="18"/>
        </w:rPr>
        <w:t>randvoorwaardenpakket</w:t>
      </w:r>
      <w:proofErr w:type="spellEnd"/>
      <w:r w:rsidR="001263AC">
        <w:rPr>
          <w:sz w:val="18"/>
          <w:szCs w:val="18"/>
        </w:rPr>
        <w:t xml:space="preserve"> </w:t>
      </w:r>
      <w:r w:rsidR="00313E96">
        <w:rPr>
          <w:sz w:val="18"/>
          <w:szCs w:val="18"/>
        </w:rPr>
        <w:t xml:space="preserve">verder uitgewerkt, o.a. voor </w:t>
      </w:r>
      <w:r w:rsidRPr="00167538" w:rsidR="00167538">
        <w:rPr>
          <w:sz w:val="18"/>
          <w:szCs w:val="18"/>
        </w:rPr>
        <w:t xml:space="preserve">warmte en betaalbare elektriciteit. Dit </w:t>
      </w:r>
      <w:proofErr w:type="spellStart"/>
      <w:r w:rsidRPr="00167538" w:rsidR="00167538">
        <w:rPr>
          <w:sz w:val="18"/>
          <w:szCs w:val="18"/>
        </w:rPr>
        <w:t>randvoorwaardenpakket</w:t>
      </w:r>
      <w:proofErr w:type="spellEnd"/>
      <w:r w:rsidRPr="00167538" w:rsidR="00167538">
        <w:rPr>
          <w:sz w:val="18"/>
          <w:szCs w:val="18"/>
        </w:rPr>
        <w:t xml:space="preserve"> wordt met Prinsjesdag 2025 gepresenteerd. </w:t>
      </w:r>
    </w:p>
    <w:p w:rsidR="008B1BC4" w:rsidP="007C711C" w:rsidRDefault="008B1BC4" w14:paraId="60865087" w14:textId="77777777">
      <w:pPr>
        <w:rPr>
          <w:b/>
          <w:bCs/>
          <w:sz w:val="18"/>
          <w:szCs w:val="18"/>
        </w:rPr>
      </w:pPr>
    </w:p>
    <w:p w:rsidR="002921B5" w:rsidP="007C711C" w:rsidRDefault="007C711C" w14:paraId="47875103" w14:textId="03C96723">
      <w:pPr>
        <w:rPr>
          <w:b/>
          <w:bCs/>
          <w:sz w:val="18"/>
          <w:szCs w:val="18"/>
        </w:rPr>
      </w:pPr>
      <w:r w:rsidRPr="007C711C">
        <w:rPr>
          <w:b/>
          <w:bCs/>
          <w:sz w:val="18"/>
          <w:szCs w:val="18"/>
        </w:rPr>
        <w:t>Vervolg</w:t>
      </w:r>
      <w:r w:rsidRPr="007C711C" w:rsidR="00C41CEF">
        <w:rPr>
          <w:b/>
          <w:bCs/>
          <w:sz w:val="18"/>
          <w:szCs w:val="18"/>
        </w:rPr>
        <w:t xml:space="preserve"> </w:t>
      </w:r>
    </w:p>
    <w:p w:rsidRPr="007C32FF" w:rsidR="00846584" w:rsidP="00846584" w:rsidRDefault="004330D8" w14:paraId="36DFBA5D" w14:textId="646A2B81">
      <w:pPr>
        <w:rPr>
          <w:sz w:val="18"/>
          <w:szCs w:val="18"/>
        </w:rPr>
      </w:pPr>
      <w:r>
        <w:rPr>
          <w:sz w:val="18"/>
          <w:szCs w:val="18"/>
        </w:rPr>
        <w:t>Indien nadere</w:t>
      </w:r>
      <w:r w:rsidR="00341BB5">
        <w:rPr>
          <w:sz w:val="18"/>
          <w:szCs w:val="18"/>
        </w:rPr>
        <w:t xml:space="preserve"> toelichting komende dagen gewenst is dan gaan LVVN, </w:t>
      </w:r>
      <w:r w:rsidR="00E325EB">
        <w:rPr>
          <w:sz w:val="18"/>
          <w:szCs w:val="18"/>
        </w:rPr>
        <w:t>KGG</w:t>
      </w:r>
      <w:r w:rsidR="00341BB5">
        <w:rPr>
          <w:sz w:val="18"/>
          <w:szCs w:val="18"/>
        </w:rPr>
        <w:t xml:space="preserve"> en </w:t>
      </w:r>
      <w:r w:rsidR="00E325EB">
        <w:rPr>
          <w:sz w:val="18"/>
          <w:szCs w:val="18"/>
        </w:rPr>
        <w:t>FIN</w:t>
      </w:r>
      <w:r w:rsidR="00341BB5">
        <w:rPr>
          <w:sz w:val="18"/>
          <w:szCs w:val="18"/>
        </w:rPr>
        <w:t xml:space="preserve"> daar graag op in. </w:t>
      </w:r>
      <w:r w:rsidR="007C711C">
        <w:rPr>
          <w:sz w:val="18"/>
          <w:szCs w:val="18"/>
        </w:rPr>
        <w:t xml:space="preserve">De voorjaarsnota </w:t>
      </w:r>
      <w:r w:rsidR="00C139A1">
        <w:rPr>
          <w:sz w:val="18"/>
          <w:szCs w:val="18"/>
        </w:rPr>
        <w:t xml:space="preserve">wordt </w:t>
      </w:r>
      <w:r w:rsidR="00CB294A">
        <w:rPr>
          <w:sz w:val="18"/>
          <w:szCs w:val="18"/>
        </w:rPr>
        <w:t>deze of volgende week</w:t>
      </w:r>
      <w:r w:rsidR="00C139A1">
        <w:rPr>
          <w:sz w:val="18"/>
          <w:szCs w:val="18"/>
        </w:rPr>
        <w:t xml:space="preserve"> met de Kamer gedeeld. Gezamenlijk met de convenants-partners gaan we daarna graag in gesprek </w:t>
      </w:r>
      <w:r w:rsidR="00FD00D8">
        <w:rPr>
          <w:sz w:val="18"/>
          <w:szCs w:val="18"/>
        </w:rPr>
        <w:t>over bovenstaande elementen om verder uit te werken.</w:t>
      </w:r>
      <w:r w:rsidR="00AB6C02">
        <w:rPr>
          <w:sz w:val="18"/>
          <w:szCs w:val="18"/>
        </w:rPr>
        <w:t xml:space="preserve"> </w:t>
      </w:r>
      <w:r w:rsidRPr="007C32FF" w:rsidR="00846584">
        <w:rPr>
          <w:sz w:val="18"/>
          <w:szCs w:val="18"/>
        </w:rPr>
        <w:t>Ruim voor 2030 gaat het kabinet in gesprek met de sector over nieuwe afspraken voor na 2030 om de balans in stimuleren, normeren en beprijzen voort te zetten.</w:t>
      </w:r>
    </w:p>
    <w:p w:rsidRPr="007C711C" w:rsidR="007C711C" w:rsidP="007C711C" w:rsidRDefault="007C711C" w14:paraId="6785254E" w14:textId="3FFD51E2">
      <w:pPr>
        <w:rPr>
          <w:sz w:val="18"/>
          <w:szCs w:val="18"/>
        </w:rPr>
      </w:pPr>
    </w:p>
    <w:sectPr w:rsidRPr="007C711C" w:rsidR="007C711C">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9CC8" w14:textId="77777777" w:rsidR="002F54B9" w:rsidRDefault="002F54B9" w:rsidP="006542A9">
      <w:pPr>
        <w:spacing w:after="0" w:line="240" w:lineRule="auto"/>
      </w:pPr>
      <w:r>
        <w:separator/>
      </w:r>
    </w:p>
  </w:endnote>
  <w:endnote w:type="continuationSeparator" w:id="0">
    <w:p w14:paraId="1E49D1A4" w14:textId="77777777" w:rsidR="002F54B9" w:rsidRDefault="002F54B9" w:rsidP="00654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AD90" w14:textId="347BD1AA" w:rsidR="006542A9" w:rsidRDefault="006542A9">
    <w:pPr>
      <w:pStyle w:val="Voettekst"/>
    </w:pPr>
    <w:r>
      <w:rPr>
        <w:noProof/>
      </w:rPr>
      <mc:AlternateContent>
        <mc:Choice Requires="wps">
          <w:drawing>
            <wp:anchor distT="0" distB="0" distL="0" distR="0" simplePos="0" relativeHeight="251659264" behindDoc="0" locked="0" layoutInCell="1" allowOverlap="1" wp14:anchorId="0D2724F4" wp14:editId="3BF5A907">
              <wp:simplePos x="635" y="635"/>
              <wp:positionH relativeFrom="page">
                <wp:align>left</wp:align>
              </wp:positionH>
              <wp:positionV relativeFrom="page">
                <wp:align>bottom</wp:align>
              </wp:positionV>
              <wp:extent cx="982345" cy="357505"/>
              <wp:effectExtent l="0" t="0" r="8255" b="0"/>
              <wp:wrapNone/>
              <wp:docPr id="2076251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B846BC4" w14:textId="52272B73"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724F4"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6B846BC4" w14:textId="52272B73"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CAF0" w14:textId="0879DA33" w:rsidR="006542A9" w:rsidRDefault="006542A9">
    <w:pPr>
      <w:pStyle w:val="Voettekst"/>
    </w:pPr>
    <w:r>
      <w:rPr>
        <w:noProof/>
      </w:rPr>
      <mc:AlternateContent>
        <mc:Choice Requires="wps">
          <w:drawing>
            <wp:anchor distT="0" distB="0" distL="0" distR="0" simplePos="0" relativeHeight="251660288" behindDoc="0" locked="0" layoutInCell="1" allowOverlap="1" wp14:anchorId="45B487AE" wp14:editId="3623D136">
              <wp:simplePos x="904875" y="10058400"/>
              <wp:positionH relativeFrom="page">
                <wp:align>left</wp:align>
              </wp:positionH>
              <wp:positionV relativeFrom="page">
                <wp:align>bottom</wp:align>
              </wp:positionV>
              <wp:extent cx="982345" cy="357505"/>
              <wp:effectExtent l="0" t="0" r="8255" b="0"/>
              <wp:wrapNone/>
              <wp:docPr id="181500848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319FF56" w14:textId="37654C27"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487AE" id="_x0000_t202" coordsize="21600,21600" o:spt="202" path="m,l,21600r21600,l21600,xe">
              <v:stroke joinstyle="miter"/>
              <v:path gradientshapeok="t" o:connecttype="rect"/>
            </v:shapetype>
            <v:shape id="Tekstvak 3" o:spid="_x0000_s1027"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319FF56" w14:textId="37654C27"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487F" w14:textId="4C63AA18" w:rsidR="006542A9" w:rsidRDefault="006542A9">
    <w:pPr>
      <w:pStyle w:val="Voettekst"/>
    </w:pPr>
    <w:r>
      <w:rPr>
        <w:noProof/>
      </w:rPr>
      <mc:AlternateContent>
        <mc:Choice Requires="wps">
          <w:drawing>
            <wp:anchor distT="0" distB="0" distL="0" distR="0" simplePos="0" relativeHeight="251658240" behindDoc="0" locked="0" layoutInCell="1" allowOverlap="1" wp14:anchorId="268125CC" wp14:editId="7E30822B">
              <wp:simplePos x="635" y="635"/>
              <wp:positionH relativeFrom="page">
                <wp:align>left</wp:align>
              </wp:positionH>
              <wp:positionV relativeFrom="page">
                <wp:align>bottom</wp:align>
              </wp:positionV>
              <wp:extent cx="982345" cy="357505"/>
              <wp:effectExtent l="0" t="0" r="8255" b="0"/>
              <wp:wrapNone/>
              <wp:docPr id="196601010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03E64274" w14:textId="339004C1"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125CC"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03E64274" w14:textId="339004C1" w:rsidR="006542A9" w:rsidRPr="006542A9" w:rsidRDefault="006542A9" w:rsidP="006542A9">
                    <w:pPr>
                      <w:spacing w:after="0"/>
                      <w:rPr>
                        <w:rFonts w:ascii="Calibri" w:eastAsia="Calibri" w:hAnsi="Calibri" w:cs="Calibri"/>
                        <w:noProof/>
                        <w:color w:val="000000"/>
                        <w:sz w:val="20"/>
                        <w:szCs w:val="20"/>
                      </w:rPr>
                    </w:pPr>
                    <w:r w:rsidRPr="006542A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19F7" w14:textId="77777777" w:rsidR="002F54B9" w:rsidRDefault="002F54B9" w:rsidP="006542A9">
      <w:pPr>
        <w:spacing w:after="0" w:line="240" w:lineRule="auto"/>
      </w:pPr>
      <w:r>
        <w:separator/>
      </w:r>
    </w:p>
  </w:footnote>
  <w:footnote w:type="continuationSeparator" w:id="0">
    <w:p w14:paraId="443F5121" w14:textId="77777777" w:rsidR="002F54B9" w:rsidRDefault="002F54B9" w:rsidP="00654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E690D"/>
    <w:multiLevelType w:val="hybridMultilevel"/>
    <w:tmpl w:val="EACC1D3C"/>
    <w:lvl w:ilvl="0" w:tplc="DD0A7A70">
      <w:start w:val="1"/>
      <w:numFmt w:val="bullet"/>
      <w:lvlText w:val="›"/>
      <w:lvlJc w:val="left"/>
      <w:pPr>
        <w:tabs>
          <w:tab w:val="num" w:pos="720"/>
        </w:tabs>
        <w:ind w:left="720" w:hanging="360"/>
      </w:pPr>
      <w:rPr>
        <w:rFonts w:ascii="Verdana" w:hAnsi="Verdana" w:hint="default"/>
      </w:rPr>
    </w:lvl>
    <w:lvl w:ilvl="1" w:tplc="A40CDFC4">
      <w:numFmt w:val="bullet"/>
      <w:lvlText w:val="–"/>
      <w:lvlJc w:val="left"/>
      <w:pPr>
        <w:tabs>
          <w:tab w:val="num" w:pos="1440"/>
        </w:tabs>
        <w:ind w:left="1440" w:hanging="360"/>
      </w:pPr>
      <w:rPr>
        <w:rFonts w:ascii="Verdana" w:hAnsi="Verdana" w:hint="default"/>
      </w:rPr>
    </w:lvl>
    <w:lvl w:ilvl="2" w:tplc="0DD020D4" w:tentative="1">
      <w:start w:val="1"/>
      <w:numFmt w:val="bullet"/>
      <w:lvlText w:val="›"/>
      <w:lvlJc w:val="left"/>
      <w:pPr>
        <w:tabs>
          <w:tab w:val="num" w:pos="2160"/>
        </w:tabs>
        <w:ind w:left="2160" w:hanging="360"/>
      </w:pPr>
      <w:rPr>
        <w:rFonts w:ascii="Verdana" w:hAnsi="Verdana" w:hint="default"/>
      </w:rPr>
    </w:lvl>
    <w:lvl w:ilvl="3" w:tplc="EA0A4010" w:tentative="1">
      <w:start w:val="1"/>
      <w:numFmt w:val="bullet"/>
      <w:lvlText w:val="›"/>
      <w:lvlJc w:val="left"/>
      <w:pPr>
        <w:tabs>
          <w:tab w:val="num" w:pos="2880"/>
        </w:tabs>
        <w:ind w:left="2880" w:hanging="360"/>
      </w:pPr>
      <w:rPr>
        <w:rFonts w:ascii="Verdana" w:hAnsi="Verdana" w:hint="default"/>
      </w:rPr>
    </w:lvl>
    <w:lvl w:ilvl="4" w:tplc="2236EDCA" w:tentative="1">
      <w:start w:val="1"/>
      <w:numFmt w:val="bullet"/>
      <w:lvlText w:val="›"/>
      <w:lvlJc w:val="left"/>
      <w:pPr>
        <w:tabs>
          <w:tab w:val="num" w:pos="3600"/>
        </w:tabs>
        <w:ind w:left="3600" w:hanging="360"/>
      </w:pPr>
      <w:rPr>
        <w:rFonts w:ascii="Verdana" w:hAnsi="Verdana" w:hint="default"/>
      </w:rPr>
    </w:lvl>
    <w:lvl w:ilvl="5" w:tplc="09EA972C" w:tentative="1">
      <w:start w:val="1"/>
      <w:numFmt w:val="bullet"/>
      <w:lvlText w:val="›"/>
      <w:lvlJc w:val="left"/>
      <w:pPr>
        <w:tabs>
          <w:tab w:val="num" w:pos="4320"/>
        </w:tabs>
        <w:ind w:left="4320" w:hanging="360"/>
      </w:pPr>
      <w:rPr>
        <w:rFonts w:ascii="Verdana" w:hAnsi="Verdana" w:hint="default"/>
      </w:rPr>
    </w:lvl>
    <w:lvl w:ilvl="6" w:tplc="DD24653E" w:tentative="1">
      <w:start w:val="1"/>
      <w:numFmt w:val="bullet"/>
      <w:lvlText w:val="›"/>
      <w:lvlJc w:val="left"/>
      <w:pPr>
        <w:tabs>
          <w:tab w:val="num" w:pos="5040"/>
        </w:tabs>
        <w:ind w:left="5040" w:hanging="360"/>
      </w:pPr>
      <w:rPr>
        <w:rFonts w:ascii="Verdana" w:hAnsi="Verdana" w:hint="default"/>
      </w:rPr>
    </w:lvl>
    <w:lvl w:ilvl="7" w:tplc="93A47AC0" w:tentative="1">
      <w:start w:val="1"/>
      <w:numFmt w:val="bullet"/>
      <w:lvlText w:val="›"/>
      <w:lvlJc w:val="left"/>
      <w:pPr>
        <w:tabs>
          <w:tab w:val="num" w:pos="5760"/>
        </w:tabs>
        <w:ind w:left="5760" w:hanging="360"/>
      </w:pPr>
      <w:rPr>
        <w:rFonts w:ascii="Verdana" w:hAnsi="Verdana" w:hint="default"/>
      </w:rPr>
    </w:lvl>
    <w:lvl w:ilvl="8" w:tplc="A2F4D382"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34281BA1"/>
    <w:multiLevelType w:val="hybridMultilevel"/>
    <w:tmpl w:val="413E4502"/>
    <w:lvl w:ilvl="0" w:tplc="BE0C4F18">
      <w:start w:val="1"/>
      <w:numFmt w:val="bullet"/>
      <w:lvlText w:val="›"/>
      <w:lvlJc w:val="left"/>
      <w:pPr>
        <w:tabs>
          <w:tab w:val="num" w:pos="720"/>
        </w:tabs>
        <w:ind w:left="720" w:hanging="360"/>
      </w:pPr>
      <w:rPr>
        <w:rFonts w:ascii="Verdana" w:hAnsi="Verdana" w:hint="default"/>
      </w:rPr>
    </w:lvl>
    <w:lvl w:ilvl="1" w:tplc="9E384D2E" w:tentative="1">
      <w:start w:val="1"/>
      <w:numFmt w:val="bullet"/>
      <w:lvlText w:val="›"/>
      <w:lvlJc w:val="left"/>
      <w:pPr>
        <w:tabs>
          <w:tab w:val="num" w:pos="1440"/>
        </w:tabs>
        <w:ind w:left="1440" w:hanging="360"/>
      </w:pPr>
      <w:rPr>
        <w:rFonts w:ascii="Verdana" w:hAnsi="Verdana" w:hint="default"/>
      </w:rPr>
    </w:lvl>
    <w:lvl w:ilvl="2" w:tplc="75222B52" w:tentative="1">
      <w:start w:val="1"/>
      <w:numFmt w:val="bullet"/>
      <w:lvlText w:val="›"/>
      <w:lvlJc w:val="left"/>
      <w:pPr>
        <w:tabs>
          <w:tab w:val="num" w:pos="2160"/>
        </w:tabs>
        <w:ind w:left="2160" w:hanging="360"/>
      </w:pPr>
      <w:rPr>
        <w:rFonts w:ascii="Verdana" w:hAnsi="Verdana" w:hint="default"/>
      </w:rPr>
    </w:lvl>
    <w:lvl w:ilvl="3" w:tplc="67942EAA" w:tentative="1">
      <w:start w:val="1"/>
      <w:numFmt w:val="bullet"/>
      <w:lvlText w:val="›"/>
      <w:lvlJc w:val="left"/>
      <w:pPr>
        <w:tabs>
          <w:tab w:val="num" w:pos="2880"/>
        </w:tabs>
        <w:ind w:left="2880" w:hanging="360"/>
      </w:pPr>
      <w:rPr>
        <w:rFonts w:ascii="Verdana" w:hAnsi="Verdana" w:hint="default"/>
      </w:rPr>
    </w:lvl>
    <w:lvl w:ilvl="4" w:tplc="9970F75C" w:tentative="1">
      <w:start w:val="1"/>
      <w:numFmt w:val="bullet"/>
      <w:lvlText w:val="›"/>
      <w:lvlJc w:val="left"/>
      <w:pPr>
        <w:tabs>
          <w:tab w:val="num" w:pos="3600"/>
        </w:tabs>
        <w:ind w:left="3600" w:hanging="360"/>
      </w:pPr>
      <w:rPr>
        <w:rFonts w:ascii="Verdana" w:hAnsi="Verdana" w:hint="default"/>
      </w:rPr>
    </w:lvl>
    <w:lvl w:ilvl="5" w:tplc="0576F874" w:tentative="1">
      <w:start w:val="1"/>
      <w:numFmt w:val="bullet"/>
      <w:lvlText w:val="›"/>
      <w:lvlJc w:val="left"/>
      <w:pPr>
        <w:tabs>
          <w:tab w:val="num" w:pos="4320"/>
        </w:tabs>
        <w:ind w:left="4320" w:hanging="360"/>
      </w:pPr>
      <w:rPr>
        <w:rFonts w:ascii="Verdana" w:hAnsi="Verdana" w:hint="default"/>
      </w:rPr>
    </w:lvl>
    <w:lvl w:ilvl="6" w:tplc="361E9698" w:tentative="1">
      <w:start w:val="1"/>
      <w:numFmt w:val="bullet"/>
      <w:lvlText w:val="›"/>
      <w:lvlJc w:val="left"/>
      <w:pPr>
        <w:tabs>
          <w:tab w:val="num" w:pos="5040"/>
        </w:tabs>
        <w:ind w:left="5040" w:hanging="360"/>
      </w:pPr>
      <w:rPr>
        <w:rFonts w:ascii="Verdana" w:hAnsi="Verdana" w:hint="default"/>
      </w:rPr>
    </w:lvl>
    <w:lvl w:ilvl="7" w:tplc="AD505342" w:tentative="1">
      <w:start w:val="1"/>
      <w:numFmt w:val="bullet"/>
      <w:lvlText w:val="›"/>
      <w:lvlJc w:val="left"/>
      <w:pPr>
        <w:tabs>
          <w:tab w:val="num" w:pos="5760"/>
        </w:tabs>
        <w:ind w:left="5760" w:hanging="360"/>
      </w:pPr>
      <w:rPr>
        <w:rFonts w:ascii="Verdana" w:hAnsi="Verdana" w:hint="default"/>
      </w:rPr>
    </w:lvl>
    <w:lvl w:ilvl="8" w:tplc="7A301B06"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4CE4156D"/>
    <w:multiLevelType w:val="hybridMultilevel"/>
    <w:tmpl w:val="491E88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0A5734"/>
    <w:multiLevelType w:val="hybridMultilevel"/>
    <w:tmpl w:val="4316302E"/>
    <w:lvl w:ilvl="0" w:tplc="C41AC4DC">
      <w:start w:val="1"/>
      <w:numFmt w:val="bullet"/>
      <w:lvlText w:val="›"/>
      <w:lvlJc w:val="left"/>
      <w:pPr>
        <w:tabs>
          <w:tab w:val="num" w:pos="720"/>
        </w:tabs>
        <w:ind w:left="720" w:hanging="360"/>
      </w:pPr>
      <w:rPr>
        <w:rFonts w:ascii="Verdana" w:hAnsi="Verdana" w:hint="default"/>
      </w:rPr>
    </w:lvl>
    <w:lvl w:ilvl="1" w:tplc="C1EC2694" w:tentative="1">
      <w:start w:val="1"/>
      <w:numFmt w:val="bullet"/>
      <w:lvlText w:val="›"/>
      <w:lvlJc w:val="left"/>
      <w:pPr>
        <w:tabs>
          <w:tab w:val="num" w:pos="1440"/>
        </w:tabs>
        <w:ind w:left="1440" w:hanging="360"/>
      </w:pPr>
      <w:rPr>
        <w:rFonts w:ascii="Verdana" w:hAnsi="Verdana" w:hint="default"/>
      </w:rPr>
    </w:lvl>
    <w:lvl w:ilvl="2" w:tplc="87EA7E5A" w:tentative="1">
      <w:start w:val="1"/>
      <w:numFmt w:val="bullet"/>
      <w:lvlText w:val="›"/>
      <w:lvlJc w:val="left"/>
      <w:pPr>
        <w:tabs>
          <w:tab w:val="num" w:pos="2160"/>
        </w:tabs>
        <w:ind w:left="2160" w:hanging="360"/>
      </w:pPr>
      <w:rPr>
        <w:rFonts w:ascii="Verdana" w:hAnsi="Verdana" w:hint="default"/>
      </w:rPr>
    </w:lvl>
    <w:lvl w:ilvl="3" w:tplc="C5E6C072" w:tentative="1">
      <w:start w:val="1"/>
      <w:numFmt w:val="bullet"/>
      <w:lvlText w:val="›"/>
      <w:lvlJc w:val="left"/>
      <w:pPr>
        <w:tabs>
          <w:tab w:val="num" w:pos="2880"/>
        </w:tabs>
        <w:ind w:left="2880" w:hanging="360"/>
      </w:pPr>
      <w:rPr>
        <w:rFonts w:ascii="Verdana" w:hAnsi="Verdana" w:hint="default"/>
      </w:rPr>
    </w:lvl>
    <w:lvl w:ilvl="4" w:tplc="5F8CE4D8" w:tentative="1">
      <w:start w:val="1"/>
      <w:numFmt w:val="bullet"/>
      <w:lvlText w:val="›"/>
      <w:lvlJc w:val="left"/>
      <w:pPr>
        <w:tabs>
          <w:tab w:val="num" w:pos="3600"/>
        </w:tabs>
        <w:ind w:left="3600" w:hanging="360"/>
      </w:pPr>
      <w:rPr>
        <w:rFonts w:ascii="Verdana" w:hAnsi="Verdana" w:hint="default"/>
      </w:rPr>
    </w:lvl>
    <w:lvl w:ilvl="5" w:tplc="EB8E620E" w:tentative="1">
      <w:start w:val="1"/>
      <w:numFmt w:val="bullet"/>
      <w:lvlText w:val="›"/>
      <w:lvlJc w:val="left"/>
      <w:pPr>
        <w:tabs>
          <w:tab w:val="num" w:pos="4320"/>
        </w:tabs>
        <w:ind w:left="4320" w:hanging="360"/>
      </w:pPr>
      <w:rPr>
        <w:rFonts w:ascii="Verdana" w:hAnsi="Verdana" w:hint="default"/>
      </w:rPr>
    </w:lvl>
    <w:lvl w:ilvl="6" w:tplc="4EDE25E2" w:tentative="1">
      <w:start w:val="1"/>
      <w:numFmt w:val="bullet"/>
      <w:lvlText w:val="›"/>
      <w:lvlJc w:val="left"/>
      <w:pPr>
        <w:tabs>
          <w:tab w:val="num" w:pos="5040"/>
        </w:tabs>
        <w:ind w:left="5040" w:hanging="360"/>
      </w:pPr>
      <w:rPr>
        <w:rFonts w:ascii="Verdana" w:hAnsi="Verdana" w:hint="default"/>
      </w:rPr>
    </w:lvl>
    <w:lvl w:ilvl="7" w:tplc="B4AA4D56" w:tentative="1">
      <w:start w:val="1"/>
      <w:numFmt w:val="bullet"/>
      <w:lvlText w:val="›"/>
      <w:lvlJc w:val="left"/>
      <w:pPr>
        <w:tabs>
          <w:tab w:val="num" w:pos="5760"/>
        </w:tabs>
        <w:ind w:left="5760" w:hanging="360"/>
      </w:pPr>
      <w:rPr>
        <w:rFonts w:ascii="Verdana" w:hAnsi="Verdana" w:hint="default"/>
      </w:rPr>
    </w:lvl>
    <w:lvl w:ilvl="8" w:tplc="30E662EC" w:tentative="1">
      <w:start w:val="1"/>
      <w:numFmt w:val="bullet"/>
      <w:lvlText w:val="›"/>
      <w:lvlJc w:val="left"/>
      <w:pPr>
        <w:tabs>
          <w:tab w:val="num" w:pos="6480"/>
        </w:tabs>
        <w:ind w:left="6480" w:hanging="360"/>
      </w:pPr>
      <w:rPr>
        <w:rFonts w:ascii="Verdana" w:hAnsi="Verdana" w:hint="default"/>
      </w:rPr>
    </w:lvl>
  </w:abstractNum>
  <w:num w:numId="1" w16cid:durableId="901477415">
    <w:abstractNumId w:val="2"/>
  </w:num>
  <w:num w:numId="2" w16cid:durableId="987442305">
    <w:abstractNumId w:val="3"/>
  </w:num>
  <w:num w:numId="3" w16cid:durableId="160245641">
    <w:abstractNumId w:val="1"/>
  </w:num>
  <w:num w:numId="4" w16cid:durableId="1676496436">
    <w:abstractNumId w:val="0"/>
  </w:num>
  <w:num w:numId="5" w16cid:durableId="494808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A9"/>
    <w:rsid w:val="000006E0"/>
    <w:rsid w:val="00005E1F"/>
    <w:rsid w:val="00060529"/>
    <w:rsid w:val="00061872"/>
    <w:rsid w:val="00063ED8"/>
    <w:rsid w:val="000719C5"/>
    <w:rsid w:val="000B056C"/>
    <w:rsid w:val="000C25DF"/>
    <w:rsid w:val="000D5E53"/>
    <w:rsid w:val="000E238E"/>
    <w:rsid w:val="0010652C"/>
    <w:rsid w:val="001166BF"/>
    <w:rsid w:val="001263AC"/>
    <w:rsid w:val="00131213"/>
    <w:rsid w:val="00152BB1"/>
    <w:rsid w:val="001575B0"/>
    <w:rsid w:val="00167538"/>
    <w:rsid w:val="001705E3"/>
    <w:rsid w:val="0019564B"/>
    <w:rsid w:val="001B188A"/>
    <w:rsid w:val="00235893"/>
    <w:rsid w:val="00240923"/>
    <w:rsid w:val="00282FA3"/>
    <w:rsid w:val="00286DFD"/>
    <w:rsid w:val="002919C8"/>
    <w:rsid w:val="002921B5"/>
    <w:rsid w:val="002A7B63"/>
    <w:rsid w:val="002E4434"/>
    <w:rsid w:val="002F32FC"/>
    <w:rsid w:val="002F54B9"/>
    <w:rsid w:val="003065AD"/>
    <w:rsid w:val="00313E96"/>
    <w:rsid w:val="00336844"/>
    <w:rsid w:val="00341BB5"/>
    <w:rsid w:val="00342822"/>
    <w:rsid w:val="00360221"/>
    <w:rsid w:val="003605D2"/>
    <w:rsid w:val="00360E1A"/>
    <w:rsid w:val="003931BC"/>
    <w:rsid w:val="00396AB0"/>
    <w:rsid w:val="003B7D07"/>
    <w:rsid w:val="003C1238"/>
    <w:rsid w:val="003D0C7D"/>
    <w:rsid w:val="003D3C29"/>
    <w:rsid w:val="003F78F8"/>
    <w:rsid w:val="004212BB"/>
    <w:rsid w:val="004213FB"/>
    <w:rsid w:val="004330D8"/>
    <w:rsid w:val="00435AFD"/>
    <w:rsid w:val="00467C78"/>
    <w:rsid w:val="00474E2F"/>
    <w:rsid w:val="00486A94"/>
    <w:rsid w:val="004A2C2A"/>
    <w:rsid w:val="004B6560"/>
    <w:rsid w:val="004C730A"/>
    <w:rsid w:val="004E1D08"/>
    <w:rsid w:val="00501098"/>
    <w:rsid w:val="00507AAC"/>
    <w:rsid w:val="005342CC"/>
    <w:rsid w:val="005424A8"/>
    <w:rsid w:val="0055771B"/>
    <w:rsid w:val="00571F4C"/>
    <w:rsid w:val="00577CDB"/>
    <w:rsid w:val="00594898"/>
    <w:rsid w:val="005D1434"/>
    <w:rsid w:val="005F1586"/>
    <w:rsid w:val="005F61AC"/>
    <w:rsid w:val="006119DE"/>
    <w:rsid w:val="0062285E"/>
    <w:rsid w:val="00637974"/>
    <w:rsid w:val="006518D0"/>
    <w:rsid w:val="006542A9"/>
    <w:rsid w:val="00664E68"/>
    <w:rsid w:val="00692B57"/>
    <w:rsid w:val="006A1807"/>
    <w:rsid w:val="006B71B5"/>
    <w:rsid w:val="006C0E6F"/>
    <w:rsid w:val="006C6AB7"/>
    <w:rsid w:val="006E6FA3"/>
    <w:rsid w:val="006F15F9"/>
    <w:rsid w:val="006F331F"/>
    <w:rsid w:val="00742872"/>
    <w:rsid w:val="007C244A"/>
    <w:rsid w:val="007C32FF"/>
    <w:rsid w:val="007C6787"/>
    <w:rsid w:val="007C711C"/>
    <w:rsid w:val="007C7DDB"/>
    <w:rsid w:val="008120D2"/>
    <w:rsid w:val="008402A5"/>
    <w:rsid w:val="00846584"/>
    <w:rsid w:val="0084750F"/>
    <w:rsid w:val="00884AA3"/>
    <w:rsid w:val="008B1BC4"/>
    <w:rsid w:val="008B1F5E"/>
    <w:rsid w:val="008C070F"/>
    <w:rsid w:val="008E1E99"/>
    <w:rsid w:val="00922309"/>
    <w:rsid w:val="00924C35"/>
    <w:rsid w:val="00927458"/>
    <w:rsid w:val="00941733"/>
    <w:rsid w:val="00955F9E"/>
    <w:rsid w:val="009725DD"/>
    <w:rsid w:val="00981785"/>
    <w:rsid w:val="009946C2"/>
    <w:rsid w:val="009C44C8"/>
    <w:rsid w:val="009D30E1"/>
    <w:rsid w:val="009E1F07"/>
    <w:rsid w:val="009F0DFB"/>
    <w:rsid w:val="00A00AE3"/>
    <w:rsid w:val="00A0606C"/>
    <w:rsid w:val="00A75A8A"/>
    <w:rsid w:val="00A87FCC"/>
    <w:rsid w:val="00A90BA4"/>
    <w:rsid w:val="00A92F5C"/>
    <w:rsid w:val="00A935F9"/>
    <w:rsid w:val="00AA2D54"/>
    <w:rsid w:val="00AA3534"/>
    <w:rsid w:val="00AB6C02"/>
    <w:rsid w:val="00AC051D"/>
    <w:rsid w:val="00AE05BD"/>
    <w:rsid w:val="00AE7038"/>
    <w:rsid w:val="00B00346"/>
    <w:rsid w:val="00B01D6C"/>
    <w:rsid w:val="00B07741"/>
    <w:rsid w:val="00B31F27"/>
    <w:rsid w:val="00B36F68"/>
    <w:rsid w:val="00B5669E"/>
    <w:rsid w:val="00B630C7"/>
    <w:rsid w:val="00B67CAD"/>
    <w:rsid w:val="00BC238E"/>
    <w:rsid w:val="00BD5939"/>
    <w:rsid w:val="00C139A1"/>
    <w:rsid w:val="00C270C9"/>
    <w:rsid w:val="00C41CEF"/>
    <w:rsid w:val="00C435CE"/>
    <w:rsid w:val="00C65128"/>
    <w:rsid w:val="00C76CE3"/>
    <w:rsid w:val="00CA2A53"/>
    <w:rsid w:val="00CB294A"/>
    <w:rsid w:val="00CD03EA"/>
    <w:rsid w:val="00CF019E"/>
    <w:rsid w:val="00D068E5"/>
    <w:rsid w:val="00D16CD8"/>
    <w:rsid w:val="00D508AC"/>
    <w:rsid w:val="00D652C1"/>
    <w:rsid w:val="00D67ED4"/>
    <w:rsid w:val="00D71F77"/>
    <w:rsid w:val="00DA30ED"/>
    <w:rsid w:val="00DB06C5"/>
    <w:rsid w:val="00DC51C2"/>
    <w:rsid w:val="00DD2003"/>
    <w:rsid w:val="00DF577D"/>
    <w:rsid w:val="00E01F51"/>
    <w:rsid w:val="00E0481A"/>
    <w:rsid w:val="00E14C3D"/>
    <w:rsid w:val="00E17C2E"/>
    <w:rsid w:val="00E325EB"/>
    <w:rsid w:val="00E378FF"/>
    <w:rsid w:val="00E42FAF"/>
    <w:rsid w:val="00E444A3"/>
    <w:rsid w:val="00E4568D"/>
    <w:rsid w:val="00E74DA5"/>
    <w:rsid w:val="00E96592"/>
    <w:rsid w:val="00EB21EF"/>
    <w:rsid w:val="00ED672C"/>
    <w:rsid w:val="00F045E1"/>
    <w:rsid w:val="00F05B51"/>
    <w:rsid w:val="00F11107"/>
    <w:rsid w:val="00F254FB"/>
    <w:rsid w:val="00F6301A"/>
    <w:rsid w:val="00F82179"/>
    <w:rsid w:val="00F924D3"/>
    <w:rsid w:val="00F95990"/>
    <w:rsid w:val="00FA66A1"/>
    <w:rsid w:val="00FA7D67"/>
    <w:rsid w:val="00FB6277"/>
    <w:rsid w:val="00FC2878"/>
    <w:rsid w:val="00FC3CB6"/>
    <w:rsid w:val="00FD00D8"/>
    <w:rsid w:val="00FE3332"/>
    <w:rsid w:val="00FF0C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B7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kern w:val="2"/>
        <w:sz w:val="32"/>
        <w:szCs w:val="3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1F27"/>
    <w:rPr>
      <w:rFonts w:cstheme="minorBidi"/>
      <w:sz w:val="24"/>
      <w:szCs w:val="22"/>
    </w:rPr>
  </w:style>
  <w:style w:type="paragraph" w:styleId="Kop1">
    <w:name w:val="heading 1"/>
    <w:basedOn w:val="Standaard"/>
    <w:next w:val="Standaard"/>
    <w:link w:val="Kop1Char"/>
    <w:uiPriority w:val="9"/>
    <w:qFormat/>
    <w:rsid w:val="00B31F27"/>
    <w:pPr>
      <w:keepNext/>
      <w:keepLines/>
      <w:spacing w:before="240" w:after="0"/>
      <w:outlineLvl w:val="0"/>
    </w:pPr>
    <w:rPr>
      <w:rFonts w:eastAsiaTheme="majorEastAsia"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65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42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42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542A9"/>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542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542A9"/>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542A9"/>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542A9"/>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1F27"/>
    <w:rPr>
      <w:rFonts w:eastAsiaTheme="majorEastAsia"/>
      <w:color w:val="0F4761" w:themeColor="accent1" w:themeShade="BF"/>
    </w:rPr>
  </w:style>
  <w:style w:type="character" w:customStyle="1" w:styleId="Kop2Char">
    <w:name w:val="Kop 2 Char"/>
    <w:basedOn w:val="Standaardalinea-lettertype"/>
    <w:link w:val="Kop2"/>
    <w:uiPriority w:val="9"/>
    <w:semiHidden/>
    <w:rsid w:val="006542A9"/>
    <w:rPr>
      <w:rFonts w:asciiTheme="majorHAnsi" w:eastAsiaTheme="majorEastAsia" w:hAnsiTheme="majorHAnsi"/>
      <w:color w:val="0F4761" w:themeColor="accent1" w:themeShade="BF"/>
    </w:rPr>
  </w:style>
  <w:style w:type="character" w:customStyle="1" w:styleId="Kop3Char">
    <w:name w:val="Kop 3 Char"/>
    <w:basedOn w:val="Standaardalinea-lettertype"/>
    <w:link w:val="Kop3"/>
    <w:uiPriority w:val="9"/>
    <w:semiHidden/>
    <w:rsid w:val="006542A9"/>
    <w:rPr>
      <w:rFonts w:asciiTheme="minorHAnsi" w:eastAsiaTheme="majorEastAsia" w:hAnsiTheme="minorHAnsi"/>
      <w:color w:val="0F4761" w:themeColor="accent1" w:themeShade="BF"/>
      <w:sz w:val="28"/>
      <w:szCs w:val="28"/>
    </w:rPr>
  </w:style>
  <w:style w:type="character" w:customStyle="1" w:styleId="Kop4Char">
    <w:name w:val="Kop 4 Char"/>
    <w:basedOn w:val="Standaardalinea-lettertype"/>
    <w:link w:val="Kop4"/>
    <w:uiPriority w:val="9"/>
    <w:semiHidden/>
    <w:rsid w:val="006542A9"/>
    <w:rPr>
      <w:rFonts w:asciiTheme="minorHAnsi" w:eastAsiaTheme="majorEastAsia" w:hAnsiTheme="minorHAnsi"/>
      <w:i/>
      <w:iCs/>
      <w:color w:val="0F4761" w:themeColor="accent1" w:themeShade="BF"/>
      <w:sz w:val="24"/>
      <w:szCs w:val="22"/>
    </w:rPr>
  </w:style>
  <w:style w:type="character" w:customStyle="1" w:styleId="Kop5Char">
    <w:name w:val="Kop 5 Char"/>
    <w:basedOn w:val="Standaardalinea-lettertype"/>
    <w:link w:val="Kop5"/>
    <w:uiPriority w:val="9"/>
    <w:semiHidden/>
    <w:rsid w:val="006542A9"/>
    <w:rPr>
      <w:rFonts w:asciiTheme="minorHAnsi" w:eastAsiaTheme="majorEastAsia" w:hAnsiTheme="minorHAnsi"/>
      <w:color w:val="0F4761" w:themeColor="accent1" w:themeShade="BF"/>
      <w:sz w:val="24"/>
      <w:szCs w:val="22"/>
    </w:rPr>
  </w:style>
  <w:style w:type="character" w:customStyle="1" w:styleId="Kop6Char">
    <w:name w:val="Kop 6 Char"/>
    <w:basedOn w:val="Standaardalinea-lettertype"/>
    <w:link w:val="Kop6"/>
    <w:uiPriority w:val="9"/>
    <w:semiHidden/>
    <w:rsid w:val="006542A9"/>
    <w:rPr>
      <w:rFonts w:asciiTheme="minorHAnsi" w:eastAsiaTheme="majorEastAsia" w:hAnsiTheme="minorHAnsi"/>
      <w:i/>
      <w:iCs/>
      <w:color w:val="595959" w:themeColor="text1" w:themeTint="A6"/>
      <w:sz w:val="24"/>
      <w:szCs w:val="22"/>
    </w:rPr>
  </w:style>
  <w:style w:type="character" w:customStyle="1" w:styleId="Kop7Char">
    <w:name w:val="Kop 7 Char"/>
    <w:basedOn w:val="Standaardalinea-lettertype"/>
    <w:link w:val="Kop7"/>
    <w:uiPriority w:val="9"/>
    <w:semiHidden/>
    <w:rsid w:val="006542A9"/>
    <w:rPr>
      <w:rFonts w:asciiTheme="minorHAnsi" w:eastAsiaTheme="majorEastAsia" w:hAnsiTheme="minorHAnsi"/>
      <w:color w:val="595959" w:themeColor="text1" w:themeTint="A6"/>
      <w:sz w:val="24"/>
      <w:szCs w:val="22"/>
    </w:rPr>
  </w:style>
  <w:style w:type="character" w:customStyle="1" w:styleId="Kop8Char">
    <w:name w:val="Kop 8 Char"/>
    <w:basedOn w:val="Standaardalinea-lettertype"/>
    <w:link w:val="Kop8"/>
    <w:uiPriority w:val="9"/>
    <w:semiHidden/>
    <w:rsid w:val="006542A9"/>
    <w:rPr>
      <w:rFonts w:asciiTheme="minorHAnsi" w:eastAsiaTheme="majorEastAsia" w:hAnsiTheme="minorHAnsi"/>
      <w:i/>
      <w:iCs/>
      <w:color w:val="272727" w:themeColor="text1" w:themeTint="D8"/>
      <w:sz w:val="24"/>
      <w:szCs w:val="22"/>
    </w:rPr>
  </w:style>
  <w:style w:type="character" w:customStyle="1" w:styleId="Kop9Char">
    <w:name w:val="Kop 9 Char"/>
    <w:basedOn w:val="Standaardalinea-lettertype"/>
    <w:link w:val="Kop9"/>
    <w:uiPriority w:val="9"/>
    <w:semiHidden/>
    <w:rsid w:val="006542A9"/>
    <w:rPr>
      <w:rFonts w:asciiTheme="minorHAnsi" w:eastAsiaTheme="majorEastAsia" w:hAnsiTheme="minorHAnsi"/>
      <w:color w:val="272727" w:themeColor="text1" w:themeTint="D8"/>
      <w:sz w:val="24"/>
      <w:szCs w:val="22"/>
    </w:rPr>
  </w:style>
  <w:style w:type="paragraph" w:styleId="Titel">
    <w:name w:val="Title"/>
    <w:basedOn w:val="Standaard"/>
    <w:next w:val="Standaard"/>
    <w:link w:val="TitelChar"/>
    <w:uiPriority w:val="10"/>
    <w:qFormat/>
    <w:rsid w:val="00654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42A9"/>
    <w:rPr>
      <w:rFonts w:asciiTheme="majorHAnsi" w:eastAsiaTheme="majorEastAsia" w:hAnsiTheme="majorHAnsi"/>
      <w:spacing w:val="-10"/>
      <w:kern w:val="28"/>
      <w:sz w:val="56"/>
      <w:szCs w:val="56"/>
    </w:rPr>
  </w:style>
  <w:style w:type="paragraph" w:styleId="Ondertitel">
    <w:name w:val="Subtitle"/>
    <w:basedOn w:val="Standaard"/>
    <w:next w:val="Standaard"/>
    <w:link w:val="OndertitelChar"/>
    <w:uiPriority w:val="11"/>
    <w:qFormat/>
    <w:rsid w:val="006542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42A9"/>
    <w:rPr>
      <w:rFonts w:asciiTheme="minorHAnsi" w:eastAsiaTheme="majorEastAsia" w:hAnsiTheme="minorHAnsi"/>
      <w:color w:val="595959" w:themeColor="text1" w:themeTint="A6"/>
      <w:spacing w:val="15"/>
      <w:sz w:val="28"/>
      <w:szCs w:val="28"/>
    </w:rPr>
  </w:style>
  <w:style w:type="paragraph" w:styleId="Citaat">
    <w:name w:val="Quote"/>
    <w:basedOn w:val="Standaard"/>
    <w:next w:val="Standaard"/>
    <w:link w:val="CitaatChar"/>
    <w:uiPriority w:val="29"/>
    <w:qFormat/>
    <w:rsid w:val="006542A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42A9"/>
    <w:rPr>
      <w:rFonts w:cstheme="minorBidi"/>
      <w:i/>
      <w:iCs/>
      <w:color w:val="404040" w:themeColor="text1" w:themeTint="BF"/>
      <w:sz w:val="24"/>
      <w:szCs w:val="22"/>
    </w:rPr>
  </w:style>
  <w:style w:type="paragraph" w:styleId="Lijstalinea">
    <w:name w:val="List Paragraph"/>
    <w:basedOn w:val="Standaard"/>
    <w:uiPriority w:val="34"/>
    <w:qFormat/>
    <w:rsid w:val="006542A9"/>
    <w:pPr>
      <w:ind w:left="720"/>
      <w:contextualSpacing/>
    </w:pPr>
  </w:style>
  <w:style w:type="character" w:styleId="Intensievebenadrukking">
    <w:name w:val="Intense Emphasis"/>
    <w:basedOn w:val="Standaardalinea-lettertype"/>
    <w:uiPriority w:val="21"/>
    <w:qFormat/>
    <w:rsid w:val="006542A9"/>
    <w:rPr>
      <w:i/>
      <w:iCs/>
      <w:color w:val="0F4761" w:themeColor="accent1" w:themeShade="BF"/>
    </w:rPr>
  </w:style>
  <w:style w:type="paragraph" w:styleId="Duidelijkcitaat">
    <w:name w:val="Intense Quote"/>
    <w:basedOn w:val="Standaard"/>
    <w:next w:val="Standaard"/>
    <w:link w:val="DuidelijkcitaatChar"/>
    <w:uiPriority w:val="30"/>
    <w:qFormat/>
    <w:rsid w:val="0065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42A9"/>
    <w:rPr>
      <w:rFonts w:cstheme="minorBidi"/>
      <w:i/>
      <w:iCs/>
      <w:color w:val="0F4761" w:themeColor="accent1" w:themeShade="BF"/>
      <w:sz w:val="24"/>
      <w:szCs w:val="22"/>
    </w:rPr>
  </w:style>
  <w:style w:type="character" w:styleId="Intensieveverwijzing">
    <w:name w:val="Intense Reference"/>
    <w:basedOn w:val="Standaardalinea-lettertype"/>
    <w:uiPriority w:val="32"/>
    <w:qFormat/>
    <w:rsid w:val="006542A9"/>
    <w:rPr>
      <w:b/>
      <w:bCs/>
      <w:smallCaps/>
      <w:color w:val="0F4761" w:themeColor="accent1" w:themeShade="BF"/>
      <w:spacing w:val="5"/>
    </w:rPr>
  </w:style>
  <w:style w:type="paragraph" w:styleId="Voettekst">
    <w:name w:val="footer"/>
    <w:basedOn w:val="Standaard"/>
    <w:link w:val="VoettekstChar"/>
    <w:uiPriority w:val="99"/>
    <w:unhideWhenUsed/>
    <w:rsid w:val="006542A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42A9"/>
    <w:rPr>
      <w:rFonts w:cstheme="minorBidi"/>
      <w:sz w:val="24"/>
      <w:szCs w:val="22"/>
    </w:rPr>
  </w:style>
  <w:style w:type="character" w:styleId="Verwijzingopmerking">
    <w:name w:val="annotation reference"/>
    <w:basedOn w:val="Standaardalinea-lettertype"/>
    <w:uiPriority w:val="99"/>
    <w:semiHidden/>
    <w:unhideWhenUsed/>
    <w:rsid w:val="00F05B51"/>
    <w:rPr>
      <w:sz w:val="16"/>
      <w:szCs w:val="16"/>
    </w:rPr>
  </w:style>
  <w:style w:type="paragraph" w:styleId="Tekstopmerking">
    <w:name w:val="annotation text"/>
    <w:basedOn w:val="Standaard"/>
    <w:link w:val="TekstopmerkingChar"/>
    <w:uiPriority w:val="99"/>
    <w:unhideWhenUsed/>
    <w:rsid w:val="00F05B51"/>
    <w:pPr>
      <w:spacing w:line="240" w:lineRule="auto"/>
    </w:pPr>
    <w:rPr>
      <w:sz w:val="20"/>
      <w:szCs w:val="20"/>
    </w:rPr>
  </w:style>
  <w:style w:type="character" w:customStyle="1" w:styleId="TekstopmerkingChar">
    <w:name w:val="Tekst opmerking Char"/>
    <w:basedOn w:val="Standaardalinea-lettertype"/>
    <w:link w:val="Tekstopmerking"/>
    <w:uiPriority w:val="99"/>
    <w:rsid w:val="00F05B51"/>
    <w:rPr>
      <w:rFonts w:cstheme="minorBidi"/>
      <w:sz w:val="20"/>
      <w:szCs w:val="20"/>
    </w:rPr>
  </w:style>
  <w:style w:type="paragraph" w:styleId="Onderwerpvanopmerking">
    <w:name w:val="annotation subject"/>
    <w:basedOn w:val="Tekstopmerking"/>
    <w:next w:val="Tekstopmerking"/>
    <w:link w:val="OnderwerpvanopmerkingChar"/>
    <w:uiPriority w:val="99"/>
    <w:semiHidden/>
    <w:unhideWhenUsed/>
    <w:rsid w:val="00F05B51"/>
    <w:rPr>
      <w:b/>
      <w:bCs/>
    </w:rPr>
  </w:style>
  <w:style w:type="character" w:customStyle="1" w:styleId="OnderwerpvanopmerkingChar">
    <w:name w:val="Onderwerp van opmerking Char"/>
    <w:basedOn w:val="TekstopmerkingChar"/>
    <w:link w:val="Onderwerpvanopmerking"/>
    <w:uiPriority w:val="99"/>
    <w:semiHidden/>
    <w:rsid w:val="00F05B51"/>
    <w:rPr>
      <w:rFonts w:cstheme="minorBidi"/>
      <w:b/>
      <w:bCs/>
      <w:sz w:val="20"/>
      <w:szCs w:val="20"/>
    </w:rPr>
  </w:style>
  <w:style w:type="paragraph" w:styleId="Revisie">
    <w:name w:val="Revision"/>
    <w:hidden/>
    <w:uiPriority w:val="99"/>
    <w:semiHidden/>
    <w:rsid w:val="00BC238E"/>
    <w:pPr>
      <w:spacing w:after="0" w:line="240" w:lineRule="auto"/>
    </w:pPr>
    <w:rPr>
      <w:rFonts w:cstheme="minorBidi"/>
      <w:sz w:val="24"/>
      <w:szCs w:val="22"/>
    </w:rPr>
  </w:style>
  <w:style w:type="paragraph" w:styleId="Koptekst">
    <w:name w:val="header"/>
    <w:basedOn w:val="Standaard"/>
    <w:link w:val="KoptekstChar"/>
    <w:uiPriority w:val="99"/>
    <w:unhideWhenUsed/>
    <w:rsid w:val="006E6F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E6FA3"/>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57170">
      <w:bodyDiv w:val="1"/>
      <w:marLeft w:val="0"/>
      <w:marRight w:val="0"/>
      <w:marTop w:val="0"/>
      <w:marBottom w:val="0"/>
      <w:divBdr>
        <w:top w:val="none" w:sz="0" w:space="0" w:color="auto"/>
        <w:left w:val="none" w:sz="0" w:space="0" w:color="auto"/>
        <w:bottom w:val="none" w:sz="0" w:space="0" w:color="auto"/>
        <w:right w:val="none" w:sz="0" w:space="0" w:color="auto"/>
      </w:divBdr>
      <w:divsChild>
        <w:div w:id="1531987250">
          <w:marLeft w:val="504"/>
          <w:marRight w:val="0"/>
          <w:marTop w:val="240"/>
          <w:marBottom w:val="0"/>
          <w:divBdr>
            <w:top w:val="none" w:sz="0" w:space="0" w:color="auto"/>
            <w:left w:val="none" w:sz="0" w:space="0" w:color="auto"/>
            <w:bottom w:val="none" w:sz="0" w:space="0" w:color="auto"/>
            <w:right w:val="none" w:sz="0" w:space="0" w:color="auto"/>
          </w:divBdr>
        </w:div>
        <w:div w:id="2028673368">
          <w:marLeft w:val="994"/>
          <w:marRight w:val="0"/>
          <w:marTop w:val="200"/>
          <w:marBottom w:val="0"/>
          <w:divBdr>
            <w:top w:val="none" w:sz="0" w:space="0" w:color="auto"/>
            <w:left w:val="none" w:sz="0" w:space="0" w:color="auto"/>
            <w:bottom w:val="none" w:sz="0" w:space="0" w:color="auto"/>
            <w:right w:val="none" w:sz="0" w:space="0" w:color="auto"/>
          </w:divBdr>
        </w:div>
        <w:div w:id="816453971">
          <w:marLeft w:val="994"/>
          <w:marRight w:val="0"/>
          <w:marTop w:val="200"/>
          <w:marBottom w:val="0"/>
          <w:divBdr>
            <w:top w:val="none" w:sz="0" w:space="0" w:color="auto"/>
            <w:left w:val="none" w:sz="0" w:space="0" w:color="auto"/>
            <w:bottom w:val="none" w:sz="0" w:space="0" w:color="auto"/>
            <w:right w:val="none" w:sz="0" w:space="0" w:color="auto"/>
          </w:divBdr>
        </w:div>
        <w:div w:id="1226574285">
          <w:marLeft w:val="504"/>
          <w:marRight w:val="0"/>
          <w:marTop w:val="240"/>
          <w:marBottom w:val="0"/>
          <w:divBdr>
            <w:top w:val="none" w:sz="0" w:space="0" w:color="auto"/>
            <w:left w:val="none" w:sz="0" w:space="0" w:color="auto"/>
            <w:bottom w:val="none" w:sz="0" w:space="0" w:color="auto"/>
            <w:right w:val="none" w:sz="0" w:space="0" w:color="auto"/>
          </w:divBdr>
        </w:div>
      </w:divsChild>
    </w:div>
    <w:div w:id="630483682">
      <w:bodyDiv w:val="1"/>
      <w:marLeft w:val="0"/>
      <w:marRight w:val="0"/>
      <w:marTop w:val="0"/>
      <w:marBottom w:val="0"/>
      <w:divBdr>
        <w:top w:val="none" w:sz="0" w:space="0" w:color="auto"/>
        <w:left w:val="none" w:sz="0" w:space="0" w:color="auto"/>
        <w:bottom w:val="none" w:sz="0" w:space="0" w:color="auto"/>
        <w:right w:val="none" w:sz="0" w:space="0" w:color="auto"/>
      </w:divBdr>
    </w:div>
    <w:div w:id="649291585">
      <w:bodyDiv w:val="1"/>
      <w:marLeft w:val="0"/>
      <w:marRight w:val="0"/>
      <w:marTop w:val="0"/>
      <w:marBottom w:val="0"/>
      <w:divBdr>
        <w:top w:val="none" w:sz="0" w:space="0" w:color="auto"/>
        <w:left w:val="none" w:sz="0" w:space="0" w:color="auto"/>
        <w:bottom w:val="none" w:sz="0" w:space="0" w:color="auto"/>
        <w:right w:val="none" w:sz="0" w:space="0" w:color="auto"/>
      </w:divBdr>
      <w:divsChild>
        <w:div w:id="179395538">
          <w:marLeft w:val="504"/>
          <w:marRight w:val="0"/>
          <w:marTop w:val="240"/>
          <w:marBottom w:val="0"/>
          <w:divBdr>
            <w:top w:val="none" w:sz="0" w:space="0" w:color="auto"/>
            <w:left w:val="none" w:sz="0" w:space="0" w:color="auto"/>
            <w:bottom w:val="none" w:sz="0" w:space="0" w:color="auto"/>
            <w:right w:val="none" w:sz="0" w:space="0" w:color="auto"/>
          </w:divBdr>
        </w:div>
        <w:div w:id="906233695">
          <w:marLeft w:val="504"/>
          <w:marRight w:val="0"/>
          <w:marTop w:val="240"/>
          <w:marBottom w:val="0"/>
          <w:divBdr>
            <w:top w:val="none" w:sz="0" w:space="0" w:color="auto"/>
            <w:left w:val="none" w:sz="0" w:space="0" w:color="auto"/>
            <w:bottom w:val="none" w:sz="0" w:space="0" w:color="auto"/>
            <w:right w:val="none" w:sz="0" w:space="0" w:color="auto"/>
          </w:divBdr>
        </w:div>
        <w:div w:id="1502507980">
          <w:marLeft w:val="504"/>
          <w:marRight w:val="0"/>
          <w:marTop w:val="240"/>
          <w:marBottom w:val="0"/>
          <w:divBdr>
            <w:top w:val="none" w:sz="0" w:space="0" w:color="auto"/>
            <w:left w:val="none" w:sz="0" w:space="0" w:color="auto"/>
            <w:bottom w:val="none" w:sz="0" w:space="0" w:color="auto"/>
            <w:right w:val="none" w:sz="0" w:space="0" w:color="auto"/>
          </w:divBdr>
        </w:div>
        <w:div w:id="1510026943">
          <w:marLeft w:val="504"/>
          <w:marRight w:val="0"/>
          <w:marTop w:val="240"/>
          <w:marBottom w:val="0"/>
          <w:divBdr>
            <w:top w:val="none" w:sz="0" w:space="0" w:color="auto"/>
            <w:left w:val="none" w:sz="0" w:space="0" w:color="auto"/>
            <w:bottom w:val="none" w:sz="0" w:space="0" w:color="auto"/>
            <w:right w:val="none" w:sz="0" w:space="0" w:color="auto"/>
          </w:divBdr>
        </w:div>
        <w:div w:id="1411274832">
          <w:marLeft w:val="504"/>
          <w:marRight w:val="0"/>
          <w:marTop w:val="240"/>
          <w:marBottom w:val="0"/>
          <w:divBdr>
            <w:top w:val="none" w:sz="0" w:space="0" w:color="auto"/>
            <w:left w:val="none" w:sz="0" w:space="0" w:color="auto"/>
            <w:bottom w:val="none" w:sz="0" w:space="0" w:color="auto"/>
            <w:right w:val="none" w:sz="0" w:space="0" w:color="auto"/>
          </w:divBdr>
        </w:div>
      </w:divsChild>
    </w:div>
    <w:div w:id="958220406">
      <w:bodyDiv w:val="1"/>
      <w:marLeft w:val="0"/>
      <w:marRight w:val="0"/>
      <w:marTop w:val="0"/>
      <w:marBottom w:val="0"/>
      <w:divBdr>
        <w:top w:val="none" w:sz="0" w:space="0" w:color="auto"/>
        <w:left w:val="none" w:sz="0" w:space="0" w:color="auto"/>
        <w:bottom w:val="none" w:sz="0" w:space="0" w:color="auto"/>
        <w:right w:val="none" w:sz="0" w:space="0" w:color="auto"/>
      </w:divBdr>
    </w:div>
    <w:div w:id="979187393">
      <w:bodyDiv w:val="1"/>
      <w:marLeft w:val="0"/>
      <w:marRight w:val="0"/>
      <w:marTop w:val="0"/>
      <w:marBottom w:val="0"/>
      <w:divBdr>
        <w:top w:val="none" w:sz="0" w:space="0" w:color="auto"/>
        <w:left w:val="none" w:sz="0" w:space="0" w:color="auto"/>
        <w:bottom w:val="none" w:sz="0" w:space="0" w:color="auto"/>
        <w:right w:val="none" w:sz="0" w:space="0" w:color="auto"/>
      </w:divBdr>
    </w:div>
    <w:div w:id="1524784665">
      <w:bodyDiv w:val="1"/>
      <w:marLeft w:val="0"/>
      <w:marRight w:val="0"/>
      <w:marTop w:val="0"/>
      <w:marBottom w:val="0"/>
      <w:divBdr>
        <w:top w:val="none" w:sz="0" w:space="0" w:color="auto"/>
        <w:left w:val="none" w:sz="0" w:space="0" w:color="auto"/>
        <w:bottom w:val="none" w:sz="0" w:space="0" w:color="auto"/>
        <w:right w:val="none" w:sz="0" w:space="0" w:color="auto"/>
      </w:divBdr>
      <w:divsChild>
        <w:div w:id="868762437">
          <w:marLeft w:val="504"/>
          <w:marRight w:val="0"/>
          <w:marTop w:val="240"/>
          <w:marBottom w:val="0"/>
          <w:divBdr>
            <w:top w:val="none" w:sz="0" w:space="0" w:color="auto"/>
            <w:left w:val="none" w:sz="0" w:space="0" w:color="auto"/>
            <w:bottom w:val="none" w:sz="0" w:space="0" w:color="auto"/>
            <w:right w:val="none" w:sz="0" w:space="0" w:color="auto"/>
          </w:divBdr>
        </w:div>
      </w:divsChild>
    </w:div>
    <w:div w:id="1650552546">
      <w:bodyDiv w:val="1"/>
      <w:marLeft w:val="0"/>
      <w:marRight w:val="0"/>
      <w:marTop w:val="0"/>
      <w:marBottom w:val="0"/>
      <w:divBdr>
        <w:top w:val="none" w:sz="0" w:space="0" w:color="auto"/>
        <w:left w:val="none" w:sz="0" w:space="0" w:color="auto"/>
        <w:bottom w:val="none" w:sz="0" w:space="0" w:color="auto"/>
        <w:right w:val="none" w:sz="0" w:space="0" w:color="auto"/>
      </w:divBdr>
    </w:div>
    <w:div w:id="1755783119">
      <w:bodyDiv w:val="1"/>
      <w:marLeft w:val="0"/>
      <w:marRight w:val="0"/>
      <w:marTop w:val="0"/>
      <w:marBottom w:val="0"/>
      <w:divBdr>
        <w:top w:val="none" w:sz="0" w:space="0" w:color="auto"/>
        <w:left w:val="none" w:sz="0" w:space="0" w:color="auto"/>
        <w:bottom w:val="none" w:sz="0" w:space="0" w:color="auto"/>
        <w:right w:val="none" w:sz="0" w:space="0" w:color="auto"/>
      </w:divBdr>
    </w:div>
    <w:div w:id="19252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999</ap:Words>
  <ap:Characters>5500</ap:Characters>
  <ap:DocSecurity>0</ap:DocSecurity>
  <ap:Lines>45</ap:Lines>
  <ap:Paragraphs>12</ap:Paragraphs>
  <ap:ScaleCrop>false</ap:ScaleCrop>
  <ap:LinksUpToDate>false</ap:LinksUpToDate>
  <ap:CharactersWithSpaces>6487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2025-06-02T14:57:00.0000000Z</dcterms:created>
  <dcterms:modified xsi:type="dcterms:W3CDTF">2025-06-02T14:57:00.0000000Z</dcterms:modified>
  <version/>
  <category/>
</coreProperties>
</file>