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7670" w:rsidR="00EF7670" w:rsidRDefault="00DB1731" w14:paraId="1E22B3E1" w14:textId="37DCA43E">
      <w:pPr>
        <w:rPr>
          <w:rFonts w:ascii="Calibri" w:hAnsi="Calibri" w:cs="Calibri"/>
        </w:rPr>
      </w:pPr>
      <w:r w:rsidRPr="00EF7670">
        <w:rPr>
          <w:rFonts w:ascii="Calibri" w:hAnsi="Calibri" w:cs="Calibri"/>
          <w:color w:val="000000" w:themeColor="text1"/>
        </w:rPr>
        <w:t>32</w:t>
      </w:r>
      <w:r w:rsidRPr="00EF7670" w:rsidR="00EF7670">
        <w:rPr>
          <w:rFonts w:ascii="Calibri" w:hAnsi="Calibri" w:cs="Calibri"/>
          <w:color w:val="000000" w:themeColor="text1"/>
        </w:rPr>
        <w:t xml:space="preserve"> </w:t>
      </w:r>
      <w:r w:rsidRPr="00EF7670">
        <w:rPr>
          <w:rFonts w:ascii="Calibri" w:hAnsi="Calibri" w:cs="Calibri"/>
          <w:color w:val="000000" w:themeColor="text1"/>
        </w:rPr>
        <w:t>140</w:t>
      </w:r>
      <w:r w:rsidRPr="00EF7670" w:rsidR="00EF7670">
        <w:rPr>
          <w:rFonts w:ascii="Calibri" w:hAnsi="Calibri" w:cs="Calibri"/>
          <w:color w:val="000000" w:themeColor="text1"/>
        </w:rPr>
        <w:tab/>
      </w:r>
      <w:r w:rsidRPr="00EF7670" w:rsidR="00EF7670">
        <w:rPr>
          <w:rFonts w:ascii="Calibri" w:hAnsi="Calibri" w:cs="Calibri"/>
          <w:color w:val="000000" w:themeColor="text1"/>
        </w:rPr>
        <w:tab/>
      </w:r>
      <w:r w:rsidRPr="00EF7670" w:rsidR="00EF7670">
        <w:rPr>
          <w:rFonts w:ascii="Calibri" w:hAnsi="Calibri" w:cs="Calibri"/>
        </w:rPr>
        <w:t>Herziening Belastingstelsel</w:t>
      </w:r>
    </w:p>
    <w:p w:rsidRPr="00EF7670" w:rsidR="00EF7670" w:rsidP="00EF7670" w:rsidRDefault="00EF7670" w14:paraId="0AD4DC2F" w14:textId="77777777">
      <w:pPr>
        <w:rPr>
          <w:rFonts w:ascii="Calibri" w:hAnsi="Calibri" w:cs="Calibri"/>
          <w:color w:val="000000" w:themeColor="text1"/>
        </w:rPr>
      </w:pPr>
      <w:r w:rsidRPr="00EF7670">
        <w:rPr>
          <w:rFonts w:ascii="Calibri" w:hAnsi="Calibri" w:cs="Calibri"/>
          <w:color w:val="000000" w:themeColor="text1"/>
        </w:rPr>
        <w:t xml:space="preserve">Nr. </w:t>
      </w:r>
      <w:r w:rsidRPr="00EF7670" w:rsidR="00DB1731">
        <w:rPr>
          <w:rFonts w:ascii="Calibri" w:hAnsi="Calibri" w:cs="Calibri"/>
          <w:color w:val="000000" w:themeColor="text1"/>
        </w:rPr>
        <w:t>256</w:t>
      </w:r>
      <w:r w:rsidRPr="00EF7670">
        <w:rPr>
          <w:rFonts w:ascii="Calibri" w:hAnsi="Calibri" w:cs="Calibri"/>
          <w:color w:val="000000" w:themeColor="text1"/>
        </w:rPr>
        <w:tab/>
      </w:r>
      <w:r w:rsidRPr="00EF7670">
        <w:rPr>
          <w:rFonts w:ascii="Calibri" w:hAnsi="Calibri" w:cs="Calibri"/>
          <w:color w:val="000000" w:themeColor="text1"/>
        </w:rPr>
        <w:tab/>
        <w:t>Brief van de minister van Economische Zaken</w:t>
      </w:r>
    </w:p>
    <w:p w:rsidRPr="00EF7670" w:rsidR="00EF7670" w:rsidP="00EF7670" w:rsidRDefault="00EF7670" w14:paraId="643948D3" w14:textId="77777777">
      <w:pPr>
        <w:rPr>
          <w:rFonts w:ascii="Calibri" w:hAnsi="Calibri" w:cs="Calibri"/>
          <w:color w:val="000000" w:themeColor="text1"/>
        </w:rPr>
      </w:pPr>
      <w:r w:rsidRPr="00EF7670">
        <w:rPr>
          <w:rFonts w:ascii="Calibri" w:hAnsi="Calibri" w:cs="Calibri"/>
          <w:color w:val="000000" w:themeColor="text1"/>
        </w:rPr>
        <w:t>Aan de Voorzitter van de Tweede Kamer der Staten-Generaal</w:t>
      </w:r>
    </w:p>
    <w:p w:rsidRPr="00EF7670" w:rsidR="00DB1731" w:rsidP="00EF7670" w:rsidRDefault="00EF7670" w14:paraId="3A001C65" w14:textId="74A96293">
      <w:pPr>
        <w:rPr>
          <w:rFonts w:ascii="Calibri" w:hAnsi="Calibri" w:cs="Calibri"/>
        </w:rPr>
      </w:pPr>
      <w:r w:rsidRPr="00EF7670">
        <w:rPr>
          <w:rFonts w:ascii="Calibri" w:hAnsi="Calibri" w:cs="Calibri"/>
          <w:color w:val="000000" w:themeColor="text1"/>
        </w:rPr>
        <w:t>Den Haag, 3 juni 2025</w:t>
      </w:r>
      <w:r w:rsidRPr="00EF7670" w:rsidR="00DB1731">
        <w:rPr>
          <w:rFonts w:ascii="Calibri" w:hAnsi="Calibri" w:cs="Calibri"/>
          <w:color w:val="000000" w:themeColor="text1"/>
        </w:rPr>
        <w:br/>
      </w:r>
      <w:r w:rsidRPr="00EF7670" w:rsidR="00DB1731">
        <w:rPr>
          <w:rFonts w:ascii="Calibri" w:hAnsi="Calibri" w:cs="Calibri"/>
          <w:color w:val="000000" w:themeColor="text1"/>
        </w:rPr>
        <w:br/>
        <w:t xml:space="preserve">Het kabinet heeft de ambitie om van Nederland het beste startup en scale-up ecosysteem van Europa te maken. De toegang tot talent is daarbij een van de belangrijkste onderdelen. Daarom ben ik verheugd dat </w:t>
      </w:r>
      <w:r w:rsidRPr="00EF7670" w:rsidR="00DB1731">
        <w:rPr>
          <w:rFonts w:ascii="Calibri" w:hAnsi="Calibri" w:cs="Calibri"/>
        </w:rPr>
        <w:t>tijdens de Voorjaarsbesluitvorming overeenstemming is bereikt over het voorstel voor een fiscale maatregel voor startups en scale-ups. In deze brief informeer ik u, mede namens de staatssecretaris van Financiën - Fiscaliteit, Belastingdienst en Douane, nader over het besluit dat het kabinet hierover genomen heeft tijdens de Voorjaarsbesluitvorming. Met deze brief voldoet het kabinet tevens aan de motie van het lid Van Eijk.</w:t>
      </w:r>
      <w:r w:rsidRPr="00EF7670" w:rsidR="00DB1731">
        <w:rPr>
          <w:rStyle w:val="Voetnootmarkering"/>
          <w:rFonts w:ascii="Calibri" w:hAnsi="Calibri" w:cs="Calibri"/>
        </w:rPr>
        <w:footnoteReference w:id="1"/>
      </w:r>
    </w:p>
    <w:p w:rsidRPr="00EF7670" w:rsidR="00DB1731" w:rsidP="00DB1731" w:rsidRDefault="00DB1731" w14:paraId="314E1281" w14:textId="77777777">
      <w:pPr>
        <w:spacing w:after="0"/>
        <w:rPr>
          <w:rFonts w:ascii="Calibri" w:hAnsi="Calibri" w:cs="Calibri"/>
        </w:rPr>
      </w:pPr>
    </w:p>
    <w:p w:rsidRPr="00EF7670" w:rsidR="00DB1731" w:rsidP="00DB1731" w:rsidRDefault="00DB1731" w14:paraId="1B28A11A" w14:textId="77777777">
      <w:pPr>
        <w:spacing w:after="0"/>
        <w:rPr>
          <w:rFonts w:ascii="Calibri" w:hAnsi="Calibri" w:cs="Calibri"/>
          <w:i/>
          <w:iCs/>
        </w:rPr>
      </w:pPr>
      <w:r w:rsidRPr="00EF7670">
        <w:rPr>
          <w:rFonts w:ascii="Calibri" w:hAnsi="Calibri" w:cs="Calibri"/>
          <w:i/>
          <w:iCs/>
        </w:rPr>
        <w:t xml:space="preserve">Meer succesvolle startups en scale-ups </w:t>
      </w:r>
    </w:p>
    <w:p w:rsidRPr="00EF7670" w:rsidR="00DB1731" w:rsidP="00DB1731" w:rsidRDefault="00DB1731" w14:paraId="00B92BCE" w14:textId="77777777">
      <w:pPr>
        <w:spacing w:after="0"/>
        <w:rPr>
          <w:rFonts w:ascii="Calibri" w:hAnsi="Calibri" w:cs="Calibri"/>
        </w:rPr>
      </w:pPr>
      <w:r w:rsidRPr="00EF7670">
        <w:rPr>
          <w:rFonts w:ascii="Calibri" w:hAnsi="Calibri" w:cs="Calibri"/>
        </w:rPr>
        <w:t>Succesvolle startups en scale-ups zijn cruciaal voor een vitale economie. Zij dragen bij aan de innovatiekracht van Nederland en jagen de productiviteitsgroei aan. Ook dragen veel startups en scale-ups bij aan noodzakelijke maatschappelijke transities, bijvoorbeeld in de gezondheidszorg, en zijn ze cruciaal voor onze economische weerbaarheid. Het rapport van Mario Draghi</w:t>
      </w:r>
      <w:r w:rsidRPr="00EF7670">
        <w:rPr>
          <w:rStyle w:val="Voetnootmarkering"/>
          <w:rFonts w:ascii="Calibri" w:hAnsi="Calibri" w:cs="Calibri"/>
        </w:rPr>
        <w:footnoteReference w:id="2"/>
      </w:r>
      <w:r w:rsidRPr="00EF7670">
        <w:rPr>
          <w:rFonts w:ascii="Calibri" w:hAnsi="Calibri" w:cs="Calibri"/>
        </w:rPr>
        <w:t xml:space="preserve"> en de huidige geopolitieke situatie laten het belang zien van een sterke tech industrie voor een concurrerende economie.</w:t>
      </w:r>
    </w:p>
    <w:p w:rsidRPr="00EF7670" w:rsidR="00DB1731" w:rsidP="00DB1731" w:rsidRDefault="00DB1731" w14:paraId="5AD22AA4" w14:textId="77777777">
      <w:pPr>
        <w:spacing w:after="0"/>
        <w:rPr>
          <w:rFonts w:ascii="Calibri" w:hAnsi="Calibri" w:cs="Calibri"/>
        </w:rPr>
      </w:pPr>
    </w:p>
    <w:p w:rsidRPr="00EF7670" w:rsidR="00DB1731" w:rsidP="00DB1731" w:rsidRDefault="00DB1731" w14:paraId="4BBAC73F" w14:textId="77777777">
      <w:pPr>
        <w:spacing w:after="0"/>
        <w:rPr>
          <w:rFonts w:ascii="Calibri" w:hAnsi="Calibri" w:cs="Calibri"/>
        </w:rPr>
      </w:pPr>
      <w:r w:rsidRPr="00EF7670">
        <w:rPr>
          <w:rFonts w:ascii="Calibri" w:hAnsi="Calibri" w:cs="Calibri"/>
        </w:rPr>
        <w:t>Op dit moment zijn jonge technologiebedrijven in Nederland minder succesvol dan in andere landen. Alhoewel Nederland meer dan 2,2 keer zo veel startups per capita heeft als het Europese gemiddelde, ligt het percentage van startups dat succesvol doorgroeit naar scale-ups met 19% onder het EU-gemiddelde van 22%. Vergeleken met niet-Europese landen ligt dit percentage nog verder af van het gemiddelde. De toegang tot talent vormt daarbij een van de grootste belemmeringen voor een succesvolle doorgroei.</w:t>
      </w:r>
      <w:r w:rsidRPr="00EF7670">
        <w:rPr>
          <w:rFonts w:ascii="Calibri" w:hAnsi="Calibri" w:cs="Calibri"/>
          <w:vertAlign w:val="superscript"/>
        </w:rPr>
        <w:footnoteReference w:id="3"/>
      </w:r>
      <w:r w:rsidRPr="00EF7670">
        <w:rPr>
          <w:rFonts w:ascii="Calibri" w:hAnsi="Calibri" w:cs="Calibri"/>
        </w:rPr>
        <w:t xml:space="preserve"> Medewerkers vormen het hart van een bedrijf; zonder talent geen groei. Zij zijn een cruciale voorwaarde voor het succes van de onderneming. In de Kamerbrief van 17 december 2024</w:t>
      </w:r>
      <w:r w:rsidRPr="00EF7670">
        <w:rPr>
          <w:rStyle w:val="Voetnootmarkering"/>
          <w:rFonts w:ascii="Calibri" w:hAnsi="Calibri" w:cs="Calibri"/>
        </w:rPr>
        <w:footnoteReference w:id="4"/>
      </w:r>
      <w:r w:rsidRPr="00EF7670">
        <w:rPr>
          <w:rFonts w:ascii="Calibri" w:hAnsi="Calibri" w:cs="Calibri"/>
        </w:rPr>
        <w:t xml:space="preserve"> ben ik reeds uitgebreid ingegaan op de doorgroei van startups en scale-ups in Nederland, het knelpunt rondom de toegang tot talent, en de rol die medewerkersparticipatie in andere succesvolle startup en scale-up landen speelt bij het aantrekken en binden van talent. </w:t>
      </w:r>
    </w:p>
    <w:p w:rsidRPr="00EF7670" w:rsidR="00DB1731" w:rsidP="00DB1731" w:rsidRDefault="00DB1731" w14:paraId="577A8FE1" w14:textId="77777777">
      <w:pPr>
        <w:spacing w:after="0"/>
        <w:rPr>
          <w:rFonts w:ascii="Calibri" w:hAnsi="Calibri" w:cs="Calibri"/>
        </w:rPr>
      </w:pPr>
    </w:p>
    <w:p w:rsidRPr="00EF7670" w:rsidR="00DB1731" w:rsidP="00DB1731" w:rsidRDefault="00DB1731" w14:paraId="13EE9C55" w14:textId="77777777">
      <w:pPr>
        <w:spacing w:after="0"/>
        <w:rPr>
          <w:rFonts w:ascii="Calibri" w:hAnsi="Calibri" w:cs="Calibri"/>
        </w:rPr>
      </w:pPr>
      <w:r w:rsidRPr="00EF7670">
        <w:rPr>
          <w:rFonts w:ascii="Calibri" w:hAnsi="Calibri" w:cs="Calibri"/>
        </w:rPr>
        <w:t>Uit het internationaal vergelijkend onderzoek van Archipel Tax Advice</w:t>
      </w:r>
      <w:r w:rsidRPr="00EF7670">
        <w:rPr>
          <w:rFonts w:ascii="Calibri" w:hAnsi="Calibri" w:cs="Calibri"/>
          <w:vertAlign w:val="superscript"/>
        </w:rPr>
        <w:footnoteReference w:id="5"/>
      </w:r>
      <w:r w:rsidRPr="00EF7670">
        <w:rPr>
          <w:rFonts w:ascii="Calibri" w:hAnsi="Calibri" w:cs="Calibri"/>
        </w:rPr>
        <w:t xml:space="preserve"> dat eveneens in december 2024 met uw Kamer is gedeeld, blijkt dat de huidige Nederlandse fiscale aandelenoptieregeling laag scoort ten opzichte van concurrerende landen. Dit is weergegeven in de volgende tabel. Veel andere belangrijke landen voor startups en scale-ups, zoals het Verenigd Koninkrijk, kennen een lagere heffing op dergelijke voordelen en een hogere graad van medewerkersparticipatie onder startups en scale-ups. Daarnaast belasten zij op het moment dat de aandelen die uit de opties worden verkregen verkocht worden en niet op het moment van verwerving van de aandelen.</w:t>
      </w:r>
    </w:p>
    <w:p w:rsidRPr="00EF7670" w:rsidR="00DB1731" w:rsidP="00DB1731" w:rsidRDefault="00DB1731" w14:paraId="43F02A71" w14:textId="77777777">
      <w:pPr>
        <w:spacing w:after="0"/>
        <w:rPr>
          <w:rFonts w:ascii="Calibri" w:hAnsi="Calibri" w:cs="Calibri"/>
        </w:rPr>
      </w:pPr>
    </w:p>
    <w:p w:rsidRPr="00EF7670" w:rsidR="00DB1731" w:rsidP="00DB1731" w:rsidRDefault="00DB1731" w14:paraId="6F99086A" w14:textId="77777777">
      <w:pPr>
        <w:spacing w:after="0"/>
        <w:rPr>
          <w:rFonts w:ascii="Calibri" w:hAnsi="Calibri" w:cs="Calibri"/>
        </w:rPr>
      </w:pPr>
    </w:p>
    <w:p w:rsidRPr="00EF7670" w:rsidR="00DB1731" w:rsidP="00DB1731" w:rsidRDefault="00DB1731" w14:paraId="5CE4C2C4" w14:textId="77777777">
      <w:pPr>
        <w:spacing w:after="0"/>
        <w:rPr>
          <w:rFonts w:ascii="Calibri" w:hAnsi="Calibri" w:cs="Calibri"/>
        </w:rPr>
      </w:pPr>
      <w:r w:rsidRPr="00EF7670">
        <w:rPr>
          <w:rFonts w:ascii="Calibri" w:hAnsi="Calibri" w:cs="Calibri"/>
          <w:noProof/>
        </w:rPr>
        <w:drawing>
          <wp:inline distT="0" distB="0" distL="0" distR="0" wp14:anchorId="0512D021" wp14:editId="51A8DD13">
            <wp:extent cx="4780915" cy="3977005"/>
            <wp:effectExtent l="0" t="0" r="635" b="4445"/>
            <wp:docPr id="1832608552" name="Afbeelding 1" descr="Afbeelding met tekst, schermopname, nummer, softwa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608552" name="Afbeelding 1" descr="Afbeelding met tekst, schermopname, nummer, software&#10;&#10;Door AI gegenereerde inhoud is mogelijk onjuist."/>
                    <pic:cNvPicPr/>
                  </pic:nvPicPr>
                  <pic:blipFill>
                    <a:blip r:embed="rId6"/>
                    <a:stretch>
                      <a:fillRect/>
                    </a:stretch>
                  </pic:blipFill>
                  <pic:spPr>
                    <a:xfrm>
                      <a:off x="0" y="0"/>
                      <a:ext cx="4780915" cy="3977005"/>
                    </a:xfrm>
                    <a:prstGeom prst="rect">
                      <a:avLst/>
                    </a:prstGeom>
                  </pic:spPr>
                </pic:pic>
              </a:graphicData>
            </a:graphic>
          </wp:inline>
        </w:drawing>
      </w:r>
    </w:p>
    <w:p w:rsidRPr="00EF7670" w:rsidR="00DB1731" w:rsidP="00DB1731" w:rsidRDefault="00DB1731" w14:paraId="4F10C792" w14:textId="77777777">
      <w:pPr>
        <w:spacing w:after="0"/>
        <w:rPr>
          <w:rFonts w:ascii="Calibri" w:hAnsi="Calibri" w:cs="Calibri"/>
        </w:rPr>
      </w:pPr>
      <w:r w:rsidRPr="00EF7670">
        <w:rPr>
          <w:rFonts w:ascii="Calibri" w:hAnsi="Calibri" w:cs="Calibri"/>
        </w:rPr>
        <w:t>Bron: Archipel Tax Advice (2024)</w:t>
      </w:r>
    </w:p>
    <w:p w:rsidRPr="00EF7670" w:rsidR="00DB1731" w:rsidP="00DB1731" w:rsidRDefault="00DB1731" w14:paraId="51C51B3B" w14:textId="77777777">
      <w:pPr>
        <w:spacing w:after="0" w:line="240" w:lineRule="auto"/>
        <w:rPr>
          <w:rFonts w:ascii="Calibri" w:hAnsi="Calibri" w:cs="Calibri"/>
          <w:i/>
          <w:iCs/>
        </w:rPr>
      </w:pPr>
      <w:r w:rsidRPr="00EF7670">
        <w:rPr>
          <w:rFonts w:ascii="Calibri" w:hAnsi="Calibri" w:cs="Calibri"/>
          <w:i/>
          <w:iCs/>
        </w:rPr>
        <w:br w:type="page"/>
      </w:r>
    </w:p>
    <w:p w:rsidRPr="00EF7670" w:rsidR="00DB1731" w:rsidP="00DB1731" w:rsidRDefault="00DB1731" w14:paraId="11B2958E" w14:textId="77777777">
      <w:pPr>
        <w:spacing w:after="0"/>
        <w:rPr>
          <w:rFonts w:ascii="Calibri" w:hAnsi="Calibri" w:cs="Calibri"/>
        </w:rPr>
      </w:pPr>
      <w:r w:rsidRPr="00EF7670">
        <w:rPr>
          <w:rFonts w:ascii="Calibri" w:hAnsi="Calibri" w:cs="Calibri"/>
          <w:i/>
          <w:iCs/>
        </w:rPr>
        <w:lastRenderedPageBreak/>
        <w:t>Aanloop naar het voorstel</w:t>
      </w:r>
    </w:p>
    <w:p w:rsidRPr="00EF7670" w:rsidR="00DB1731" w:rsidP="00DB1731" w:rsidRDefault="00DB1731" w14:paraId="0B202A60" w14:textId="77777777">
      <w:pPr>
        <w:spacing w:after="0"/>
        <w:rPr>
          <w:rFonts w:ascii="Calibri" w:hAnsi="Calibri" w:cs="Calibri"/>
        </w:rPr>
      </w:pPr>
      <w:r w:rsidRPr="00EF7670">
        <w:rPr>
          <w:rFonts w:ascii="Calibri" w:hAnsi="Calibri" w:cs="Calibri"/>
        </w:rPr>
        <w:t>De afgelopen jaren heeft het kabinet gewerkt aan het verbeteren van het beleid rondom medewerkersparticipatie binnen startups en scale-ups, zoals ook opgenomen in de Kamerbrief startup en scale-upbeleid uit 2023.</w:t>
      </w:r>
      <w:r w:rsidRPr="00EF7670">
        <w:rPr>
          <w:rStyle w:val="Voetnootmarkering"/>
          <w:rFonts w:ascii="Calibri" w:hAnsi="Calibri" w:cs="Calibri"/>
        </w:rPr>
        <w:footnoteReference w:id="6"/>
      </w:r>
      <w:r w:rsidRPr="00EF7670">
        <w:rPr>
          <w:rFonts w:ascii="Calibri" w:hAnsi="Calibri" w:cs="Calibri"/>
        </w:rPr>
        <w:t xml:space="preserve"> In de Kamerbrief zijn vijf actiegebieden benoemd, waaronder talent en financiering. Medewerkersparticipatie is onder het actiegebied talent benoemd als een van de belangrijkste maatregelen.</w:t>
      </w:r>
    </w:p>
    <w:p w:rsidRPr="00EF7670" w:rsidR="00DB1731" w:rsidP="00DB1731" w:rsidRDefault="00DB1731" w14:paraId="6C066AC8" w14:textId="77777777">
      <w:pPr>
        <w:spacing w:after="0"/>
        <w:rPr>
          <w:rFonts w:ascii="Calibri" w:hAnsi="Calibri" w:cs="Calibri"/>
        </w:rPr>
      </w:pPr>
    </w:p>
    <w:p w:rsidRPr="00EF7670" w:rsidR="00DB1731" w:rsidP="00DB1731" w:rsidRDefault="00DB1731" w14:paraId="4D3B668D" w14:textId="77777777">
      <w:pPr>
        <w:spacing w:after="0"/>
        <w:rPr>
          <w:rFonts w:ascii="Calibri" w:hAnsi="Calibri" w:cs="Calibri"/>
        </w:rPr>
      </w:pPr>
      <w:r w:rsidRPr="00EF7670">
        <w:rPr>
          <w:rFonts w:ascii="Calibri" w:hAnsi="Calibri" w:cs="Calibri"/>
        </w:rPr>
        <w:t>In januari 2023 is de Wet aanpassing fiscale regeling aandelenoptierechten in werking getreden waarmee het heffingsmoment is aangepast.</w:t>
      </w:r>
      <w:r w:rsidRPr="00EF7670">
        <w:rPr>
          <w:rStyle w:val="Voetnootmarkering"/>
          <w:rFonts w:ascii="Calibri" w:hAnsi="Calibri" w:cs="Calibri"/>
        </w:rPr>
        <w:footnoteReference w:id="7"/>
      </w:r>
      <w:r w:rsidRPr="00EF7670">
        <w:rPr>
          <w:rFonts w:ascii="Calibri" w:hAnsi="Calibri" w:cs="Calibri"/>
        </w:rPr>
        <w:t xml:space="preserve"> Vervolgens zijn mogelijke opties voor aanvullend beleid onderzocht. Deze zijn in eerste instantie opgenomen in het fiscale Bouwstenenrapport in februari 2024.</w:t>
      </w:r>
      <w:r w:rsidRPr="00EF7670">
        <w:rPr>
          <w:rStyle w:val="Voetnootmarkering"/>
          <w:rFonts w:ascii="Calibri" w:hAnsi="Calibri" w:cs="Calibri"/>
        </w:rPr>
        <w:footnoteReference w:id="8"/>
      </w:r>
      <w:r w:rsidRPr="00EF7670">
        <w:rPr>
          <w:rFonts w:ascii="Calibri" w:hAnsi="Calibri" w:cs="Calibri"/>
        </w:rPr>
        <w:t xml:space="preserve"> </w:t>
      </w:r>
    </w:p>
    <w:p w:rsidRPr="00EF7670" w:rsidR="00DB1731" w:rsidP="00DB1731" w:rsidRDefault="00DB1731" w14:paraId="7ADA1EA3" w14:textId="77777777">
      <w:pPr>
        <w:spacing w:after="0"/>
        <w:rPr>
          <w:rFonts w:ascii="Calibri" w:hAnsi="Calibri" w:cs="Calibri"/>
        </w:rPr>
      </w:pPr>
      <w:r w:rsidRPr="00EF7670">
        <w:rPr>
          <w:rFonts w:ascii="Calibri" w:hAnsi="Calibri" w:cs="Calibri"/>
        </w:rPr>
        <w:t>Uw Kamer heeft in het afgelopen jaar meermaals medewerkersparticipatie voor startups en scale-ups ter sprake gebracht in debatten</w:t>
      </w:r>
      <w:r w:rsidRPr="00EF7670">
        <w:rPr>
          <w:rStyle w:val="Voetnootmarkering"/>
          <w:rFonts w:ascii="Calibri" w:hAnsi="Calibri" w:cs="Calibri"/>
        </w:rPr>
        <w:footnoteReference w:id="9"/>
      </w:r>
      <w:r w:rsidRPr="00EF7670">
        <w:rPr>
          <w:rFonts w:ascii="Calibri" w:hAnsi="Calibri" w:cs="Calibri"/>
        </w:rPr>
        <w:t xml:space="preserve"> en gepleit voor aanvullend beleid op dit terrein, onder andere via de breed gesteunde motie van het lid Van Eijk.</w:t>
      </w:r>
      <w:r w:rsidRPr="00EF7670">
        <w:rPr>
          <w:rStyle w:val="Voetnootmarkering"/>
          <w:rFonts w:ascii="Calibri" w:hAnsi="Calibri" w:cs="Calibri"/>
        </w:rPr>
        <w:footnoteReference w:id="10"/>
      </w:r>
      <w:r w:rsidRPr="00EF7670">
        <w:rPr>
          <w:rFonts w:ascii="Calibri" w:hAnsi="Calibri" w:cs="Calibri"/>
        </w:rPr>
        <w:t xml:space="preserve"> Recent is ook een petitie gestart vanuit startup en scale-up ondernemers en investeerders waarin wordt opgeroepen tot een internationaal concurrerend belastingtarief voor aandelenopties die worden toegekend aan werknemers van startups en scale-ups en alleen loonbelasting te heffen over dergelijke aandelenopties op het moment van verkoop van de uit de opties verkregen aandelen. Daarnaast vraagt de petitie om administratieve lasten die gepaard gaan met het toekennen van werknemersopties te beperken. De petitie is inmiddels meer dan 1500 keer ondertekend. </w:t>
      </w:r>
    </w:p>
    <w:p w:rsidRPr="00EF7670" w:rsidR="00DB1731" w:rsidP="00DB1731" w:rsidRDefault="00DB1731" w14:paraId="1CD6573E" w14:textId="77777777">
      <w:pPr>
        <w:spacing w:after="0"/>
        <w:rPr>
          <w:rFonts w:ascii="Calibri" w:hAnsi="Calibri" w:cs="Calibri"/>
        </w:rPr>
      </w:pPr>
    </w:p>
    <w:p w:rsidRPr="00EF7670" w:rsidR="00DB1731" w:rsidP="00DB1731" w:rsidRDefault="00DB1731" w14:paraId="65DD9B18" w14:textId="77777777">
      <w:pPr>
        <w:spacing w:after="0"/>
        <w:rPr>
          <w:rFonts w:ascii="Calibri" w:hAnsi="Calibri" w:cs="Calibri"/>
        </w:rPr>
      </w:pPr>
      <w:r w:rsidRPr="00EF7670">
        <w:rPr>
          <w:rFonts w:ascii="Calibri" w:hAnsi="Calibri" w:cs="Calibri"/>
          <w:i/>
          <w:iCs/>
        </w:rPr>
        <w:t>Hoofdlijnen van het voorstel</w:t>
      </w:r>
    </w:p>
    <w:p w:rsidRPr="00EF7670" w:rsidR="00DB1731" w:rsidP="00DB1731" w:rsidRDefault="00DB1731" w14:paraId="0193E30E" w14:textId="77777777">
      <w:pPr>
        <w:spacing w:after="0"/>
        <w:rPr>
          <w:rFonts w:ascii="Calibri" w:hAnsi="Calibri" w:cs="Calibri"/>
        </w:rPr>
      </w:pPr>
      <w:r w:rsidRPr="00EF7670">
        <w:rPr>
          <w:rFonts w:ascii="Calibri" w:hAnsi="Calibri" w:cs="Calibri"/>
        </w:rPr>
        <w:t>De voorgestelde fiscale regeling heeft als doel om bij te dragen aan meer succesvolle startups en scale-ups in Nederland door hen beter in staat te stellen talent aan te trekken en te behouden. De regeling geeft startups en scale-ups de mogelijkheid een internationaal concurrerend aanbod voor medewerkersparticipatie aan potentiële medewerkers te doen.</w:t>
      </w:r>
    </w:p>
    <w:p w:rsidRPr="00EF7670" w:rsidR="00DB1731" w:rsidP="00DB1731" w:rsidRDefault="00DB1731" w14:paraId="217A42D1" w14:textId="77777777">
      <w:pPr>
        <w:spacing w:after="0"/>
        <w:rPr>
          <w:rFonts w:ascii="Calibri" w:hAnsi="Calibri" w:cs="Calibri"/>
        </w:rPr>
      </w:pPr>
    </w:p>
    <w:p w:rsidRPr="00EF7670" w:rsidR="00DB1731" w:rsidP="00DB1731" w:rsidRDefault="00DB1731" w14:paraId="6A61FE47" w14:textId="77777777">
      <w:pPr>
        <w:spacing w:after="0"/>
        <w:rPr>
          <w:rFonts w:ascii="Calibri" w:hAnsi="Calibri" w:cs="Calibri"/>
        </w:rPr>
      </w:pPr>
      <w:r w:rsidRPr="00EF7670">
        <w:rPr>
          <w:rFonts w:ascii="Calibri" w:hAnsi="Calibri" w:cs="Calibri"/>
        </w:rPr>
        <w:t xml:space="preserve">Ten eerste biedt de voorgestelde regeling werknemers van innovatieve startups en scale-ups lagere loonheffingen op hun inkomen uit aandelenopties. Hiermee wordt de hoogte van de belastingheffing meer in lijn gebracht met andere startuplanden. De lagere heffing wordt zo vormgegeven, dat de grondslag van het </w:t>
      </w:r>
      <w:bookmarkStart w:name="_Hlk189738157" w:id="0"/>
      <w:r w:rsidRPr="00EF7670">
        <w:rPr>
          <w:rFonts w:ascii="Calibri" w:hAnsi="Calibri" w:cs="Calibri"/>
        </w:rPr>
        <w:t xml:space="preserve">inkomen uit aandelenopties wordt versmald tot 65%. Daardoor is het effectieve tarief over het inkomen uit aandelenopties ongeveer gelijk aan wat de heffing zou zijn als de aandelenopties in box 2 zouden zijn belast. </w:t>
      </w:r>
      <w:bookmarkEnd w:id="0"/>
      <w:r w:rsidRPr="00EF7670">
        <w:rPr>
          <w:rFonts w:ascii="Calibri" w:hAnsi="Calibri" w:cs="Calibri"/>
        </w:rPr>
        <w:t xml:space="preserve">Om dit inzichtelijk te maken, is in de volgende tabel een vergelijking opgenomen van de reguliere tarieven en de </w:t>
      </w:r>
      <w:r w:rsidRPr="00EF7670">
        <w:rPr>
          <w:rFonts w:ascii="Calibri" w:hAnsi="Calibri" w:cs="Calibri"/>
        </w:rPr>
        <w:lastRenderedPageBreak/>
        <w:t>effectieve tarieven die van toepassing zijn bij een versmalde grondslag in box 1 (voor personen die de AOW-leeftijd nog niet hebben bereikt, exclusief op- en afbouw van heffingskortingen).</w:t>
      </w:r>
    </w:p>
    <w:p w:rsidRPr="00EF7670" w:rsidR="00DB1731" w:rsidP="00DB1731" w:rsidRDefault="00DB1731" w14:paraId="0F84212D" w14:textId="77777777">
      <w:pPr>
        <w:spacing w:after="0"/>
        <w:rPr>
          <w:rFonts w:ascii="Calibri" w:hAnsi="Calibri" w:cs="Calibri"/>
        </w:rPr>
      </w:pPr>
    </w:p>
    <w:p w:rsidRPr="00EF7670" w:rsidR="00DB1731" w:rsidP="00DB1731" w:rsidRDefault="00DB1731" w14:paraId="5AF96502" w14:textId="77777777">
      <w:pPr>
        <w:spacing w:after="0"/>
        <w:rPr>
          <w:rFonts w:ascii="Calibri" w:hAnsi="Calibri" w:cs="Calibri"/>
        </w:rPr>
      </w:pPr>
    </w:p>
    <w:tbl>
      <w:tblPr>
        <w:tblStyle w:val="Tabelraster"/>
        <w:tblW w:w="7650" w:type="dxa"/>
        <w:tblLook w:val="04A0" w:firstRow="1" w:lastRow="0" w:firstColumn="1" w:lastColumn="0" w:noHBand="0" w:noVBand="1"/>
      </w:tblPr>
      <w:tblGrid>
        <w:gridCol w:w="980"/>
        <w:gridCol w:w="1802"/>
        <w:gridCol w:w="2363"/>
        <w:gridCol w:w="2505"/>
      </w:tblGrid>
      <w:tr w:rsidRPr="00EF7670" w:rsidR="00DB1731" w:rsidTr="004E5E08" w14:paraId="1DC0459A" w14:textId="77777777">
        <w:trPr>
          <w:trHeight w:val="567"/>
        </w:trPr>
        <w:tc>
          <w:tcPr>
            <w:tcW w:w="980" w:type="dxa"/>
            <w:shd w:val="clear" w:color="auto" w:fill="C1E4F5" w:themeFill="accent1" w:themeFillTint="33"/>
            <w:vAlign w:val="center"/>
          </w:tcPr>
          <w:p w:rsidRPr="00EF7670" w:rsidR="00DB1731" w:rsidP="00DB1731" w:rsidRDefault="00DB1731" w14:paraId="2CA4D744" w14:textId="77777777">
            <w:pPr>
              <w:jc w:val="center"/>
              <w:rPr>
                <w:rFonts w:ascii="Calibri" w:hAnsi="Calibri" w:cs="Calibri"/>
                <w:b/>
                <w:bCs/>
                <w:sz w:val="22"/>
                <w:szCs w:val="22"/>
              </w:rPr>
            </w:pPr>
            <w:r w:rsidRPr="00EF7670">
              <w:rPr>
                <w:rFonts w:ascii="Calibri" w:hAnsi="Calibri" w:cs="Calibri"/>
                <w:b/>
                <w:bCs/>
                <w:sz w:val="22"/>
                <w:szCs w:val="22"/>
              </w:rPr>
              <w:t>Box 1 (2025)</w:t>
            </w:r>
          </w:p>
        </w:tc>
        <w:tc>
          <w:tcPr>
            <w:tcW w:w="1802" w:type="dxa"/>
            <w:shd w:val="clear" w:color="auto" w:fill="C1E4F5" w:themeFill="accent1" w:themeFillTint="33"/>
            <w:vAlign w:val="center"/>
          </w:tcPr>
          <w:p w:rsidRPr="00EF7670" w:rsidR="00DB1731" w:rsidP="00DB1731" w:rsidRDefault="00DB1731" w14:paraId="4AE327DD" w14:textId="77777777">
            <w:pPr>
              <w:jc w:val="center"/>
              <w:rPr>
                <w:rFonts w:ascii="Calibri" w:hAnsi="Calibri" w:cs="Calibri"/>
                <w:b/>
                <w:bCs/>
                <w:sz w:val="22"/>
                <w:szCs w:val="22"/>
              </w:rPr>
            </w:pPr>
            <w:r w:rsidRPr="00EF7670">
              <w:rPr>
                <w:rFonts w:ascii="Calibri" w:hAnsi="Calibri" w:cs="Calibri"/>
                <w:b/>
                <w:bCs/>
                <w:sz w:val="22"/>
                <w:szCs w:val="22"/>
              </w:rPr>
              <w:t>Inkomensgrens</w:t>
            </w:r>
          </w:p>
        </w:tc>
        <w:tc>
          <w:tcPr>
            <w:tcW w:w="2363" w:type="dxa"/>
            <w:shd w:val="clear" w:color="auto" w:fill="C1E4F5" w:themeFill="accent1" w:themeFillTint="33"/>
            <w:vAlign w:val="center"/>
          </w:tcPr>
          <w:p w:rsidRPr="00EF7670" w:rsidR="00DB1731" w:rsidP="00DB1731" w:rsidRDefault="00DB1731" w14:paraId="077D332A" w14:textId="77777777">
            <w:pPr>
              <w:jc w:val="center"/>
              <w:rPr>
                <w:rFonts w:ascii="Calibri" w:hAnsi="Calibri" w:cs="Calibri"/>
                <w:b/>
                <w:bCs/>
                <w:sz w:val="22"/>
                <w:szCs w:val="22"/>
              </w:rPr>
            </w:pPr>
            <w:r w:rsidRPr="00EF7670">
              <w:rPr>
                <w:rFonts w:ascii="Calibri" w:hAnsi="Calibri" w:cs="Calibri"/>
                <w:b/>
                <w:bCs/>
                <w:sz w:val="22"/>
                <w:szCs w:val="22"/>
              </w:rPr>
              <w:t xml:space="preserve">Tarieven </w:t>
            </w:r>
          </w:p>
        </w:tc>
        <w:tc>
          <w:tcPr>
            <w:tcW w:w="2505" w:type="dxa"/>
            <w:shd w:val="clear" w:color="auto" w:fill="C1E4F5" w:themeFill="accent1" w:themeFillTint="33"/>
            <w:vAlign w:val="center"/>
          </w:tcPr>
          <w:p w:rsidRPr="00EF7670" w:rsidR="00DB1731" w:rsidP="00DB1731" w:rsidRDefault="00DB1731" w14:paraId="6920789E" w14:textId="77777777">
            <w:pPr>
              <w:jc w:val="center"/>
              <w:rPr>
                <w:rFonts w:ascii="Calibri" w:hAnsi="Calibri" w:cs="Calibri"/>
                <w:b/>
                <w:bCs/>
                <w:sz w:val="22"/>
                <w:szCs w:val="22"/>
              </w:rPr>
            </w:pPr>
            <w:r w:rsidRPr="00EF7670">
              <w:rPr>
                <w:rFonts w:ascii="Calibri" w:hAnsi="Calibri" w:cs="Calibri"/>
                <w:b/>
                <w:bCs/>
                <w:sz w:val="22"/>
                <w:szCs w:val="22"/>
              </w:rPr>
              <w:t>Effectieve tarieven bij 65% grondslag</w:t>
            </w:r>
          </w:p>
        </w:tc>
      </w:tr>
      <w:tr w:rsidRPr="00EF7670" w:rsidR="00DB1731" w:rsidTr="004E5E08" w14:paraId="726BE676" w14:textId="77777777">
        <w:trPr>
          <w:trHeight w:val="567"/>
        </w:trPr>
        <w:tc>
          <w:tcPr>
            <w:tcW w:w="980" w:type="dxa"/>
            <w:shd w:val="clear" w:color="auto" w:fill="auto"/>
            <w:vAlign w:val="center"/>
          </w:tcPr>
          <w:p w:rsidRPr="00EF7670" w:rsidR="00DB1731" w:rsidP="00DB1731" w:rsidRDefault="00DB1731" w14:paraId="743AF69D" w14:textId="77777777">
            <w:pPr>
              <w:jc w:val="center"/>
              <w:rPr>
                <w:rFonts w:ascii="Calibri" w:hAnsi="Calibri" w:cs="Calibri"/>
                <w:sz w:val="22"/>
                <w:szCs w:val="22"/>
              </w:rPr>
            </w:pPr>
            <w:r w:rsidRPr="00EF7670">
              <w:rPr>
                <w:rFonts w:ascii="Calibri" w:hAnsi="Calibri" w:cs="Calibri"/>
                <w:sz w:val="22"/>
                <w:szCs w:val="22"/>
              </w:rPr>
              <w:t>Schijf 1</w:t>
            </w:r>
          </w:p>
        </w:tc>
        <w:tc>
          <w:tcPr>
            <w:tcW w:w="1802" w:type="dxa"/>
            <w:shd w:val="clear" w:color="auto" w:fill="auto"/>
            <w:vAlign w:val="center"/>
          </w:tcPr>
          <w:p w:rsidRPr="00EF7670" w:rsidR="00DB1731" w:rsidP="00DB1731" w:rsidRDefault="00DB1731" w14:paraId="1513E4CA" w14:textId="77777777">
            <w:pPr>
              <w:rPr>
                <w:rFonts w:ascii="Calibri" w:hAnsi="Calibri" w:cs="Calibri"/>
                <w:sz w:val="22"/>
                <w:szCs w:val="22"/>
              </w:rPr>
            </w:pPr>
            <w:r w:rsidRPr="00EF7670">
              <w:rPr>
                <w:rFonts w:ascii="Calibri" w:hAnsi="Calibri" w:cs="Calibri"/>
                <w:sz w:val="22"/>
                <w:szCs w:val="22"/>
              </w:rPr>
              <w:t>T/m €38.441</w:t>
            </w:r>
          </w:p>
        </w:tc>
        <w:tc>
          <w:tcPr>
            <w:tcW w:w="2363" w:type="dxa"/>
            <w:shd w:val="clear" w:color="auto" w:fill="auto"/>
            <w:vAlign w:val="center"/>
          </w:tcPr>
          <w:p w:rsidRPr="00EF7670" w:rsidR="00DB1731" w:rsidP="00DB1731" w:rsidRDefault="00DB1731" w14:paraId="373CE7AF" w14:textId="77777777">
            <w:pPr>
              <w:jc w:val="center"/>
              <w:rPr>
                <w:rFonts w:ascii="Calibri" w:hAnsi="Calibri" w:cs="Calibri"/>
                <w:sz w:val="22"/>
                <w:szCs w:val="22"/>
              </w:rPr>
            </w:pPr>
            <w:r w:rsidRPr="00EF7670">
              <w:rPr>
                <w:rFonts w:ascii="Calibri" w:hAnsi="Calibri" w:cs="Calibri"/>
                <w:sz w:val="22"/>
                <w:szCs w:val="22"/>
              </w:rPr>
              <w:t>35,82%</w:t>
            </w:r>
          </w:p>
        </w:tc>
        <w:tc>
          <w:tcPr>
            <w:tcW w:w="2505" w:type="dxa"/>
            <w:shd w:val="clear" w:color="auto" w:fill="auto"/>
            <w:vAlign w:val="center"/>
          </w:tcPr>
          <w:p w:rsidRPr="00EF7670" w:rsidR="00DB1731" w:rsidP="00DB1731" w:rsidRDefault="00DB1731" w14:paraId="3690F74C" w14:textId="77777777">
            <w:pPr>
              <w:jc w:val="center"/>
              <w:rPr>
                <w:rFonts w:ascii="Calibri" w:hAnsi="Calibri" w:cs="Calibri"/>
                <w:sz w:val="22"/>
                <w:szCs w:val="22"/>
              </w:rPr>
            </w:pPr>
            <w:r w:rsidRPr="00EF7670">
              <w:rPr>
                <w:rFonts w:ascii="Calibri" w:hAnsi="Calibri" w:cs="Calibri"/>
                <w:sz w:val="22"/>
                <w:szCs w:val="22"/>
              </w:rPr>
              <w:t>23,283%</w:t>
            </w:r>
          </w:p>
        </w:tc>
      </w:tr>
      <w:tr w:rsidRPr="00EF7670" w:rsidR="00DB1731" w:rsidTr="004E5E08" w14:paraId="4DA95267" w14:textId="77777777">
        <w:trPr>
          <w:trHeight w:val="567"/>
        </w:trPr>
        <w:tc>
          <w:tcPr>
            <w:tcW w:w="980" w:type="dxa"/>
            <w:shd w:val="clear" w:color="auto" w:fill="auto"/>
            <w:vAlign w:val="center"/>
          </w:tcPr>
          <w:p w:rsidRPr="00EF7670" w:rsidR="00DB1731" w:rsidP="00DB1731" w:rsidRDefault="00DB1731" w14:paraId="3075447D" w14:textId="77777777">
            <w:pPr>
              <w:jc w:val="center"/>
              <w:rPr>
                <w:rFonts w:ascii="Calibri" w:hAnsi="Calibri" w:cs="Calibri"/>
                <w:sz w:val="22"/>
                <w:szCs w:val="22"/>
              </w:rPr>
            </w:pPr>
            <w:r w:rsidRPr="00EF7670">
              <w:rPr>
                <w:rFonts w:ascii="Calibri" w:hAnsi="Calibri" w:cs="Calibri"/>
                <w:sz w:val="22"/>
                <w:szCs w:val="22"/>
              </w:rPr>
              <w:t>Schijf 2</w:t>
            </w:r>
          </w:p>
        </w:tc>
        <w:tc>
          <w:tcPr>
            <w:tcW w:w="1802" w:type="dxa"/>
            <w:shd w:val="clear" w:color="auto" w:fill="auto"/>
            <w:vAlign w:val="center"/>
          </w:tcPr>
          <w:p w:rsidRPr="00EF7670" w:rsidR="00DB1731" w:rsidP="00DB1731" w:rsidRDefault="00DB1731" w14:paraId="1DD1408F" w14:textId="77777777">
            <w:pPr>
              <w:rPr>
                <w:rFonts w:ascii="Calibri" w:hAnsi="Calibri" w:cs="Calibri"/>
                <w:sz w:val="22"/>
                <w:szCs w:val="22"/>
              </w:rPr>
            </w:pPr>
            <w:r w:rsidRPr="00EF7670">
              <w:rPr>
                <w:rFonts w:ascii="Calibri" w:hAnsi="Calibri" w:cs="Calibri"/>
                <w:sz w:val="22"/>
                <w:szCs w:val="22"/>
              </w:rPr>
              <w:t>Meer dan €38.441 t/m €76.817</w:t>
            </w:r>
          </w:p>
        </w:tc>
        <w:tc>
          <w:tcPr>
            <w:tcW w:w="2363" w:type="dxa"/>
            <w:shd w:val="clear" w:color="auto" w:fill="auto"/>
            <w:vAlign w:val="center"/>
          </w:tcPr>
          <w:p w:rsidRPr="00EF7670" w:rsidR="00DB1731" w:rsidP="00DB1731" w:rsidRDefault="00DB1731" w14:paraId="7FA67CEC" w14:textId="77777777">
            <w:pPr>
              <w:jc w:val="center"/>
              <w:rPr>
                <w:rFonts w:ascii="Calibri" w:hAnsi="Calibri" w:cs="Calibri"/>
                <w:sz w:val="22"/>
                <w:szCs w:val="22"/>
              </w:rPr>
            </w:pPr>
            <w:r w:rsidRPr="00EF7670">
              <w:rPr>
                <w:rFonts w:ascii="Calibri" w:hAnsi="Calibri" w:cs="Calibri"/>
                <w:sz w:val="22"/>
                <w:szCs w:val="22"/>
              </w:rPr>
              <w:t>37,48%</w:t>
            </w:r>
          </w:p>
        </w:tc>
        <w:tc>
          <w:tcPr>
            <w:tcW w:w="2505" w:type="dxa"/>
            <w:shd w:val="clear" w:color="auto" w:fill="auto"/>
            <w:vAlign w:val="center"/>
          </w:tcPr>
          <w:p w:rsidRPr="00EF7670" w:rsidR="00DB1731" w:rsidP="00DB1731" w:rsidRDefault="00DB1731" w14:paraId="311354CF" w14:textId="77777777">
            <w:pPr>
              <w:jc w:val="center"/>
              <w:rPr>
                <w:rFonts w:ascii="Calibri" w:hAnsi="Calibri" w:cs="Calibri"/>
                <w:sz w:val="22"/>
                <w:szCs w:val="22"/>
              </w:rPr>
            </w:pPr>
            <w:r w:rsidRPr="00EF7670">
              <w:rPr>
                <w:rFonts w:ascii="Calibri" w:hAnsi="Calibri" w:cs="Calibri"/>
                <w:sz w:val="22"/>
                <w:szCs w:val="22"/>
              </w:rPr>
              <w:t>24,362%</w:t>
            </w:r>
          </w:p>
        </w:tc>
      </w:tr>
      <w:tr w:rsidRPr="00EF7670" w:rsidR="00DB1731" w:rsidTr="004E5E08" w14:paraId="284C6213" w14:textId="77777777">
        <w:trPr>
          <w:trHeight w:val="567"/>
        </w:trPr>
        <w:tc>
          <w:tcPr>
            <w:tcW w:w="980" w:type="dxa"/>
            <w:shd w:val="clear" w:color="auto" w:fill="auto"/>
            <w:vAlign w:val="center"/>
          </w:tcPr>
          <w:p w:rsidRPr="00EF7670" w:rsidR="00DB1731" w:rsidP="00DB1731" w:rsidRDefault="00DB1731" w14:paraId="73CB2503" w14:textId="77777777">
            <w:pPr>
              <w:jc w:val="center"/>
              <w:rPr>
                <w:rFonts w:ascii="Calibri" w:hAnsi="Calibri" w:cs="Calibri"/>
                <w:sz w:val="22"/>
                <w:szCs w:val="22"/>
              </w:rPr>
            </w:pPr>
            <w:r w:rsidRPr="00EF7670">
              <w:rPr>
                <w:rFonts w:ascii="Calibri" w:hAnsi="Calibri" w:cs="Calibri"/>
                <w:sz w:val="22"/>
                <w:szCs w:val="22"/>
              </w:rPr>
              <w:t>Schijf 3</w:t>
            </w:r>
          </w:p>
        </w:tc>
        <w:tc>
          <w:tcPr>
            <w:tcW w:w="1802" w:type="dxa"/>
            <w:shd w:val="clear" w:color="auto" w:fill="auto"/>
            <w:vAlign w:val="center"/>
          </w:tcPr>
          <w:p w:rsidRPr="00EF7670" w:rsidR="00DB1731" w:rsidP="00DB1731" w:rsidRDefault="00DB1731" w14:paraId="5357DDFF" w14:textId="77777777">
            <w:pPr>
              <w:rPr>
                <w:rFonts w:ascii="Calibri" w:hAnsi="Calibri" w:cs="Calibri"/>
                <w:sz w:val="22"/>
                <w:szCs w:val="22"/>
              </w:rPr>
            </w:pPr>
            <w:r w:rsidRPr="00EF7670">
              <w:rPr>
                <w:rFonts w:ascii="Calibri" w:hAnsi="Calibri" w:cs="Calibri"/>
                <w:sz w:val="22"/>
                <w:szCs w:val="22"/>
              </w:rPr>
              <w:t>Meer dan €76.817</w:t>
            </w:r>
          </w:p>
        </w:tc>
        <w:tc>
          <w:tcPr>
            <w:tcW w:w="2363" w:type="dxa"/>
            <w:shd w:val="clear" w:color="auto" w:fill="auto"/>
            <w:vAlign w:val="center"/>
          </w:tcPr>
          <w:p w:rsidRPr="00EF7670" w:rsidR="00DB1731" w:rsidP="00DB1731" w:rsidRDefault="00DB1731" w14:paraId="6CEC6DDB" w14:textId="77777777">
            <w:pPr>
              <w:jc w:val="center"/>
              <w:rPr>
                <w:rFonts w:ascii="Calibri" w:hAnsi="Calibri" w:cs="Calibri"/>
                <w:sz w:val="22"/>
                <w:szCs w:val="22"/>
              </w:rPr>
            </w:pPr>
            <w:r w:rsidRPr="00EF7670">
              <w:rPr>
                <w:rFonts w:ascii="Calibri" w:hAnsi="Calibri" w:cs="Calibri"/>
                <w:sz w:val="22"/>
                <w:szCs w:val="22"/>
              </w:rPr>
              <w:t>49,50%</w:t>
            </w:r>
          </w:p>
        </w:tc>
        <w:tc>
          <w:tcPr>
            <w:tcW w:w="2505" w:type="dxa"/>
            <w:shd w:val="clear" w:color="auto" w:fill="auto"/>
            <w:vAlign w:val="center"/>
          </w:tcPr>
          <w:p w:rsidRPr="00EF7670" w:rsidR="00DB1731" w:rsidP="00DB1731" w:rsidRDefault="00DB1731" w14:paraId="453F4BD1" w14:textId="77777777">
            <w:pPr>
              <w:jc w:val="center"/>
              <w:rPr>
                <w:rFonts w:ascii="Calibri" w:hAnsi="Calibri" w:cs="Calibri"/>
                <w:sz w:val="22"/>
                <w:szCs w:val="22"/>
              </w:rPr>
            </w:pPr>
            <w:r w:rsidRPr="00EF7670">
              <w:rPr>
                <w:rFonts w:ascii="Calibri" w:hAnsi="Calibri" w:cs="Calibri"/>
                <w:sz w:val="22"/>
                <w:szCs w:val="22"/>
              </w:rPr>
              <w:t>32,175%</w:t>
            </w:r>
          </w:p>
        </w:tc>
      </w:tr>
    </w:tbl>
    <w:p w:rsidRPr="00EF7670" w:rsidR="00DB1731" w:rsidP="00DB1731" w:rsidRDefault="00DB1731" w14:paraId="155B41E1" w14:textId="77777777">
      <w:pPr>
        <w:spacing w:after="0"/>
        <w:rPr>
          <w:rFonts w:ascii="Calibri" w:hAnsi="Calibri" w:cs="Calibri"/>
        </w:rPr>
      </w:pPr>
    </w:p>
    <w:tbl>
      <w:tblPr>
        <w:tblStyle w:val="Tabelraster"/>
        <w:tblW w:w="5160" w:type="dxa"/>
        <w:tblLook w:val="04A0" w:firstRow="1" w:lastRow="0" w:firstColumn="1" w:lastColumn="0" w:noHBand="0" w:noVBand="1"/>
      </w:tblPr>
      <w:tblGrid>
        <w:gridCol w:w="998"/>
        <w:gridCol w:w="1824"/>
        <w:gridCol w:w="2338"/>
      </w:tblGrid>
      <w:tr w:rsidRPr="00EF7670" w:rsidR="00DB1731" w:rsidTr="004E5E08" w14:paraId="51646B4F" w14:textId="77777777">
        <w:trPr>
          <w:trHeight w:val="567"/>
        </w:trPr>
        <w:tc>
          <w:tcPr>
            <w:tcW w:w="998" w:type="dxa"/>
            <w:shd w:val="clear" w:color="auto" w:fill="C1E4F5" w:themeFill="accent1" w:themeFillTint="33"/>
            <w:vAlign w:val="center"/>
          </w:tcPr>
          <w:p w:rsidRPr="00EF7670" w:rsidR="00DB1731" w:rsidP="00DB1731" w:rsidRDefault="00DB1731" w14:paraId="68FB1972" w14:textId="77777777">
            <w:pPr>
              <w:jc w:val="center"/>
              <w:rPr>
                <w:rFonts w:ascii="Calibri" w:hAnsi="Calibri" w:cs="Calibri"/>
                <w:b/>
                <w:bCs/>
                <w:sz w:val="22"/>
                <w:szCs w:val="22"/>
              </w:rPr>
            </w:pPr>
            <w:r w:rsidRPr="00EF7670">
              <w:rPr>
                <w:rFonts w:ascii="Calibri" w:hAnsi="Calibri" w:cs="Calibri"/>
                <w:b/>
                <w:bCs/>
                <w:sz w:val="22"/>
                <w:szCs w:val="22"/>
              </w:rPr>
              <w:t>Box 2 (2025)</w:t>
            </w:r>
          </w:p>
        </w:tc>
        <w:tc>
          <w:tcPr>
            <w:tcW w:w="1824" w:type="dxa"/>
            <w:shd w:val="clear" w:color="auto" w:fill="C1E4F5" w:themeFill="accent1" w:themeFillTint="33"/>
            <w:vAlign w:val="center"/>
          </w:tcPr>
          <w:p w:rsidRPr="00EF7670" w:rsidR="00DB1731" w:rsidP="00DB1731" w:rsidRDefault="00DB1731" w14:paraId="040C19E9" w14:textId="77777777">
            <w:pPr>
              <w:jc w:val="center"/>
              <w:rPr>
                <w:rFonts w:ascii="Calibri" w:hAnsi="Calibri" w:cs="Calibri"/>
                <w:b/>
                <w:bCs/>
                <w:sz w:val="22"/>
                <w:szCs w:val="22"/>
              </w:rPr>
            </w:pPr>
            <w:r w:rsidRPr="00EF7670">
              <w:rPr>
                <w:rFonts w:ascii="Calibri" w:hAnsi="Calibri" w:cs="Calibri"/>
                <w:b/>
                <w:bCs/>
                <w:sz w:val="22"/>
                <w:szCs w:val="22"/>
              </w:rPr>
              <w:t>Inkomensgrens</w:t>
            </w:r>
          </w:p>
        </w:tc>
        <w:tc>
          <w:tcPr>
            <w:tcW w:w="2338" w:type="dxa"/>
            <w:shd w:val="clear" w:color="auto" w:fill="C1E4F5" w:themeFill="accent1" w:themeFillTint="33"/>
            <w:vAlign w:val="center"/>
          </w:tcPr>
          <w:p w:rsidRPr="00EF7670" w:rsidR="00DB1731" w:rsidP="00DB1731" w:rsidRDefault="00DB1731" w14:paraId="5F4ABDE9" w14:textId="77777777">
            <w:pPr>
              <w:jc w:val="center"/>
              <w:rPr>
                <w:rFonts w:ascii="Calibri" w:hAnsi="Calibri" w:cs="Calibri"/>
                <w:b/>
                <w:bCs/>
                <w:sz w:val="22"/>
                <w:szCs w:val="22"/>
              </w:rPr>
            </w:pPr>
            <w:r w:rsidRPr="00EF7670">
              <w:rPr>
                <w:rFonts w:ascii="Calibri" w:hAnsi="Calibri" w:cs="Calibri"/>
                <w:b/>
                <w:bCs/>
                <w:sz w:val="22"/>
                <w:szCs w:val="22"/>
              </w:rPr>
              <w:t>Tarieven</w:t>
            </w:r>
          </w:p>
        </w:tc>
      </w:tr>
      <w:tr w:rsidRPr="00EF7670" w:rsidR="00DB1731" w:rsidTr="004E5E08" w14:paraId="48A62F3C" w14:textId="77777777">
        <w:trPr>
          <w:trHeight w:val="567"/>
        </w:trPr>
        <w:tc>
          <w:tcPr>
            <w:tcW w:w="998" w:type="dxa"/>
            <w:shd w:val="clear" w:color="auto" w:fill="auto"/>
            <w:vAlign w:val="center"/>
          </w:tcPr>
          <w:p w:rsidRPr="00EF7670" w:rsidR="00DB1731" w:rsidP="00DB1731" w:rsidRDefault="00DB1731" w14:paraId="1475A379" w14:textId="77777777">
            <w:pPr>
              <w:jc w:val="center"/>
              <w:rPr>
                <w:rFonts w:ascii="Calibri" w:hAnsi="Calibri" w:cs="Calibri"/>
                <w:sz w:val="22"/>
                <w:szCs w:val="22"/>
              </w:rPr>
            </w:pPr>
            <w:r w:rsidRPr="00EF7670">
              <w:rPr>
                <w:rFonts w:ascii="Calibri" w:hAnsi="Calibri" w:cs="Calibri"/>
                <w:sz w:val="22"/>
                <w:szCs w:val="22"/>
              </w:rPr>
              <w:t>Schijf 1</w:t>
            </w:r>
          </w:p>
        </w:tc>
        <w:tc>
          <w:tcPr>
            <w:tcW w:w="1824" w:type="dxa"/>
            <w:shd w:val="clear" w:color="auto" w:fill="auto"/>
            <w:vAlign w:val="center"/>
          </w:tcPr>
          <w:p w:rsidRPr="00EF7670" w:rsidR="00DB1731" w:rsidP="00DB1731" w:rsidRDefault="00DB1731" w14:paraId="000D1068" w14:textId="77777777">
            <w:pPr>
              <w:rPr>
                <w:rFonts w:ascii="Calibri" w:hAnsi="Calibri" w:cs="Calibri"/>
                <w:sz w:val="22"/>
                <w:szCs w:val="22"/>
              </w:rPr>
            </w:pPr>
            <w:r w:rsidRPr="00EF7670">
              <w:rPr>
                <w:rFonts w:ascii="Calibri" w:hAnsi="Calibri" w:cs="Calibri"/>
                <w:sz w:val="22"/>
                <w:szCs w:val="22"/>
              </w:rPr>
              <w:t>T/m €67.804</w:t>
            </w:r>
          </w:p>
        </w:tc>
        <w:tc>
          <w:tcPr>
            <w:tcW w:w="2338" w:type="dxa"/>
            <w:vAlign w:val="center"/>
          </w:tcPr>
          <w:p w:rsidRPr="00EF7670" w:rsidR="00DB1731" w:rsidP="00DB1731" w:rsidRDefault="00DB1731" w14:paraId="103B2925" w14:textId="77777777">
            <w:pPr>
              <w:jc w:val="center"/>
              <w:rPr>
                <w:rFonts w:ascii="Calibri" w:hAnsi="Calibri" w:cs="Calibri"/>
                <w:sz w:val="22"/>
                <w:szCs w:val="22"/>
              </w:rPr>
            </w:pPr>
            <w:r w:rsidRPr="00EF7670">
              <w:rPr>
                <w:rFonts w:ascii="Calibri" w:hAnsi="Calibri" w:cs="Calibri"/>
                <w:sz w:val="22"/>
                <w:szCs w:val="22"/>
              </w:rPr>
              <w:t>24,5%</w:t>
            </w:r>
          </w:p>
        </w:tc>
      </w:tr>
      <w:tr w:rsidRPr="00EF7670" w:rsidR="00DB1731" w:rsidTr="004E5E08" w14:paraId="09ACB5C2" w14:textId="77777777">
        <w:trPr>
          <w:trHeight w:val="567"/>
        </w:trPr>
        <w:tc>
          <w:tcPr>
            <w:tcW w:w="998" w:type="dxa"/>
            <w:shd w:val="clear" w:color="auto" w:fill="auto"/>
            <w:vAlign w:val="center"/>
          </w:tcPr>
          <w:p w:rsidRPr="00EF7670" w:rsidR="00DB1731" w:rsidP="00DB1731" w:rsidRDefault="00DB1731" w14:paraId="2A6EDA2C" w14:textId="77777777">
            <w:pPr>
              <w:jc w:val="center"/>
              <w:rPr>
                <w:rFonts w:ascii="Calibri" w:hAnsi="Calibri" w:cs="Calibri"/>
                <w:sz w:val="22"/>
                <w:szCs w:val="22"/>
              </w:rPr>
            </w:pPr>
            <w:r w:rsidRPr="00EF7670">
              <w:rPr>
                <w:rFonts w:ascii="Calibri" w:hAnsi="Calibri" w:cs="Calibri"/>
                <w:sz w:val="22"/>
                <w:szCs w:val="22"/>
              </w:rPr>
              <w:t>Schijf 2</w:t>
            </w:r>
          </w:p>
        </w:tc>
        <w:tc>
          <w:tcPr>
            <w:tcW w:w="1824" w:type="dxa"/>
            <w:shd w:val="clear" w:color="auto" w:fill="auto"/>
            <w:vAlign w:val="center"/>
          </w:tcPr>
          <w:p w:rsidRPr="00EF7670" w:rsidR="00DB1731" w:rsidP="00DB1731" w:rsidRDefault="00DB1731" w14:paraId="79B49549" w14:textId="77777777">
            <w:pPr>
              <w:rPr>
                <w:rFonts w:ascii="Calibri" w:hAnsi="Calibri" w:cs="Calibri"/>
                <w:sz w:val="22"/>
                <w:szCs w:val="22"/>
              </w:rPr>
            </w:pPr>
            <w:r w:rsidRPr="00EF7670">
              <w:rPr>
                <w:rFonts w:ascii="Calibri" w:hAnsi="Calibri" w:cs="Calibri"/>
                <w:sz w:val="22"/>
                <w:szCs w:val="22"/>
              </w:rPr>
              <w:t>Meer dan €67.804</w:t>
            </w:r>
          </w:p>
        </w:tc>
        <w:tc>
          <w:tcPr>
            <w:tcW w:w="2338" w:type="dxa"/>
            <w:vAlign w:val="center"/>
          </w:tcPr>
          <w:p w:rsidRPr="00EF7670" w:rsidR="00DB1731" w:rsidP="00DB1731" w:rsidRDefault="00DB1731" w14:paraId="1FD0006A" w14:textId="77777777">
            <w:pPr>
              <w:jc w:val="center"/>
              <w:rPr>
                <w:rFonts w:ascii="Calibri" w:hAnsi="Calibri" w:cs="Calibri"/>
                <w:sz w:val="22"/>
                <w:szCs w:val="22"/>
              </w:rPr>
            </w:pPr>
            <w:r w:rsidRPr="00EF7670">
              <w:rPr>
                <w:rFonts w:ascii="Calibri" w:hAnsi="Calibri" w:cs="Calibri"/>
                <w:sz w:val="22"/>
                <w:szCs w:val="22"/>
              </w:rPr>
              <w:t>31%</w:t>
            </w:r>
          </w:p>
        </w:tc>
      </w:tr>
    </w:tbl>
    <w:p w:rsidRPr="00EF7670" w:rsidR="00DB1731" w:rsidP="00DB1731" w:rsidRDefault="00DB1731" w14:paraId="41C57F62" w14:textId="77777777">
      <w:pPr>
        <w:spacing w:after="0"/>
        <w:rPr>
          <w:rFonts w:ascii="Calibri" w:hAnsi="Calibri" w:cs="Calibri"/>
        </w:rPr>
      </w:pPr>
    </w:p>
    <w:p w:rsidRPr="00EF7670" w:rsidR="00DB1731" w:rsidP="00DB1731" w:rsidRDefault="00DB1731" w14:paraId="50B4BD60" w14:textId="77777777">
      <w:pPr>
        <w:spacing w:after="0"/>
        <w:rPr>
          <w:rFonts w:ascii="Calibri" w:hAnsi="Calibri" w:cs="Calibri"/>
        </w:rPr>
      </w:pPr>
      <w:r w:rsidRPr="00EF7670">
        <w:rPr>
          <w:rFonts w:ascii="Calibri" w:hAnsi="Calibri" w:cs="Calibri"/>
        </w:rPr>
        <w:t>Ten tweede zorgt de voorgestelde regeling ervoor dat het moment van heffing wordt uitgesteld tot uiterlijk het moment waarop de aandelen die uit de aandelenopties worden verkregen daadwerkelijk worden verkocht. Daarmee wordt voorkomen dat belasting wordt geheven op een moment waarop nog geen liquide middelen beschikbaar zijn om deze te voldoen.</w:t>
      </w:r>
    </w:p>
    <w:p w:rsidRPr="00EF7670" w:rsidR="00DB1731" w:rsidP="00DB1731" w:rsidRDefault="00DB1731" w14:paraId="40D1DF7F" w14:textId="77777777">
      <w:pPr>
        <w:spacing w:after="0"/>
        <w:rPr>
          <w:rFonts w:ascii="Calibri" w:hAnsi="Calibri" w:cs="Calibri"/>
        </w:rPr>
      </w:pPr>
    </w:p>
    <w:p w:rsidRPr="00EF7670" w:rsidR="00DB1731" w:rsidP="00DB1731" w:rsidRDefault="00DB1731" w14:paraId="4E77D9E3" w14:textId="77777777">
      <w:pPr>
        <w:autoSpaceDN w:val="0"/>
        <w:spacing w:after="0" w:line="240" w:lineRule="exact"/>
        <w:textAlignment w:val="baseline"/>
        <w:rPr>
          <w:rFonts w:ascii="Calibri" w:hAnsi="Calibri" w:cs="Calibri"/>
        </w:rPr>
      </w:pPr>
      <w:bookmarkStart w:name="_Hlk189738269" w:id="1"/>
      <w:r w:rsidRPr="00EF7670">
        <w:rPr>
          <w:rFonts w:ascii="Calibri" w:hAnsi="Calibri" w:cs="Calibri"/>
        </w:rPr>
        <w:t xml:space="preserve">De doelgroep betreft (werknemers van) jonge bedrijven met een schaalbaar en innovatief bedrijfsmodel waarvan de aandelen niet beursgenoteerd zijn. </w:t>
      </w:r>
      <w:bookmarkEnd w:id="1"/>
      <w:r w:rsidRPr="00EF7670">
        <w:rPr>
          <w:rFonts w:ascii="Calibri" w:hAnsi="Calibri" w:cs="Calibri"/>
        </w:rPr>
        <w:t xml:space="preserve">Voor de beleidsmatige consistentie, herkenbaarheid en uitvoerbaarheid wordt aangesloten bij de nieuwe definitie voor startups en scale-ups voor box 3 in het beoogde toekomstige stelsel. Om de uitvoering van de regeling door de Belastingdienst zoveel mogelijk te ontlasten is voorzien dat de Rijksdienst voor Ondernemend Nederland (RVO) verantwoordelijk is voor </w:t>
      </w:r>
      <w:r w:rsidRPr="00EF7670">
        <w:rPr>
          <w:rStyle w:val="Verwijzingopmerking"/>
          <w:rFonts w:ascii="Calibri" w:hAnsi="Calibri" w:cs="Calibri"/>
          <w:sz w:val="22"/>
          <w:szCs w:val="22"/>
        </w:rPr>
        <w:t>d</w:t>
      </w:r>
      <w:r w:rsidRPr="00EF7670">
        <w:rPr>
          <w:rFonts w:ascii="Calibri" w:hAnsi="Calibri" w:cs="Calibri"/>
        </w:rPr>
        <w:t>e vaststelling of een onderneming voldoet aan de definitie van een startup of scale-up en de beschikkingen hiervoor afgeeft.</w:t>
      </w:r>
    </w:p>
    <w:p w:rsidRPr="00EF7670" w:rsidR="00DB1731" w:rsidP="00DB1731" w:rsidRDefault="00DB1731" w14:paraId="66EEAFA1" w14:textId="77777777">
      <w:pPr>
        <w:autoSpaceDN w:val="0"/>
        <w:spacing w:after="0" w:line="240" w:lineRule="exact"/>
        <w:textAlignment w:val="baseline"/>
        <w:rPr>
          <w:rFonts w:ascii="Calibri" w:hAnsi="Calibri" w:cs="Calibri"/>
        </w:rPr>
      </w:pPr>
    </w:p>
    <w:p w:rsidRPr="00EF7670" w:rsidR="00DB1731" w:rsidP="00DB1731" w:rsidRDefault="00DB1731" w14:paraId="6DD4AF58" w14:textId="77777777">
      <w:pPr>
        <w:autoSpaceDN w:val="0"/>
        <w:spacing w:after="0" w:line="240" w:lineRule="exact"/>
        <w:textAlignment w:val="baseline"/>
        <w:rPr>
          <w:rFonts w:ascii="Calibri" w:hAnsi="Calibri" w:cs="Calibri"/>
        </w:rPr>
      </w:pPr>
      <w:r w:rsidRPr="00EF7670">
        <w:rPr>
          <w:rFonts w:ascii="Calibri" w:hAnsi="Calibri" w:cs="Calibri"/>
        </w:rPr>
        <w:t>In het belang van de uitvoerbaarheid zal worden geborgd dat de regeling controleerbaar en handhaafbaar is. Dit betekent onder meer dat geregeld wordt dat het aandelenbezit niet uit beeld kan raken en dat de heffing via de Nederlandse loonheffingen verzekerd blijft. Ook zal gekeken worden naar staatssteunaspecten van de maatregel.</w:t>
      </w:r>
    </w:p>
    <w:p w:rsidRPr="00EF7670" w:rsidR="00DB1731" w:rsidP="00DB1731" w:rsidRDefault="00DB1731" w14:paraId="1357A67A" w14:textId="77777777">
      <w:pPr>
        <w:autoSpaceDN w:val="0"/>
        <w:spacing w:after="0" w:line="240" w:lineRule="exact"/>
        <w:textAlignment w:val="baseline"/>
        <w:rPr>
          <w:rFonts w:ascii="Calibri" w:hAnsi="Calibri" w:cs="Calibri"/>
        </w:rPr>
      </w:pPr>
    </w:p>
    <w:p w:rsidRPr="00EF7670" w:rsidR="00DB1731" w:rsidP="00DB1731" w:rsidRDefault="00DB1731" w14:paraId="249A5231" w14:textId="77777777">
      <w:pPr>
        <w:autoSpaceDN w:val="0"/>
        <w:spacing w:after="0" w:line="240" w:lineRule="exact"/>
        <w:textAlignment w:val="baseline"/>
        <w:rPr>
          <w:rFonts w:ascii="Calibri" w:hAnsi="Calibri" w:cs="Calibri"/>
        </w:rPr>
      </w:pPr>
      <w:r w:rsidRPr="00EF7670">
        <w:rPr>
          <w:rFonts w:ascii="Calibri" w:hAnsi="Calibri" w:cs="Calibri"/>
        </w:rPr>
        <w:t xml:space="preserve">Bij de ontwikkeling van de voorgestelde regeling is het toetsingskader voor nieuwe fiscale regelingen doorlopen. Daarmee is aandacht besteed aan aspecten zoals doeltreffendheid, doelmatigheid en een zorgvuldige borging van de evaluatie. In lijn met het toetsingskader fiscale regelingen is gekozen voor een horizonbepaling van zeven jaar. Met een termijn van zeven jaar heeft de maatregel voldoende tijd om </w:t>
      </w:r>
      <w:r w:rsidRPr="00EF7670">
        <w:rPr>
          <w:rFonts w:ascii="Calibri" w:hAnsi="Calibri" w:cs="Calibri"/>
        </w:rPr>
        <w:lastRenderedPageBreak/>
        <w:t>meetbare effecten te sorteren en de regeling op basis daarvan te evalueren. Op basis van de evaluatie kan een volgend kabinet besluiten over eventuele aanpassingen aan en/of voortzetting van de regeling.</w:t>
      </w:r>
    </w:p>
    <w:p w:rsidRPr="00EF7670" w:rsidR="00DB1731" w:rsidP="00DB1731" w:rsidRDefault="00DB1731" w14:paraId="4F4FDA4C" w14:textId="77777777">
      <w:pPr>
        <w:autoSpaceDN w:val="0"/>
        <w:spacing w:after="0" w:line="240" w:lineRule="exact"/>
        <w:textAlignment w:val="baseline"/>
        <w:rPr>
          <w:rFonts w:ascii="Calibri" w:hAnsi="Calibri" w:cs="Calibri"/>
        </w:rPr>
      </w:pPr>
      <w:r w:rsidRPr="00EF7670">
        <w:rPr>
          <w:rFonts w:ascii="Calibri" w:hAnsi="Calibri" w:cs="Calibri"/>
        </w:rPr>
        <w:t>De regeling is gericht op groeideling bij startups en scale-ups, en niet op winstdeling bij het bredere bedrijfsleven, vanwege het hogere risico en de onzekerheid over de waardeontwikkeling bij deze groep en omdat opbrengsten vaak opnieuw worden geïnvesteerd in nieuwe bedrijven. Dit is in lijn met de Kamerbrief van 23 september 2024 waarin ook de positie van startups en scale-ups is herhaald.</w:t>
      </w:r>
      <w:r w:rsidRPr="00EF7670">
        <w:rPr>
          <w:rFonts w:ascii="Calibri" w:hAnsi="Calibri" w:cs="Calibri"/>
          <w:vertAlign w:val="superscript"/>
        </w:rPr>
        <w:footnoteReference w:id="11"/>
      </w:r>
    </w:p>
    <w:p w:rsidRPr="00EF7670" w:rsidR="00DB1731" w:rsidP="00DB1731" w:rsidRDefault="00DB1731" w14:paraId="45766DCD" w14:textId="77777777">
      <w:pPr>
        <w:autoSpaceDN w:val="0"/>
        <w:spacing w:after="0" w:line="240" w:lineRule="exact"/>
        <w:textAlignment w:val="baseline"/>
        <w:rPr>
          <w:rFonts w:ascii="Calibri" w:hAnsi="Calibri" w:cs="Calibri"/>
        </w:rPr>
      </w:pPr>
    </w:p>
    <w:p w:rsidRPr="00EF7670" w:rsidR="00DB1731" w:rsidP="00DB1731" w:rsidRDefault="00DB1731" w14:paraId="6B5F234B" w14:textId="77777777">
      <w:pPr>
        <w:autoSpaceDN w:val="0"/>
        <w:spacing w:after="0" w:line="240" w:lineRule="exact"/>
        <w:textAlignment w:val="baseline"/>
        <w:rPr>
          <w:rFonts w:ascii="Calibri" w:hAnsi="Calibri" w:cs="Calibri"/>
          <w:i/>
          <w:iCs/>
        </w:rPr>
      </w:pPr>
      <w:r w:rsidRPr="00EF7670">
        <w:rPr>
          <w:rFonts w:ascii="Calibri" w:hAnsi="Calibri" w:cs="Calibri"/>
          <w:i/>
          <w:iCs/>
        </w:rPr>
        <w:t>Budgettaire gevolgen en dekking</w:t>
      </w:r>
    </w:p>
    <w:p w:rsidRPr="00EF7670" w:rsidR="00DB1731" w:rsidP="00DB1731" w:rsidRDefault="00DB1731" w14:paraId="3BD9DB93" w14:textId="77777777">
      <w:pPr>
        <w:autoSpaceDN w:val="0"/>
        <w:spacing w:after="0" w:line="240" w:lineRule="exact"/>
        <w:textAlignment w:val="baseline"/>
        <w:rPr>
          <w:rFonts w:ascii="Calibri" w:hAnsi="Calibri" w:cs="Calibri"/>
        </w:rPr>
      </w:pPr>
      <w:r w:rsidRPr="00EF7670">
        <w:rPr>
          <w:rFonts w:ascii="Calibri" w:hAnsi="Calibri" w:cs="Calibri"/>
        </w:rPr>
        <w:t>De voorgestelde fiscale maatregel leidt tot een structurele budgettaire derving van € 25 miljoen per jaar. Deze derving wordt conform de Voorjaarsbesluitvorming gedekt door het stapsgewijs afschaffen van de stakingsaftrek en de meewerkaftrek. Er is voor deze regelingen gekozen, omdat zij beide negatief geëvalueerd zijn.</w:t>
      </w:r>
      <w:r w:rsidRPr="00EF7670">
        <w:rPr>
          <w:rStyle w:val="Voetnootmarkering"/>
          <w:rFonts w:ascii="Calibri" w:hAnsi="Calibri" w:cs="Calibri"/>
        </w:rPr>
        <w:footnoteReference w:id="12"/>
      </w:r>
      <w:r w:rsidRPr="00EF7670">
        <w:rPr>
          <w:rFonts w:ascii="Calibri" w:hAnsi="Calibri" w:cs="Calibri"/>
        </w:rPr>
        <w:t xml:space="preserve"> Zo komt uit de evaluatie naar voren dat beide regelingen niet doeltreffend zijn, beperkte voordelen opleveren en relatief hoge uitvoeringslasten kennen, en daarmee ondoelmatig zijn. De stakings- en meewerkaftrek worden per 2027 voor 75% versoberd en per 2030 afgeschaft.</w:t>
      </w:r>
    </w:p>
    <w:p w:rsidRPr="00EF7670" w:rsidR="00DB1731" w:rsidP="00DB1731" w:rsidRDefault="00DB1731" w14:paraId="2FC95C76" w14:textId="77777777">
      <w:pPr>
        <w:autoSpaceDN w:val="0"/>
        <w:spacing w:after="0" w:line="240" w:lineRule="exact"/>
        <w:textAlignment w:val="baseline"/>
        <w:rPr>
          <w:rFonts w:ascii="Calibri" w:hAnsi="Calibri" w:cs="Calibri"/>
        </w:rPr>
      </w:pPr>
    </w:p>
    <w:p w:rsidRPr="00EF7670" w:rsidR="00DB1731" w:rsidP="00DB1731" w:rsidRDefault="00DB1731" w14:paraId="5AECEE56" w14:textId="77777777">
      <w:pPr>
        <w:autoSpaceDN w:val="0"/>
        <w:spacing w:after="0" w:line="240" w:lineRule="exact"/>
        <w:textAlignment w:val="baseline"/>
        <w:rPr>
          <w:rFonts w:ascii="Calibri" w:hAnsi="Calibri" w:cs="Calibri"/>
        </w:rPr>
      </w:pPr>
    </w:p>
    <w:tbl>
      <w:tblPr>
        <w:tblW w:w="7663" w:type="dxa"/>
        <w:tblCellMar>
          <w:left w:w="0" w:type="dxa"/>
          <w:right w:w="0" w:type="dxa"/>
        </w:tblCellMar>
        <w:tblLook w:val="04A0" w:firstRow="1" w:lastRow="0" w:firstColumn="1" w:lastColumn="0" w:noHBand="0" w:noVBand="1"/>
      </w:tblPr>
      <w:tblGrid>
        <w:gridCol w:w="3109"/>
        <w:gridCol w:w="759"/>
        <w:gridCol w:w="759"/>
        <w:gridCol w:w="759"/>
        <w:gridCol w:w="759"/>
        <w:gridCol w:w="759"/>
        <w:gridCol w:w="759"/>
      </w:tblGrid>
      <w:tr w:rsidRPr="00EF7670" w:rsidR="00DB1731" w:rsidTr="004E5E08" w14:paraId="729E1570" w14:textId="77777777">
        <w:trPr>
          <w:trHeight w:val="246"/>
        </w:trPr>
        <w:tc>
          <w:tcPr>
            <w:tcW w:w="3109" w:type="dxa"/>
            <w:tcBorders>
              <w:top w:val="single" w:color="5B9BD5" w:sz="8" w:space="0"/>
              <w:left w:val="single" w:color="5B9BD5" w:sz="8" w:space="0"/>
              <w:bottom w:val="nil"/>
              <w:right w:val="nil"/>
            </w:tcBorders>
            <w:tcMar>
              <w:top w:w="0" w:type="dxa"/>
              <w:left w:w="108" w:type="dxa"/>
              <w:bottom w:w="0" w:type="dxa"/>
              <w:right w:w="108" w:type="dxa"/>
            </w:tcMar>
            <w:hideMark/>
          </w:tcPr>
          <w:p w:rsidRPr="00EF7670" w:rsidR="00DB1731" w:rsidP="00DB1731" w:rsidRDefault="00DB1731" w14:paraId="4E80406B" w14:textId="77777777">
            <w:pPr>
              <w:autoSpaceDN w:val="0"/>
              <w:spacing w:after="0" w:line="240" w:lineRule="exact"/>
              <w:textAlignment w:val="baseline"/>
              <w:rPr>
                <w:rFonts w:ascii="Calibri" w:hAnsi="Calibri" w:cs="Calibri"/>
                <w:b/>
                <w:bCs/>
              </w:rPr>
            </w:pPr>
            <w:r w:rsidRPr="00EF7670">
              <w:rPr>
                <w:rFonts w:ascii="Calibri" w:hAnsi="Calibri" w:cs="Calibri"/>
                <w:b/>
                <w:bCs/>
              </w:rPr>
              <w:t xml:space="preserve">Maatregel </w:t>
            </w:r>
            <w:r w:rsidRPr="00EF7670">
              <w:rPr>
                <w:rFonts w:ascii="Calibri" w:hAnsi="Calibri" w:cs="Calibri"/>
                <w:b/>
                <w:bCs/>
              </w:rPr>
              <w:br/>
              <w:t>(+ = saldoverbeterend)</w:t>
            </w:r>
          </w:p>
        </w:tc>
        <w:tc>
          <w:tcPr>
            <w:tcW w:w="759" w:type="dxa"/>
            <w:tcBorders>
              <w:top w:val="single" w:color="5B9BD5" w:sz="8" w:space="0"/>
              <w:left w:val="nil"/>
              <w:bottom w:val="nil"/>
              <w:right w:val="nil"/>
            </w:tcBorders>
            <w:tcMar>
              <w:top w:w="0" w:type="dxa"/>
              <w:left w:w="108" w:type="dxa"/>
              <w:bottom w:w="0" w:type="dxa"/>
              <w:right w:w="108" w:type="dxa"/>
            </w:tcMar>
            <w:hideMark/>
          </w:tcPr>
          <w:p w:rsidRPr="00EF7670" w:rsidR="00DB1731" w:rsidP="00DB1731" w:rsidRDefault="00DB1731" w14:paraId="29342748" w14:textId="77777777">
            <w:pPr>
              <w:autoSpaceDN w:val="0"/>
              <w:spacing w:after="0" w:line="240" w:lineRule="exact"/>
              <w:textAlignment w:val="baseline"/>
              <w:rPr>
                <w:rFonts w:ascii="Calibri" w:hAnsi="Calibri" w:cs="Calibri"/>
                <w:b/>
                <w:bCs/>
              </w:rPr>
            </w:pPr>
            <w:r w:rsidRPr="00EF7670">
              <w:rPr>
                <w:rFonts w:ascii="Calibri" w:hAnsi="Calibri" w:cs="Calibri"/>
                <w:b/>
                <w:bCs/>
              </w:rPr>
              <w:t>2026</w:t>
            </w:r>
          </w:p>
        </w:tc>
        <w:tc>
          <w:tcPr>
            <w:tcW w:w="759" w:type="dxa"/>
            <w:tcBorders>
              <w:top w:val="single" w:color="5B9BD5" w:sz="8" w:space="0"/>
              <w:left w:val="nil"/>
              <w:bottom w:val="nil"/>
              <w:right w:val="nil"/>
            </w:tcBorders>
            <w:tcMar>
              <w:top w:w="0" w:type="dxa"/>
              <w:left w:w="108" w:type="dxa"/>
              <w:bottom w:w="0" w:type="dxa"/>
              <w:right w:w="108" w:type="dxa"/>
            </w:tcMar>
            <w:hideMark/>
          </w:tcPr>
          <w:p w:rsidRPr="00EF7670" w:rsidR="00DB1731" w:rsidP="00DB1731" w:rsidRDefault="00DB1731" w14:paraId="50D3C9E6" w14:textId="77777777">
            <w:pPr>
              <w:autoSpaceDN w:val="0"/>
              <w:spacing w:after="0" w:line="240" w:lineRule="exact"/>
              <w:textAlignment w:val="baseline"/>
              <w:rPr>
                <w:rFonts w:ascii="Calibri" w:hAnsi="Calibri" w:cs="Calibri"/>
                <w:b/>
                <w:bCs/>
              </w:rPr>
            </w:pPr>
            <w:r w:rsidRPr="00EF7670">
              <w:rPr>
                <w:rFonts w:ascii="Calibri" w:hAnsi="Calibri" w:cs="Calibri"/>
                <w:b/>
                <w:bCs/>
              </w:rPr>
              <w:t>2027</w:t>
            </w:r>
          </w:p>
        </w:tc>
        <w:tc>
          <w:tcPr>
            <w:tcW w:w="759" w:type="dxa"/>
            <w:tcBorders>
              <w:top w:val="single" w:color="5B9BD5" w:sz="8" w:space="0"/>
              <w:left w:val="nil"/>
              <w:bottom w:val="nil"/>
              <w:right w:val="nil"/>
            </w:tcBorders>
            <w:tcMar>
              <w:top w:w="0" w:type="dxa"/>
              <w:left w:w="108" w:type="dxa"/>
              <w:bottom w:w="0" w:type="dxa"/>
              <w:right w:w="108" w:type="dxa"/>
            </w:tcMar>
            <w:hideMark/>
          </w:tcPr>
          <w:p w:rsidRPr="00EF7670" w:rsidR="00DB1731" w:rsidP="00DB1731" w:rsidRDefault="00DB1731" w14:paraId="67F5671A" w14:textId="77777777">
            <w:pPr>
              <w:autoSpaceDN w:val="0"/>
              <w:spacing w:after="0" w:line="240" w:lineRule="exact"/>
              <w:textAlignment w:val="baseline"/>
              <w:rPr>
                <w:rFonts w:ascii="Calibri" w:hAnsi="Calibri" w:cs="Calibri"/>
                <w:b/>
                <w:bCs/>
              </w:rPr>
            </w:pPr>
            <w:r w:rsidRPr="00EF7670">
              <w:rPr>
                <w:rFonts w:ascii="Calibri" w:hAnsi="Calibri" w:cs="Calibri"/>
                <w:b/>
                <w:bCs/>
              </w:rPr>
              <w:t>2028</w:t>
            </w:r>
          </w:p>
        </w:tc>
        <w:tc>
          <w:tcPr>
            <w:tcW w:w="759" w:type="dxa"/>
            <w:tcBorders>
              <w:top w:val="single" w:color="5B9BD5" w:sz="8" w:space="0"/>
              <w:left w:val="nil"/>
              <w:bottom w:val="nil"/>
              <w:right w:val="nil"/>
            </w:tcBorders>
            <w:tcMar>
              <w:top w:w="0" w:type="dxa"/>
              <w:left w:w="108" w:type="dxa"/>
              <w:bottom w:w="0" w:type="dxa"/>
              <w:right w:w="108" w:type="dxa"/>
            </w:tcMar>
            <w:hideMark/>
          </w:tcPr>
          <w:p w:rsidRPr="00EF7670" w:rsidR="00DB1731" w:rsidP="00DB1731" w:rsidRDefault="00DB1731" w14:paraId="4C813586" w14:textId="77777777">
            <w:pPr>
              <w:autoSpaceDN w:val="0"/>
              <w:spacing w:after="0" w:line="240" w:lineRule="exact"/>
              <w:textAlignment w:val="baseline"/>
              <w:rPr>
                <w:rFonts w:ascii="Calibri" w:hAnsi="Calibri" w:cs="Calibri"/>
                <w:b/>
                <w:bCs/>
              </w:rPr>
            </w:pPr>
            <w:r w:rsidRPr="00EF7670">
              <w:rPr>
                <w:rFonts w:ascii="Calibri" w:hAnsi="Calibri" w:cs="Calibri"/>
                <w:b/>
                <w:bCs/>
              </w:rPr>
              <w:t>2029</w:t>
            </w:r>
          </w:p>
        </w:tc>
        <w:tc>
          <w:tcPr>
            <w:tcW w:w="759" w:type="dxa"/>
            <w:tcBorders>
              <w:top w:val="single" w:color="5B9BD5" w:sz="8" w:space="0"/>
              <w:left w:val="nil"/>
              <w:bottom w:val="nil"/>
              <w:right w:val="nil"/>
            </w:tcBorders>
            <w:tcMar>
              <w:top w:w="0" w:type="dxa"/>
              <w:left w:w="108" w:type="dxa"/>
              <w:bottom w:w="0" w:type="dxa"/>
              <w:right w:w="108" w:type="dxa"/>
            </w:tcMar>
            <w:hideMark/>
          </w:tcPr>
          <w:p w:rsidRPr="00EF7670" w:rsidR="00DB1731" w:rsidP="00DB1731" w:rsidRDefault="00DB1731" w14:paraId="13EF30CC" w14:textId="77777777">
            <w:pPr>
              <w:autoSpaceDN w:val="0"/>
              <w:spacing w:after="0" w:line="240" w:lineRule="exact"/>
              <w:textAlignment w:val="baseline"/>
              <w:rPr>
                <w:rFonts w:ascii="Calibri" w:hAnsi="Calibri" w:cs="Calibri"/>
                <w:b/>
                <w:bCs/>
              </w:rPr>
            </w:pPr>
            <w:r w:rsidRPr="00EF7670">
              <w:rPr>
                <w:rFonts w:ascii="Calibri" w:hAnsi="Calibri" w:cs="Calibri"/>
                <w:b/>
                <w:bCs/>
              </w:rPr>
              <w:t>Struc</w:t>
            </w:r>
          </w:p>
        </w:tc>
        <w:tc>
          <w:tcPr>
            <w:tcW w:w="759" w:type="dxa"/>
            <w:tcBorders>
              <w:top w:val="single" w:color="5B9BD5" w:sz="8" w:space="0"/>
              <w:left w:val="nil"/>
              <w:bottom w:val="nil"/>
              <w:right w:val="single" w:color="5B9BD5" w:sz="8" w:space="0"/>
            </w:tcBorders>
            <w:tcMar>
              <w:top w:w="0" w:type="dxa"/>
              <w:left w:w="108" w:type="dxa"/>
              <w:bottom w:w="0" w:type="dxa"/>
              <w:right w:w="108" w:type="dxa"/>
            </w:tcMar>
            <w:hideMark/>
          </w:tcPr>
          <w:p w:rsidRPr="00EF7670" w:rsidR="00DB1731" w:rsidP="00DB1731" w:rsidRDefault="00DB1731" w14:paraId="5A2FB0CA" w14:textId="77777777">
            <w:pPr>
              <w:autoSpaceDN w:val="0"/>
              <w:spacing w:after="0" w:line="240" w:lineRule="exact"/>
              <w:textAlignment w:val="baseline"/>
              <w:rPr>
                <w:rFonts w:ascii="Calibri" w:hAnsi="Calibri" w:cs="Calibri"/>
                <w:b/>
                <w:bCs/>
              </w:rPr>
            </w:pPr>
            <w:r w:rsidRPr="00EF7670">
              <w:rPr>
                <w:rFonts w:ascii="Calibri" w:hAnsi="Calibri" w:cs="Calibri"/>
                <w:b/>
                <w:bCs/>
              </w:rPr>
              <w:t>Struc jaar</w:t>
            </w:r>
          </w:p>
        </w:tc>
      </w:tr>
      <w:tr w:rsidRPr="00EF7670" w:rsidR="00DB1731" w:rsidTr="004E5E08" w14:paraId="734EB0A5" w14:textId="77777777">
        <w:trPr>
          <w:trHeight w:val="279"/>
        </w:trPr>
        <w:tc>
          <w:tcPr>
            <w:tcW w:w="3109" w:type="dxa"/>
            <w:tcMar>
              <w:top w:w="0" w:type="dxa"/>
              <w:left w:w="108" w:type="dxa"/>
              <w:bottom w:w="0" w:type="dxa"/>
              <w:right w:w="108" w:type="dxa"/>
            </w:tcMar>
            <w:vAlign w:val="center"/>
            <w:hideMark/>
          </w:tcPr>
          <w:p w:rsidRPr="00EF7670" w:rsidR="00DB1731" w:rsidP="00DB1731" w:rsidRDefault="00DB1731" w14:paraId="35A964A5" w14:textId="77777777">
            <w:pPr>
              <w:autoSpaceDN w:val="0"/>
              <w:spacing w:after="0" w:line="240" w:lineRule="exact"/>
              <w:textAlignment w:val="baseline"/>
              <w:rPr>
                <w:rFonts w:ascii="Calibri" w:hAnsi="Calibri" w:cs="Calibri"/>
              </w:rPr>
            </w:pPr>
            <w:r w:rsidRPr="00EF7670">
              <w:rPr>
                <w:rFonts w:ascii="Calibri" w:hAnsi="Calibri" w:cs="Calibri"/>
              </w:rPr>
              <w:t>Fiscale regeling aandelenopties</w:t>
            </w:r>
          </w:p>
        </w:tc>
        <w:tc>
          <w:tcPr>
            <w:tcW w:w="759" w:type="dxa"/>
            <w:tcMar>
              <w:top w:w="0" w:type="dxa"/>
              <w:left w:w="108" w:type="dxa"/>
              <w:bottom w:w="0" w:type="dxa"/>
              <w:right w:w="108" w:type="dxa"/>
            </w:tcMar>
            <w:vAlign w:val="center"/>
            <w:hideMark/>
          </w:tcPr>
          <w:p w:rsidRPr="00EF7670" w:rsidR="00DB1731" w:rsidP="00DB1731" w:rsidRDefault="00DB1731" w14:paraId="3E86EAA1" w14:textId="77777777">
            <w:pPr>
              <w:autoSpaceDN w:val="0"/>
              <w:spacing w:after="0" w:line="240" w:lineRule="exact"/>
              <w:textAlignment w:val="baseline"/>
              <w:rPr>
                <w:rFonts w:ascii="Calibri" w:hAnsi="Calibri" w:cs="Calibri"/>
              </w:rPr>
            </w:pPr>
            <w:r w:rsidRPr="00EF7670">
              <w:rPr>
                <w:rFonts w:ascii="Calibri" w:hAnsi="Calibri" w:cs="Calibri"/>
              </w:rPr>
              <w:t>0</w:t>
            </w:r>
          </w:p>
        </w:tc>
        <w:tc>
          <w:tcPr>
            <w:tcW w:w="759" w:type="dxa"/>
            <w:tcMar>
              <w:top w:w="0" w:type="dxa"/>
              <w:left w:w="108" w:type="dxa"/>
              <w:bottom w:w="0" w:type="dxa"/>
              <w:right w:w="108" w:type="dxa"/>
            </w:tcMar>
            <w:vAlign w:val="center"/>
            <w:hideMark/>
          </w:tcPr>
          <w:p w:rsidRPr="00EF7670" w:rsidR="00DB1731" w:rsidP="00DB1731" w:rsidRDefault="00DB1731" w14:paraId="58E3F06A" w14:textId="77777777">
            <w:pPr>
              <w:autoSpaceDN w:val="0"/>
              <w:spacing w:after="0" w:line="240" w:lineRule="exact"/>
              <w:textAlignment w:val="baseline"/>
              <w:rPr>
                <w:rFonts w:ascii="Calibri" w:hAnsi="Calibri" w:cs="Calibri"/>
              </w:rPr>
            </w:pPr>
            <w:r w:rsidRPr="00EF7670">
              <w:rPr>
                <w:rFonts w:ascii="Calibri" w:hAnsi="Calibri" w:cs="Calibri"/>
              </w:rPr>
              <w:t>-20</w:t>
            </w:r>
          </w:p>
        </w:tc>
        <w:tc>
          <w:tcPr>
            <w:tcW w:w="759" w:type="dxa"/>
            <w:tcMar>
              <w:top w:w="0" w:type="dxa"/>
              <w:left w:w="108" w:type="dxa"/>
              <w:bottom w:w="0" w:type="dxa"/>
              <w:right w:w="108" w:type="dxa"/>
            </w:tcMar>
            <w:vAlign w:val="center"/>
            <w:hideMark/>
          </w:tcPr>
          <w:p w:rsidRPr="00EF7670" w:rsidR="00DB1731" w:rsidP="00DB1731" w:rsidRDefault="00DB1731" w14:paraId="3B8AE8C0" w14:textId="77777777">
            <w:pPr>
              <w:autoSpaceDN w:val="0"/>
              <w:spacing w:after="0" w:line="240" w:lineRule="exact"/>
              <w:textAlignment w:val="baseline"/>
              <w:rPr>
                <w:rFonts w:ascii="Calibri" w:hAnsi="Calibri" w:cs="Calibri"/>
              </w:rPr>
            </w:pPr>
            <w:r w:rsidRPr="00EF7670">
              <w:rPr>
                <w:rFonts w:ascii="Calibri" w:hAnsi="Calibri" w:cs="Calibri"/>
              </w:rPr>
              <w:t>-21</w:t>
            </w:r>
          </w:p>
        </w:tc>
        <w:tc>
          <w:tcPr>
            <w:tcW w:w="759" w:type="dxa"/>
            <w:tcMar>
              <w:top w:w="0" w:type="dxa"/>
              <w:left w:w="108" w:type="dxa"/>
              <w:bottom w:w="0" w:type="dxa"/>
              <w:right w:w="108" w:type="dxa"/>
            </w:tcMar>
            <w:vAlign w:val="center"/>
            <w:hideMark/>
          </w:tcPr>
          <w:p w:rsidRPr="00EF7670" w:rsidR="00DB1731" w:rsidP="00DB1731" w:rsidRDefault="00DB1731" w14:paraId="5B0FEA36" w14:textId="77777777">
            <w:pPr>
              <w:autoSpaceDN w:val="0"/>
              <w:spacing w:after="0" w:line="240" w:lineRule="exact"/>
              <w:textAlignment w:val="baseline"/>
              <w:rPr>
                <w:rFonts w:ascii="Calibri" w:hAnsi="Calibri" w:cs="Calibri"/>
              </w:rPr>
            </w:pPr>
            <w:r w:rsidRPr="00EF7670">
              <w:rPr>
                <w:rFonts w:ascii="Calibri" w:hAnsi="Calibri" w:cs="Calibri"/>
              </w:rPr>
              <w:t>-21</w:t>
            </w:r>
          </w:p>
        </w:tc>
        <w:tc>
          <w:tcPr>
            <w:tcW w:w="759" w:type="dxa"/>
            <w:tcMar>
              <w:top w:w="0" w:type="dxa"/>
              <w:left w:w="108" w:type="dxa"/>
              <w:bottom w:w="0" w:type="dxa"/>
              <w:right w:w="108" w:type="dxa"/>
            </w:tcMar>
            <w:vAlign w:val="center"/>
            <w:hideMark/>
          </w:tcPr>
          <w:p w:rsidRPr="00EF7670" w:rsidR="00DB1731" w:rsidP="00DB1731" w:rsidRDefault="00DB1731" w14:paraId="0C98F901" w14:textId="77777777">
            <w:pPr>
              <w:autoSpaceDN w:val="0"/>
              <w:spacing w:after="0" w:line="240" w:lineRule="exact"/>
              <w:textAlignment w:val="baseline"/>
              <w:rPr>
                <w:rFonts w:ascii="Calibri" w:hAnsi="Calibri" w:cs="Calibri"/>
              </w:rPr>
            </w:pPr>
            <w:r w:rsidRPr="00EF7670">
              <w:rPr>
                <w:rFonts w:ascii="Calibri" w:hAnsi="Calibri" w:cs="Calibri"/>
              </w:rPr>
              <w:t>-25</w:t>
            </w:r>
          </w:p>
        </w:tc>
        <w:tc>
          <w:tcPr>
            <w:tcW w:w="759" w:type="dxa"/>
            <w:tcMar>
              <w:top w:w="0" w:type="dxa"/>
              <w:left w:w="108" w:type="dxa"/>
              <w:bottom w:w="0" w:type="dxa"/>
              <w:right w:w="108" w:type="dxa"/>
            </w:tcMar>
            <w:vAlign w:val="center"/>
            <w:hideMark/>
          </w:tcPr>
          <w:p w:rsidRPr="00EF7670" w:rsidR="00DB1731" w:rsidP="00DB1731" w:rsidRDefault="00DB1731" w14:paraId="6395579B" w14:textId="77777777">
            <w:pPr>
              <w:autoSpaceDN w:val="0"/>
              <w:spacing w:after="0" w:line="240" w:lineRule="exact"/>
              <w:textAlignment w:val="baseline"/>
              <w:rPr>
                <w:rFonts w:ascii="Calibri" w:hAnsi="Calibri" w:cs="Calibri"/>
              </w:rPr>
            </w:pPr>
            <w:r w:rsidRPr="00EF7670">
              <w:rPr>
                <w:rFonts w:ascii="Calibri" w:hAnsi="Calibri" w:cs="Calibri"/>
              </w:rPr>
              <w:t>2046</w:t>
            </w:r>
          </w:p>
        </w:tc>
      </w:tr>
      <w:tr w:rsidRPr="00EF7670" w:rsidR="00DB1731" w:rsidTr="004E5E08" w14:paraId="427E6E87" w14:textId="77777777">
        <w:trPr>
          <w:trHeight w:val="279"/>
        </w:trPr>
        <w:tc>
          <w:tcPr>
            <w:tcW w:w="3109" w:type="dxa"/>
            <w:tcMar>
              <w:top w:w="0" w:type="dxa"/>
              <w:left w:w="108" w:type="dxa"/>
              <w:bottom w:w="0" w:type="dxa"/>
              <w:right w:w="108" w:type="dxa"/>
            </w:tcMar>
            <w:vAlign w:val="center"/>
          </w:tcPr>
          <w:p w:rsidRPr="00EF7670" w:rsidR="00DB1731" w:rsidP="00DB1731" w:rsidRDefault="00DB1731" w14:paraId="2CDB93E4" w14:textId="77777777">
            <w:pPr>
              <w:autoSpaceDN w:val="0"/>
              <w:spacing w:after="0" w:line="240" w:lineRule="exact"/>
              <w:textAlignment w:val="baseline"/>
              <w:rPr>
                <w:rFonts w:ascii="Calibri" w:hAnsi="Calibri" w:cs="Calibri"/>
              </w:rPr>
            </w:pPr>
            <w:r w:rsidRPr="00EF7670">
              <w:rPr>
                <w:rFonts w:ascii="Calibri" w:hAnsi="Calibri" w:cs="Calibri"/>
              </w:rPr>
              <w:t>Stakingsaftrek</w:t>
            </w:r>
          </w:p>
        </w:tc>
        <w:tc>
          <w:tcPr>
            <w:tcW w:w="759" w:type="dxa"/>
            <w:tcMar>
              <w:top w:w="0" w:type="dxa"/>
              <w:left w:w="108" w:type="dxa"/>
              <w:bottom w:w="0" w:type="dxa"/>
              <w:right w:w="108" w:type="dxa"/>
            </w:tcMar>
            <w:vAlign w:val="center"/>
          </w:tcPr>
          <w:p w:rsidRPr="00EF7670" w:rsidR="00DB1731" w:rsidP="00DB1731" w:rsidRDefault="00DB1731" w14:paraId="7EC565AB" w14:textId="77777777">
            <w:pPr>
              <w:autoSpaceDN w:val="0"/>
              <w:spacing w:after="0" w:line="240" w:lineRule="exact"/>
              <w:textAlignment w:val="baseline"/>
              <w:rPr>
                <w:rFonts w:ascii="Calibri" w:hAnsi="Calibri" w:cs="Calibri"/>
              </w:rPr>
            </w:pPr>
            <w:r w:rsidRPr="00EF7670">
              <w:rPr>
                <w:rFonts w:ascii="Calibri" w:hAnsi="Calibri" w:cs="Calibri"/>
              </w:rPr>
              <w:t>0</w:t>
            </w:r>
          </w:p>
        </w:tc>
        <w:tc>
          <w:tcPr>
            <w:tcW w:w="759" w:type="dxa"/>
            <w:tcMar>
              <w:top w:w="0" w:type="dxa"/>
              <w:left w:w="108" w:type="dxa"/>
              <w:bottom w:w="0" w:type="dxa"/>
              <w:right w:w="108" w:type="dxa"/>
            </w:tcMar>
            <w:vAlign w:val="center"/>
          </w:tcPr>
          <w:p w:rsidRPr="00EF7670" w:rsidR="00DB1731" w:rsidP="00DB1731" w:rsidRDefault="00DB1731" w14:paraId="75DA5B23" w14:textId="77777777">
            <w:pPr>
              <w:autoSpaceDN w:val="0"/>
              <w:spacing w:after="0" w:line="240" w:lineRule="exact"/>
              <w:textAlignment w:val="baseline"/>
              <w:rPr>
                <w:rFonts w:ascii="Calibri" w:hAnsi="Calibri" w:cs="Calibri"/>
              </w:rPr>
            </w:pPr>
            <w:r w:rsidRPr="00EF7670">
              <w:rPr>
                <w:rFonts w:ascii="Calibri" w:hAnsi="Calibri" w:cs="Calibri"/>
              </w:rPr>
              <w:t>14</w:t>
            </w:r>
          </w:p>
        </w:tc>
        <w:tc>
          <w:tcPr>
            <w:tcW w:w="759" w:type="dxa"/>
            <w:tcMar>
              <w:top w:w="0" w:type="dxa"/>
              <w:left w:w="108" w:type="dxa"/>
              <w:bottom w:w="0" w:type="dxa"/>
              <w:right w:w="108" w:type="dxa"/>
            </w:tcMar>
            <w:vAlign w:val="center"/>
          </w:tcPr>
          <w:p w:rsidRPr="00EF7670" w:rsidR="00DB1731" w:rsidP="00DB1731" w:rsidRDefault="00DB1731" w14:paraId="54E73E08" w14:textId="77777777">
            <w:pPr>
              <w:autoSpaceDN w:val="0"/>
              <w:spacing w:after="0" w:line="240" w:lineRule="exact"/>
              <w:textAlignment w:val="baseline"/>
              <w:rPr>
                <w:rFonts w:ascii="Calibri" w:hAnsi="Calibri" w:cs="Calibri"/>
              </w:rPr>
            </w:pPr>
            <w:r w:rsidRPr="00EF7670">
              <w:rPr>
                <w:rFonts w:ascii="Calibri" w:hAnsi="Calibri" w:cs="Calibri"/>
              </w:rPr>
              <w:t>14</w:t>
            </w:r>
          </w:p>
        </w:tc>
        <w:tc>
          <w:tcPr>
            <w:tcW w:w="759" w:type="dxa"/>
            <w:tcMar>
              <w:top w:w="0" w:type="dxa"/>
              <w:left w:w="108" w:type="dxa"/>
              <w:bottom w:w="0" w:type="dxa"/>
              <w:right w:w="108" w:type="dxa"/>
            </w:tcMar>
            <w:vAlign w:val="center"/>
          </w:tcPr>
          <w:p w:rsidRPr="00EF7670" w:rsidR="00DB1731" w:rsidP="00DB1731" w:rsidRDefault="00DB1731" w14:paraId="46439D89" w14:textId="77777777">
            <w:pPr>
              <w:autoSpaceDN w:val="0"/>
              <w:spacing w:after="0" w:line="240" w:lineRule="exact"/>
              <w:textAlignment w:val="baseline"/>
              <w:rPr>
                <w:rFonts w:ascii="Calibri" w:hAnsi="Calibri" w:cs="Calibri"/>
              </w:rPr>
            </w:pPr>
            <w:r w:rsidRPr="00EF7670">
              <w:rPr>
                <w:rFonts w:ascii="Calibri" w:hAnsi="Calibri" w:cs="Calibri"/>
              </w:rPr>
              <w:t>14</w:t>
            </w:r>
          </w:p>
        </w:tc>
        <w:tc>
          <w:tcPr>
            <w:tcW w:w="759" w:type="dxa"/>
            <w:tcMar>
              <w:top w:w="0" w:type="dxa"/>
              <w:left w:w="108" w:type="dxa"/>
              <w:bottom w:w="0" w:type="dxa"/>
              <w:right w:w="108" w:type="dxa"/>
            </w:tcMar>
            <w:vAlign w:val="center"/>
          </w:tcPr>
          <w:p w:rsidRPr="00EF7670" w:rsidR="00DB1731" w:rsidP="00DB1731" w:rsidRDefault="00DB1731" w14:paraId="2AFF6870" w14:textId="77777777">
            <w:pPr>
              <w:autoSpaceDN w:val="0"/>
              <w:spacing w:after="0" w:line="240" w:lineRule="exact"/>
              <w:textAlignment w:val="baseline"/>
              <w:rPr>
                <w:rFonts w:ascii="Calibri" w:hAnsi="Calibri" w:cs="Calibri"/>
              </w:rPr>
            </w:pPr>
            <w:r w:rsidRPr="00EF7670">
              <w:rPr>
                <w:rFonts w:ascii="Calibri" w:hAnsi="Calibri" w:cs="Calibri"/>
              </w:rPr>
              <w:t>19</w:t>
            </w:r>
          </w:p>
        </w:tc>
        <w:tc>
          <w:tcPr>
            <w:tcW w:w="759" w:type="dxa"/>
            <w:tcMar>
              <w:top w:w="0" w:type="dxa"/>
              <w:left w:w="108" w:type="dxa"/>
              <w:bottom w:w="0" w:type="dxa"/>
              <w:right w:w="108" w:type="dxa"/>
            </w:tcMar>
            <w:vAlign w:val="center"/>
          </w:tcPr>
          <w:p w:rsidRPr="00EF7670" w:rsidR="00DB1731" w:rsidP="00DB1731" w:rsidRDefault="00DB1731" w14:paraId="23565819" w14:textId="77777777">
            <w:pPr>
              <w:autoSpaceDN w:val="0"/>
              <w:spacing w:after="0" w:line="240" w:lineRule="exact"/>
              <w:textAlignment w:val="baseline"/>
              <w:rPr>
                <w:rFonts w:ascii="Calibri" w:hAnsi="Calibri" w:cs="Calibri"/>
              </w:rPr>
            </w:pPr>
            <w:r w:rsidRPr="00EF7670">
              <w:rPr>
                <w:rFonts w:ascii="Calibri" w:hAnsi="Calibri" w:cs="Calibri"/>
              </w:rPr>
              <w:t>2030</w:t>
            </w:r>
          </w:p>
        </w:tc>
      </w:tr>
      <w:tr w:rsidRPr="00EF7670" w:rsidR="00DB1731" w:rsidTr="004E5E08" w14:paraId="29A8088C" w14:textId="77777777">
        <w:trPr>
          <w:trHeight w:val="279"/>
        </w:trPr>
        <w:tc>
          <w:tcPr>
            <w:tcW w:w="3109" w:type="dxa"/>
            <w:tcMar>
              <w:top w:w="0" w:type="dxa"/>
              <w:left w:w="108" w:type="dxa"/>
              <w:bottom w:w="0" w:type="dxa"/>
              <w:right w:w="108" w:type="dxa"/>
            </w:tcMar>
            <w:vAlign w:val="center"/>
          </w:tcPr>
          <w:p w:rsidRPr="00EF7670" w:rsidR="00DB1731" w:rsidP="00DB1731" w:rsidRDefault="00DB1731" w14:paraId="07631AC5" w14:textId="77777777">
            <w:pPr>
              <w:autoSpaceDN w:val="0"/>
              <w:spacing w:after="0" w:line="240" w:lineRule="exact"/>
              <w:textAlignment w:val="baseline"/>
              <w:rPr>
                <w:rFonts w:ascii="Calibri" w:hAnsi="Calibri" w:cs="Calibri"/>
              </w:rPr>
            </w:pPr>
            <w:r w:rsidRPr="00EF7670">
              <w:rPr>
                <w:rFonts w:ascii="Calibri" w:hAnsi="Calibri" w:cs="Calibri"/>
              </w:rPr>
              <w:t>Meewerkaftrek</w:t>
            </w:r>
          </w:p>
        </w:tc>
        <w:tc>
          <w:tcPr>
            <w:tcW w:w="759" w:type="dxa"/>
            <w:tcMar>
              <w:top w:w="0" w:type="dxa"/>
              <w:left w:w="108" w:type="dxa"/>
              <w:bottom w:w="0" w:type="dxa"/>
              <w:right w:w="108" w:type="dxa"/>
            </w:tcMar>
            <w:vAlign w:val="center"/>
          </w:tcPr>
          <w:p w:rsidRPr="00EF7670" w:rsidR="00DB1731" w:rsidP="00DB1731" w:rsidRDefault="00DB1731" w14:paraId="0006B65C" w14:textId="77777777">
            <w:pPr>
              <w:autoSpaceDN w:val="0"/>
              <w:spacing w:after="0" w:line="240" w:lineRule="exact"/>
              <w:textAlignment w:val="baseline"/>
              <w:rPr>
                <w:rFonts w:ascii="Calibri" w:hAnsi="Calibri" w:cs="Calibri"/>
              </w:rPr>
            </w:pPr>
            <w:r w:rsidRPr="00EF7670">
              <w:rPr>
                <w:rFonts w:ascii="Calibri" w:hAnsi="Calibri" w:cs="Calibri"/>
              </w:rPr>
              <w:t>0</w:t>
            </w:r>
          </w:p>
        </w:tc>
        <w:tc>
          <w:tcPr>
            <w:tcW w:w="759" w:type="dxa"/>
            <w:tcMar>
              <w:top w:w="0" w:type="dxa"/>
              <w:left w:w="108" w:type="dxa"/>
              <w:bottom w:w="0" w:type="dxa"/>
              <w:right w:w="108" w:type="dxa"/>
            </w:tcMar>
            <w:vAlign w:val="center"/>
          </w:tcPr>
          <w:p w:rsidRPr="00EF7670" w:rsidR="00DB1731" w:rsidP="00DB1731" w:rsidRDefault="00DB1731" w14:paraId="1C8EA324" w14:textId="77777777">
            <w:pPr>
              <w:autoSpaceDN w:val="0"/>
              <w:spacing w:after="0" w:line="240" w:lineRule="exact"/>
              <w:textAlignment w:val="baseline"/>
              <w:rPr>
                <w:rFonts w:ascii="Calibri" w:hAnsi="Calibri" w:cs="Calibri"/>
              </w:rPr>
            </w:pPr>
            <w:r w:rsidRPr="00EF7670">
              <w:rPr>
                <w:rFonts w:ascii="Calibri" w:hAnsi="Calibri" w:cs="Calibri"/>
              </w:rPr>
              <w:t>5</w:t>
            </w:r>
          </w:p>
        </w:tc>
        <w:tc>
          <w:tcPr>
            <w:tcW w:w="759" w:type="dxa"/>
            <w:tcMar>
              <w:top w:w="0" w:type="dxa"/>
              <w:left w:w="108" w:type="dxa"/>
              <w:bottom w:w="0" w:type="dxa"/>
              <w:right w:w="108" w:type="dxa"/>
            </w:tcMar>
            <w:vAlign w:val="center"/>
          </w:tcPr>
          <w:p w:rsidRPr="00EF7670" w:rsidR="00DB1731" w:rsidP="00DB1731" w:rsidRDefault="00DB1731" w14:paraId="27156D01" w14:textId="77777777">
            <w:pPr>
              <w:autoSpaceDN w:val="0"/>
              <w:spacing w:after="0" w:line="240" w:lineRule="exact"/>
              <w:textAlignment w:val="baseline"/>
              <w:rPr>
                <w:rFonts w:ascii="Calibri" w:hAnsi="Calibri" w:cs="Calibri"/>
              </w:rPr>
            </w:pPr>
            <w:r w:rsidRPr="00EF7670">
              <w:rPr>
                <w:rFonts w:ascii="Calibri" w:hAnsi="Calibri" w:cs="Calibri"/>
              </w:rPr>
              <w:t>5</w:t>
            </w:r>
          </w:p>
        </w:tc>
        <w:tc>
          <w:tcPr>
            <w:tcW w:w="759" w:type="dxa"/>
            <w:tcMar>
              <w:top w:w="0" w:type="dxa"/>
              <w:left w:w="108" w:type="dxa"/>
              <w:bottom w:w="0" w:type="dxa"/>
              <w:right w:w="108" w:type="dxa"/>
            </w:tcMar>
            <w:vAlign w:val="center"/>
          </w:tcPr>
          <w:p w:rsidRPr="00EF7670" w:rsidR="00DB1731" w:rsidP="00DB1731" w:rsidRDefault="00DB1731" w14:paraId="7C038711" w14:textId="77777777">
            <w:pPr>
              <w:autoSpaceDN w:val="0"/>
              <w:spacing w:after="0" w:line="240" w:lineRule="exact"/>
              <w:textAlignment w:val="baseline"/>
              <w:rPr>
                <w:rFonts w:ascii="Calibri" w:hAnsi="Calibri" w:cs="Calibri"/>
              </w:rPr>
            </w:pPr>
            <w:r w:rsidRPr="00EF7670">
              <w:rPr>
                <w:rFonts w:ascii="Calibri" w:hAnsi="Calibri" w:cs="Calibri"/>
              </w:rPr>
              <w:t>5</w:t>
            </w:r>
          </w:p>
        </w:tc>
        <w:tc>
          <w:tcPr>
            <w:tcW w:w="759" w:type="dxa"/>
            <w:tcMar>
              <w:top w:w="0" w:type="dxa"/>
              <w:left w:w="108" w:type="dxa"/>
              <w:bottom w:w="0" w:type="dxa"/>
              <w:right w:w="108" w:type="dxa"/>
            </w:tcMar>
            <w:vAlign w:val="center"/>
          </w:tcPr>
          <w:p w:rsidRPr="00EF7670" w:rsidR="00DB1731" w:rsidP="00DB1731" w:rsidRDefault="00DB1731" w14:paraId="2E6190DC" w14:textId="77777777">
            <w:pPr>
              <w:autoSpaceDN w:val="0"/>
              <w:spacing w:after="0" w:line="240" w:lineRule="exact"/>
              <w:textAlignment w:val="baseline"/>
              <w:rPr>
                <w:rFonts w:ascii="Calibri" w:hAnsi="Calibri" w:cs="Calibri"/>
              </w:rPr>
            </w:pPr>
            <w:r w:rsidRPr="00EF7670">
              <w:rPr>
                <w:rFonts w:ascii="Calibri" w:hAnsi="Calibri" w:cs="Calibri"/>
              </w:rPr>
              <w:t>7</w:t>
            </w:r>
          </w:p>
        </w:tc>
        <w:tc>
          <w:tcPr>
            <w:tcW w:w="759" w:type="dxa"/>
            <w:tcMar>
              <w:top w:w="0" w:type="dxa"/>
              <w:left w:w="108" w:type="dxa"/>
              <w:bottom w:w="0" w:type="dxa"/>
              <w:right w:w="108" w:type="dxa"/>
            </w:tcMar>
            <w:vAlign w:val="center"/>
          </w:tcPr>
          <w:p w:rsidRPr="00EF7670" w:rsidR="00DB1731" w:rsidP="00DB1731" w:rsidRDefault="00DB1731" w14:paraId="6FFF2129" w14:textId="77777777">
            <w:pPr>
              <w:autoSpaceDN w:val="0"/>
              <w:spacing w:after="0" w:line="240" w:lineRule="exact"/>
              <w:textAlignment w:val="baseline"/>
              <w:rPr>
                <w:rFonts w:ascii="Calibri" w:hAnsi="Calibri" w:cs="Calibri"/>
              </w:rPr>
            </w:pPr>
            <w:r w:rsidRPr="00EF7670">
              <w:rPr>
                <w:rFonts w:ascii="Calibri" w:hAnsi="Calibri" w:cs="Calibri"/>
              </w:rPr>
              <w:t>2030</w:t>
            </w:r>
          </w:p>
        </w:tc>
      </w:tr>
    </w:tbl>
    <w:p w:rsidRPr="00EF7670" w:rsidR="00DB1731" w:rsidP="00DB1731" w:rsidRDefault="00DB1731" w14:paraId="2E5CB701" w14:textId="77777777">
      <w:pPr>
        <w:autoSpaceDN w:val="0"/>
        <w:spacing w:after="0" w:line="240" w:lineRule="exact"/>
        <w:textAlignment w:val="baseline"/>
        <w:rPr>
          <w:rFonts w:ascii="Calibri" w:hAnsi="Calibri" w:cs="Calibri"/>
        </w:rPr>
      </w:pPr>
    </w:p>
    <w:p w:rsidRPr="00EF7670" w:rsidR="00DB1731" w:rsidP="00DB1731" w:rsidRDefault="00DB1731" w14:paraId="35E57A87" w14:textId="77777777">
      <w:pPr>
        <w:autoSpaceDN w:val="0"/>
        <w:spacing w:after="0" w:line="240" w:lineRule="exact"/>
        <w:textAlignment w:val="baseline"/>
        <w:rPr>
          <w:rFonts w:ascii="Calibri" w:hAnsi="Calibri" w:cs="Calibri"/>
        </w:rPr>
      </w:pPr>
    </w:p>
    <w:p w:rsidRPr="00EF7670" w:rsidR="00DB1731" w:rsidP="00DB1731" w:rsidRDefault="00DB1731" w14:paraId="3F9A6CBA" w14:textId="77777777">
      <w:pPr>
        <w:autoSpaceDN w:val="0"/>
        <w:spacing w:after="0" w:line="240" w:lineRule="exact"/>
        <w:textAlignment w:val="baseline"/>
        <w:rPr>
          <w:rFonts w:ascii="Calibri" w:hAnsi="Calibri" w:cs="Calibri"/>
        </w:rPr>
      </w:pPr>
      <w:r w:rsidRPr="00EF7670">
        <w:rPr>
          <w:rFonts w:ascii="Calibri" w:hAnsi="Calibri" w:cs="Calibri"/>
        </w:rPr>
        <w:t>Door deze maatregel geeft het kabinet invulling aan de motie van het lid Van Eijk, dat het kabinet opriep een beleidsoptie in deze richting uit te werken. In de motie wordt ook verzocht om de mogelijkheid van een fictief aanmerkelijk belang in box 2 met een verlaagde toegangsdrempel voor werknemersopties als alternatief in de uitwerking mee te nemen. Bij het vormgeven van de fiscale stimuleringsregeling voor aandelenopties voor werknemers van startups en scale-ups, heeft het kabinet het alternatief van het fictief aanmerkelijk belang overwogen. Hoewel de participatie van werknemers in de startup of scale-up onderneming van hun werkgever ook veel kenmerken van een investering draagt, is de koppeling aan de dienstbetrekking zodanig sterk dat het vanuit het fiscale systeem voor de hand ligt het voordeel te belasten in box 1. Daarnaast speelt ook een rol dat een fiscale stimuleringsregeling in de loonbelasting eerder realiseerbaar is dan de variant van het fictieve aanmerkelijk belang. Daarom heeft het kabinet gekozen voor de vormgeving van de maatregel in de loonbelasting. Echter, door de gekozen vormgeving komt de regeling zowel in de hoogte van het effectieve tarief als in heffingsmoment in hoge mate overeen met hoe de heffing in box 2 de facto zou uitwerken.</w:t>
      </w:r>
    </w:p>
    <w:p w:rsidRPr="00EF7670" w:rsidR="00DB1731" w:rsidP="00DB1731" w:rsidRDefault="00DB1731" w14:paraId="2249F3B0" w14:textId="77777777">
      <w:pPr>
        <w:autoSpaceDN w:val="0"/>
        <w:spacing w:after="0" w:line="240" w:lineRule="exact"/>
        <w:textAlignment w:val="baseline"/>
        <w:rPr>
          <w:rFonts w:ascii="Calibri" w:hAnsi="Calibri" w:cs="Calibri"/>
        </w:rPr>
      </w:pPr>
    </w:p>
    <w:p w:rsidRPr="00EF7670" w:rsidR="00DB1731" w:rsidP="00DB1731" w:rsidRDefault="00DB1731" w14:paraId="0A1671CB" w14:textId="77777777">
      <w:pPr>
        <w:autoSpaceDN w:val="0"/>
        <w:spacing w:after="0" w:line="240" w:lineRule="exact"/>
        <w:textAlignment w:val="baseline"/>
        <w:rPr>
          <w:rFonts w:ascii="Calibri" w:hAnsi="Calibri" w:cs="Calibri"/>
          <w:i/>
          <w:iCs/>
        </w:rPr>
      </w:pPr>
      <w:r w:rsidRPr="00EF7670">
        <w:rPr>
          <w:rFonts w:ascii="Calibri" w:hAnsi="Calibri" w:cs="Calibri"/>
          <w:i/>
          <w:iCs/>
        </w:rPr>
        <w:t>Vervolgproces</w:t>
      </w:r>
    </w:p>
    <w:p w:rsidRPr="00EF7670" w:rsidR="00DB1731" w:rsidP="00DB1731" w:rsidRDefault="00DB1731" w14:paraId="1A183DD5" w14:textId="77777777">
      <w:pPr>
        <w:autoSpaceDN w:val="0"/>
        <w:spacing w:after="0" w:line="240" w:lineRule="exact"/>
        <w:textAlignment w:val="baseline"/>
        <w:rPr>
          <w:rFonts w:ascii="Calibri" w:hAnsi="Calibri" w:cs="Calibri"/>
        </w:rPr>
      </w:pPr>
      <w:r w:rsidRPr="00EF7670">
        <w:rPr>
          <w:rFonts w:ascii="Calibri" w:hAnsi="Calibri" w:cs="Calibri"/>
        </w:rPr>
        <w:t xml:space="preserve">Het voorstel wordt nu uitgewerkt tot een wetsvoorstel, waarmee wordt toegewerkt naar een ingangsdatum van 1 januari 2027. Het kabinet verwacht dat het </w:t>
      </w:r>
      <w:r w:rsidRPr="00EF7670">
        <w:rPr>
          <w:rFonts w:ascii="Calibri" w:hAnsi="Calibri" w:cs="Calibri"/>
        </w:rPr>
        <w:lastRenderedPageBreak/>
        <w:t>wetsvoorstel in het eerste kwartaal van 2026 aan uw Kamer wordt aangeboden. Daaraan voorafgaand vindt een internetconsultatie plaats.</w:t>
      </w:r>
    </w:p>
    <w:p w:rsidR="00DB1731" w:rsidP="00DB1731" w:rsidRDefault="00DB1731" w14:paraId="3F7EDA53" w14:textId="77777777">
      <w:pPr>
        <w:spacing w:after="0"/>
        <w:rPr>
          <w:rFonts w:ascii="Calibri" w:hAnsi="Calibri" w:cs="Calibri"/>
        </w:rPr>
      </w:pPr>
    </w:p>
    <w:p w:rsidRPr="00EF7670" w:rsidR="00EF7670" w:rsidP="00DB1731" w:rsidRDefault="00EF7670" w14:paraId="2A6F14AB" w14:textId="77777777">
      <w:pPr>
        <w:spacing w:after="0"/>
        <w:rPr>
          <w:rFonts w:ascii="Calibri" w:hAnsi="Calibri" w:cs="Calibri"/>
        </w:rPr>
      </w:pPr>
    </w:p>
    <w:p w:rsidRPr="00EF7670" w:rsidR="00EF7670" w:rsidP="00EF7670" w:rsidRDefault="00EF7670" w14:paraId="2DCA8372" w14:textId="5C406E03">
      <w:pPr>
        <w:pStyle w:val="Geenafstand"/>
        <w:rPr>
          <w:rFonts w:ascii="Calibri" w:hAnsi="Calibri" w:cs="Calibri"/>
        </w:rPr>
      </w:pPr>
      <w:r w:rsidRPr="00EF7670">
        <w:rPr>
          <w:rFonts w:ascii="Calibri" w:hAnsi="Calibri" w:cs="Calibri"/>
        </w:rPr>
        <w:t>De m</w:t>
      </w:r>
      <w:r w:rsidRPr="00EF7670">
        <w:rPr>
          <w:rFonts w:ascii="Calibri" w:hAnsi="Calibri" w:cs="Calibri"/>
        </w:rPr>
        <w:t>inister van Economische Zaken</w:t>
      </w:r>
      <w:r w:rsidRPr="00EF7670">
        <w:rPr>
          <w:rFonts w:ascii="Calibri" w:hAnsi="Calibri" w:cs="Calibri"/>
        </w:rPr>
        <w:t>,</w:t>
      </w:r>
    </w:p>
    <w:p w:rsidRPr="00EF7670" w:rsidR="00DB1731" w:rsidP="00EF7670" w:rsidRDefault="00DB1731" w14:paraId="008A6B49" w14:textId="2FF8D770">
      <w:pPr>
        <w:pStyle w:val="Geenafstand"/>
        <w:rPr>
          <w:rFonts w:ascii="Calibri" w:hAnsi="Calibri" w:cs="Calibri"/>
        </w:rPr>
      </w:pPr>
      <w:r w:rsidRPr="00EF7670">
        <w:rPr>
          <w:rFonts w:ascii="Calibri" w:hAnsi="Calibri" w:cs="Calibri"/>
        </w:rPr>
        <w:t>D</w:t>
      </w:r>
      <w:r w:rsidRPr="00EF7670" w:rsidR="00EF7670">
        <w:rPr>
          <w:rFonts w:ascii="Calibri" w:hAnsi="Calibri" w:cs="Calibri"/>
        </w:rPr>
        <w:t xml:space="preserve">.S. </w:t>
      </w:r>
      <w:r w:rsidRPr="00EF7670">
        <w:rPr>
          <w:rFonts w:ascii="Calibri" w:hAnsi="Calibri" w:cs="Calibri"/>
        </w:rPr>
        <w:t>Beljaarts</w:t>
      </w:r>
    </w:p>
    <w:p w:rsidRPr="00EF7670" w:rsidR="00F80165" w:rsidP="00DB1731" w:rsidRDefault="00F80165" w14:paraId="69462FAF" w14:textId="77777777">
      <w:pPr>
        <w:spacing w:after="0"/>
        <w:rPr>
          <w:rFonts w:ascii="Calibri" w:hAnsi="Calibri" w:cs="Calibri"/>
        </w:rPr>
      </w:pPr>
    </w:p>
    <w:sectPr w:rsidRPr="00EF7670" w:rsidR="00F80165" w:rsidSect="00F11FE7">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A5EDF" w14:textId="77777777" w:rsidR="00DB1731" w:rsidRDefault="00DB1731" w:rsidP="00DB1731">
      <w:pPr>
        <w:spacing w:after="0" w:line="240" w:lineRule="auto"/>
      </w:pPr>
      <w:r>
        <w:separator/>
      </w:r>
    </w:p>
  </w:endnote>
  <w:endnote w:type="continuationSeparator" w:id="0">
    <w:p w14:paraId="39D01BE5" w14:textId="77777777" w:rsidR="00DB1731" w:rsidRDefault="00DB1731" w:rsidP="00DB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10B9" w14:textId="77777777" w:rsidR="00DB1731" w:rsidRPr="00DB1731" w:rsidRDefault="00DB1731" w:rsidP="00DB17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92F7" w14:textId="77777777" w:rsidR="00DB1731" w:rsidRPr="00DB1731" w:rsidRDefault="00DB1731" w:rsidP="00DB17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3A59D" w14:textId="77777777" w:rsidR="00DB1731" w:rsidRPr="00DB1731" w:rsidRDefault="00DB1731" w:rsidP="00DB17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5D68" w14:textId="77777777" w:rsidR="00DB1731" w:rsidRDefault="00DB1731" w:rsidP="00DB1731">
      <w:pPr>
        <w:spacing w:after="0" w:line="240" w:lineRule="auto"/>
      </w:pPr>
      <w:r>
        <w:separator/>
      </w:r>
    </w:p>
  </w:footnote>
  <w:footnote w:type="continuationSeparator" w:id="0">
    <w:p w14:paraId="5F15B1BC" w14:textId="77777777" w:rsidR="00DB1731" w:rsidRDefault="00DB1731" w:rsidP="00DB1731">
      <w:pPr>
        <w:spacing w:after="0" w:line="240" w:lineRule="auto"/>
      </w:pPr>
      <w:r>
        <w:continuationSeparator/>
      </w:r>
    </w:p>
  </w:footnote>
  <w:footnote w:id="1">
    <w:p w14:paraId="69C76B9B" w14:textId="5635F3CC" w:rsidR="00DB1731" w:rsidRPr="00EF7670" w:rsidRDefault="00DB1731" w:rsidP="00DB1731">
      <w:pPr>
        <w:pStyle w:val="Voetnoottekst"/>
        <w:rPr>
          <w:rFonts w:ascii="Calibri" w:hAnsi="Calibri" w:cs="Calibri"/>
          <w:sz w:val="20"/>
        </w:rPr>
      </w:pPr>
      <w:r w:rsidRPr="00EF7670">
        <w:rPr>
          <w:rStyle w:val="Voetnootmarkering"/>
          <w:rFonts w:ascii="Calibri" w:hAnsi="Calibri" w:cs="Calibri"/>
          <w:sz w:val="20"/>
        </w:rPr>
        <w:footnoteRef/>
      </w:r>
      <w:r w:rsidRPr="00EF7670">
        <w:rPr>
          <w:rFonts w:ascii="Calibri" w:hAnsi="Calibri" w:cs="Calibri"/>
          <w:sz w:val="20"/>
        </w:rPr>
        <w:t xml:space="preserve"> Kamerstukken II 2024/25, 36 602 nr. 102.</w:t>
      </w:r>
    </w:p>
  </w:footnote>
  <w:footnote w:id="2">
    <w:p w14:paraId="22780309" w14:textId="77777777" w:rsidR="00DB1731" w:rsidRPr="00EF7670" w:rsidRDefault="00DB1731" w:rsidP="00DB1731">
      <w:pPr>
        <w:pStyle w:val="Voetnoottekst"/>
        <w:rPr>
          <w:rFonts w:ascii="Calibri" w:hAnsi="Calibri" w:cs="Calibri"/>
          <w:sz w:val="20"/>
          <w:lang w:val="en-US"/>
        </w:rPr>
      </w:pPr>
      <w:r w:rsidRPr="00EF7670">
        <w:rPr>
          <w:rStyle w:val="Voetnootmarkering"/>
          <w:rFonts w:ascii="Calibri" w:hAnsi="Calibri" w:cs="Calibri"/>
          <w:sz w:val="20"/>
        </w:rPr>
        <w:footnoteRef/>
      </w:r>
      <w:r w:rsidRPr="00EF7670">
        <w:rPr>
          <w:rFonts w:ascii="Calibri" w:hAnsi="Calibri" w:cs="Calibri"/>
          <w:sz w:val="20"/>
        </w:rPr>
        <w:t xml:space="preserve"> Mario Draghi (2024). </w:t>
      </w:r>
      <w:r w:rsidRPr="00EF7670">
        <w:rPr>
          <w:rFonts w:ascii="Calibri" w:hAnsi="Calibri" w:cs="Calibri"/>
          <w:sz w:val="20"/>
          <w:lang w:val="en-US"/>
        </w:rPr>
        <w:t>Rapport: ‘The Future of European Competitiveness’, in opdracht van de Europese Commissie.</w:t>
      </w:r>
    </w:p>
  </w:footnote>
  <w:footnote w:id="3">
    <w:p w14:paraId="71192F0F" w14:textId="77777777" w:rsidR="00DB1731" w:rsidRPr="00EF7670" w:rsidRDefault="00DB1731" w:rsidP="00DB1731">
      <w:pPr>
        <w:pStyle w:val="Voetnoottekst"/>
        <w:rPr>
          <w:rFonts w:ascii="Calibri" w:hAnsi="Calibri" w:cs="Calibri"/>
          <w:sz w:val="20"/>
        </w:rPr>
      </w:pPr>
      <w:r w:rsidRPr="00EF7670">
        <w:rPr>
          <w:rStyle w:val="Voetnootmarkering"/>
          <w:rFonts w:ascii="Calibri" w:hAnsi="Calibri" w:cs="Calibri"/>
          <w:sz w:val="20"/>
        </w:rPr>
        <w:footnoteRef/>
      </w:r>
      <w:r w:rsidRPr="00EF7670">
        <w:rPr>
          <w:rFonts w:ascii="Calibri" w:hAnsi="Calibri" w:cs="Calibri"/>
          <w:sz w:val="20"/>
          <w:lang w:val="en-US"/>
        </w:rPr>
        <w:t xml:space="preserve"> McKinsey (2022) ‘Building a world-class Dutch start-up ecosystem’, en het rapport State of Dutch Tech (2024). </w:t>
      </w:r>
      <w:r w:rsidRPr="00EF7670">
        <w:rPr>
          <w:rFonts w:ascii="Calibri" w:hAnsi="Calibri" w:cs="Calibri"/>
          <w:sz w:val="20"/>
        </w:rPr>
        <w:t>De gemiddelde marktwaarde van een startup in Nederland is tien keer zo laag als in de Verenigde Staten.</w:t>
      </w:r>
    </w:p>
  </w:footnote>
  <w:footnote w:id="4">
    <w:p w14:paraId="6E2F3487" w14:textId="39E860E5" w:rsidR="00DB1731" w:rsidRPr="00EF7670" w:rsidRDefault="00DB1731" w:rsidP="00DB1731">
      <w:pPr>
        <w:pStyle w:val="Voetnoottekst"/>
        <w:rPr>
          <w:rFonts w:ascii="Calibri" w:hAnsi="Calibri" w:cs="Calibri"/>
          <w:sz w:val="20"/>
        </w:rPr>
      </w:pPr>
      <w:r w:rsidRPr="00EF7670">
        <w:rPr>
          <w:rStyle w:val="Voetnootmarkering"/>
          <w:rFonts w:ascii="Calibri" w:hAnsi="Calibri" w:cs="Calibri"/>
          <w:sz w:val="20"/>
        </w:rPr>
        <w:footnoteRef/>
      </w:r>
      <w:r w:rsidRPr="00EF7670">
        <w:rPr>
          <w:rFonts w:ascii="Calibri" w:hAnsi="Calibri" w:cs="Calibri"/>
          <w:sz w:val="20"/>
        </w:rPr>
        <w:t xml:space="preserve"> Kamerstukken II 2024/25, 32 140, nr. 218.</w:t>
      </w:r>
    </w:p>
  </w:footnote>
  <w:footnote w:id="5">
    <w:p w14:paraId="23FF1668" w14:textId="22D9F993" w:rsidR="00DB1731" w:rsidRPr="00EF7670" w:rsidRDefault="00DB1731" w:rsidP="00DB1731">
      <w:pPr>
        <w:pStyle w:val="Voetnoottekst"/>
        <w:rPr>
          <w:rFonts w:ascii="Calibri" w:hAnsi="Calibri" w:cs="Calibri"/>
          <w:sz w:val="20"/>
          <w:lang w:eastAsia="en-US"/>
        </w:rPr>
      </w:pPr>
      <w:r w:rsidRPr="00EF7670">
        <w:rPr>
          <w:rStyle w:val="Voetnootmarkering"/>
          <w:rFonts w:ascii="Calibri" w:hAnsi="Calibri" w:cs="Calibri"/>
          <w:sz w:val="20"/>
        </w:rPr>
        <w:footnoteRef/>
      </w:r>
      <w:r w:rsidRPr="00EF7670">
        <w:rPr>
          <w:rFonts w:ascii="Calibri" w:hAnsi="Calibri" w:cs="Calibri"/>
          <w:sz w:val="20"/>
        </w:rPr>
        <w:t xml:space="preserve"> Kamerstukken II 2024/25, 32 140, nr. 218, bijlage: Rapport ‘</w:t>
      </w:r>
      <w:hyperlink r:id="rId1" w:history="1">
        <w:r w:rsidRPr="00EF7670">
          <w:rPr>
            <w:rStyle w:val="Hyperlink"/>
            <w:rFonts w:ascii="Calibri" w:hAnsi="Calibri" w:cs="Calibri"/>
            <w:sz w:val="20"/>
          </w:rPr>
          <w:t>Opties voor groei: medewerkersparticipaties, de fiscaliteit en het startupklimaat</w:t>
        </w:r>
      </w:hyperlink>
      <w:r w:rsidRPr="00EF7670">
        <w:rPr>
          <w:rFonts w:ascii="Calibri" w:hAnsi="Calibri" w:cs="Calibri"/>
          <w:sz w:val="20"/>
        </w:rPr>
        <w:t>’, onderzocht door Archipel Tax Advice.</w:t>
      </w:r>
    </w:p>
  </w:footnote>
  <w:footnote w:id="6">
    <w:p w14:paraId="0C0B54E6" w14:textId="1F4841B7" w:rsidR="00DB1731" w:rsidRPr="00EF7670" w:rsidRDefault="00DB1731" w:rsidP="00DB1731">
      <w:pPr>
        <w:pStyle w:val="Voetnoottekst"/>
        <w:rPr>
          <w:rFonts w:ascii="Calibri" w:hAnsi="Calibri" w:cs="Calibri"/>
          <w:sz w:val="20"/>
        </w:rPr>
      </w:pPr>
      <w:r w:rsidRPr="00EF7670">
        <w:rPr>
          <w:rStyle w:val="Voetnootmarkering"/>
          <w:rFonts w:ascii="Calibri" w:hAnsi="Calibri" w:cs="Calibri"/>
          <w:sz w:val="20"/>
        </w:rPr>
        <w:footnoteRef/>
      </w:r>
      <w:r w:rsidRPr="00EF7670">
        <w:rPr>
          <w:rFonts w:ascii="Calibri" w:hAnsi="Calibri" w:cs="Calibri"/>
          <w:sz w:val="20"/>
        </w:rPr>
        <w:t xml:space="preserve"> Kamerstukken II 2022/23, 32 637 nr. 567.</w:t>
      </w:r>
    </w:p>
  </w:footnote>
  <w:footnote w:id="7">
    <w:p w14:paraId="29C4A91D" w14:textId="320DBDA2" w:rsidR="00DB1731" w:rsidRPr="00EF7670" w:rsidRDefault="00DB1731" w:rsidP="00DB1731">
      <w:pPr>
        <w:pStyle w:val="Voetnoottekst"/>
        <w:rPr>
          <w:rFonts w:ascii="Calibri" w:hAnsi="Calibri" w:cs="Calibri"/>
          <w:sz w:val="20"/>
        </w:rPr>
      </w:pPr>
      <w:r w:rsidRPr="00EF7670">
        <w:rPr>
          <w:rStyle w:val="Voetnootmarkering"/>
          <w:rFonts w:ascii="Calibri" w:hAnsi="Calibri" w:cs="Calibri"/>
          <w:sz w:val="20"/>
        </w:rPr>
        <w:footnoteRef/>
      </w:r>
      <w:r w:rsidRPr="00EF7670">
        <w:rPr>
          <w:rFonts w:ascii="Calibri" w:hAnsi="Calibri" w:cs="Calibri"/>
          <w:sz w:val="20"/>
        </w:rPr>
        <w:t xml:space="preserve"> Kamerstukken II 2021/22, 35 929, nr. 6.</w:t>
      </w:r>
    </w:p>
  </w:footnote>
  <w:footnote w:id="8">
    <w:p w14:paraId="789881CB" w14:textId="5430B383" w:rsidR="00DB1731" w:rsidRPr="00EF7670" w:rsidRDefault="00DB1731" w:rsidP="00DB1731">
      <w:pPr>
        <w:pStyle w:val="Voetnoottekst"/>
        <w:rPr>
          <w:rFonts w:ascii="Calibri" w:hAnsi="Calibri" w:cs="Calibri"/>
          <w:sz w:val="20"/>
        </w:rPr>
      </w:pPr>
      <w:r w:rsidRPr="00EF7670">
        <w:rPr>
          <w:rStyle w:val="Voetnootmarkering"/>
          <w:rFonts w:ascii="Calibri" w:hAnsi="Calibri" w:cs="Calibri"/>
          <w:sz w:val="20"/>
        </w:rPr>
        <w:footnoteRef/>
      </w:r>
      <w:r w:rsidRPr="00EF7670">
        <w:rPr>
          <w:rFonts w:ascii="Calibri" w:hAnsi="Calibri" w:cs="Calibri"/>
          <w:sz w:val="20"/>
        </w:rPr>
        <w:t xml:space="preserve"> Kamerstukken II 2023/24, 32 140 nr. 180 (fiche 06).</w:t>
      </w:r>
    </w:p>
  </w:footnote>
  <w:footnote w:id="9">
    <w:p w14:paraId="0DB834CC" w14:textId="77777777" w:rsidR="00DB1731" w:rsidRPr="00EF7670" w:rsidRDefault="00DB1731" w:rsidP="00DB1731">
      <w:pPr>
        <w:pStyle w:val="Voetnoottekst"/>
        <w:rPr>
          <w:rFonts w:ascii="Calibri" w:hAnsi="Calibri" w:cs="Calibri"/>
          <w:sz w:val="20"/>
        </w:rPr>
      </w:pPr>
      <w:r w:rsidRPr="00EF7670">
        <w:rPr>
          <w:rStyle w:val="Voetnootmarkering"/>
          <w:rFonts w:ascii="Calibri" w:hAnsi="Calibri" w:cs="Calibri"/>
          <w:sz w:val="20"/>
        </w:rPr>
        <w:footnoteRef/>
      </w:r>
      <w:r w:rsidRPr="00EF7670">
        <w:rPr>
          <w:rFonts w:ascii="Calibri" w:hAnsi="Calibri" w:cs="Calibri"/>
          <w:sz w:val="20"/>
        </w:rPr>
        <w:t xml:space="preserve"> Tijdens Staat van de Economie, debat over het Belastingplan, en de debatten over Verdienvermogen en het MKB. </w:t>
      </w:r>
    </w:p>
  </w:footnote>
  <w:footnote w:id="10">
    <w:p w14:paraId="6ECE26E3" w14:textId="6B638340" w:rsidR="00DB1731" w:rsidRPr="00EF7670" w:rsidRDefault="00DB1731" w:rsidP="00DB1731">
      <w:pPr>
        <w:pStyle w:val="Voetnoottekst"/>
        <w:rPr>
          <w:rFonts w:ascii="Calibri" w:hAnsi="Calibri" w:cs="Calibri"/>
          <w:sz w:val="20"/>
        </w:rPr>
      </w:pPr>
      <w:r w:rsidRPr="00EF7670">
        <w:rPr>
          <w:rStyle w:val="Voetnootmarkering"/>
          <w:rFonts w:ascii="Calibri" w:hAnsi="Calibri" w:cs="Calibri"/>
          <w:sz w:val="20"/>
        </w:rPr>
        <w:footnoteRef/>
      </w:r>
      <w:r w:rsidRPr="00EF7670">
        <w:rPr>
          <w:rFonts w:ascii="Calibri" w:hAnsi="Calibri" w:cs="Calibri"/>
          <w:sz w:val="20"/>
        </w:rPr>
        <w:t xml:space="preserve"> Kamerstukken II 2024/25, 36 602 nr. 102.</w:t>
      </w:r>
    </w:p>
  </w:footnote>
  <w:footnote w:id="11">
    <w:p w14:paraId="75B6B5D1" w14:textId="63AF2635" w:rsidR="00DB1731" w:rsidRPr="00EF7670" w:rsidRDefault="00DB1731" w:rsidP="00DB1731">
      <w:pPr>
        <w:pStyle w:val="Voetnoottekst"/>
        <w:rPr>
          <w:rFonts w:ascii="Calibri" w:hAnsi="Calibri" w:cs="Calibri"/>
          <w:sz w:val="20"/>
        </w:rPr>
      </w:pPr>
      <w:r w:rsidRPr="00EF7670">
        <w:rPr>
          <w:rStyle w:val="Voetnootmarkering"/>
          <w:rFonts w:ascii="Calibri" w:hAnsi="Calibri" w:cs="Calibri"/>
          <w:sz w:val="20"/>
        </w:rPr>
        <w:footnoteRef/>
      </w:r>
      <w:r w:rsidRPr="00EF7670">
        <w:rPr>
          <w:rFonts w:ascii="Calibri" w:hAnsi="Calibri" w:cs="Calibri"/>
          <w:sz w:val="20"/>
        </w:rPr>
        <w:t xml:space="preserve"> Kamerstukken II 2024/25, 23 september 2024, 25 883, nr. 502.</w:t>
      </w:r>
    </w:p>
  </w:footnote>
  <w:footnote w:id="12">
    <w:p w14:paraId="7D6A0DBB" w14:textId="5159B81D" w:rsidR="00DB1731" w:rsidRPr="00EF7670" w:rsidRDefault="00DB1731" w:rsidP="00DB1731">
      <w:pPr>
        <w:pStyle w:val="Voetnoottekst"/>
        <w:rPr>
          <w:rFonts w:ascii="Calibri" w:hAnsi="Calibri" w:cs="Calibri"/>
          <w:sz w:val="20"/>
        </w:rPr>
      </w:pPr>
      <w:r w:rsidRPr="00EF7670">
        <w:rPr>
          <w:rStyle w:val="Voetnootmarkering"/>
          <w:rFonts w:ascii="Calibri" w:hAnsi="Calibri" w:cs="Calibri"/>
          <w:sz w:val="20"/>
        </w:rPr>
        <w:footnoteRef/>
      </w:r>
      <w:r w:rsidRPr="00EF7670">
        <w:rPr>
          <w:rFonts w:ascii="Calibri" w:hAnsi="Calibri" w:cs="Calibri"/>
          <w:sz w:val="20"/>
        </w:rPr>
        <w:t xml:space="preserve"> </w:t>
      </w:r>
      <w:r w:rsidRPr="00EF7670">
        <w:rPr>
          <w:rFonts w:ascii="Calibri" w:hAnsi="Calibri" w:cs="Calibri"/>
          <w:i/>
          <w:iCs/>
          <w:sz w:val="20"/>
        </w:rPr>
        <w:t>Evaluatie fiscale ondernemerschapsregelingen,</w:t>
      </w:r>
      <w:r w:rsidRPr="00EF7670">
        <w:rPr>
          <w:rFonts w:ascii="Calibri" w:hAnsi="Calibri" w:cs="Calibri"/>
          <w:sz w:val="20"/>
        </w:rPr>
        <w:t xml:space="preserve"> Ministerie van Financiën en Ministerie van Economische Zaken en Klimaat, mei 2024. Kamerstukken II 2023/24, 32 140, nr. 199.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0D686" w14:textId="77777777" w:rsidR="00DB1731" w:rsidRPr="00DB1731" w:rsidRDefault="00DB1731" w:rsidP="00DB17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DB8C" w14:textId="77777777" w:rsidR="00DB1731" w:rsidRPr="00DB1731" w:rsidRDefault="00DB1731" w:rsidP="00DB17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8E14" w14:textId="77777777" w:rsidR="00DB1731" w:rsidRPr="00DB1731" w:rsidRDefault="00DB1731" w:rsidP="00DB17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31"/>
    <w:rsid w:val="005F38F2"/>
    <w:rsid w:val="00AC0261"/>
    <w:rsid w:val="00DB1731"/>
    <w:rsid w:val="00EA20A8"/>
    <w:rsid w:val="00EF7670"/>
    <w:rsid w:val="00F11FE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B739"/>
  <w15:chartTrackingRefBased/>
  <w15:docId w15:val="{953AD61E-1FCF-4300-81C5-80C303077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1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1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17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17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17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17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17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17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17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17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17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17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17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17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17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17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17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1731"/>
    <w:rPr>
      <w:rFonts w:eastAsiaTheme="majorEastAsia" w:cstheme="majorBidi"/>
      <w:color w:val="272727" w:themeColor="text1" w:themeTint="D8"/>
    </w:rPr>
  </w:style>
  <w:style w:type="paragraph" w:styleId="Titel">
    <w:name w:val="Title"/>
    <w:basedOn w:val="Standaard"/>
    <w:next w:val="Standaard"/>
    <w:link w:val="TitelChar"/>
    <w:uiPriority w:val="10"/>
    <w:qFormat/>
    <w:rsid w:val="00DB1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17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17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17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17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1731"/>
    <w:rPr>
      <w:i/>
      <w:iCs/>
      <w:color w:val="404040" w:themeColor="text1" w:themeTint="BF"/>
    </w:rPr>
  </w:style>
  <w:style w:type="paragraph" w:styleId="Lijstalinea">
    <w:name w:val="List Paragraph"/>
    <w:basedOn w:val="Standaard"/>
    <w:uiPriority w:val="34"/>
    <w:qFormat/>
    <w:rsid w:val="00DB1731"/>
    <w:pPr>
      <w:ind w:left="720"/>
      <w:contextualSpacing/>
    </w:pPr>
  </w:style>
  <w:style w:type="character" w:styleId="Intensievebenadrukking">
    <w:name w:val="Intense Emphasis"/>
    <w:basedOn w:val="Standaardalinea-lettertype"/>
    <w:uiPriority w:val="21"/>
    <w:qFormat/>
    <w:rsid w:val="00DB1731"/>
    <w:rPr>
      <w:i/>
      <w:iCs/>
      <w:color w:val="0F4761" w:themeColor="accent1" w:themeShade="BF"/>
    </w:rPr>
  </w:style>
  <w:style w:type="paragraph" w:styleId="Duidelijkcitaat">
    <w:name w:val="Intense Quote"/>
    <w:basedOn w:val="Standaard"/>
    <w:next w:val="Standaard"/>
    <w:link w:val="DuidelijkcitaatChar"/>
    <w:uiPriority w:val="30"/>
    <w:qFormat/>
    <w:rsid w:val="00DB1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1731"/>
    <w:rPr>
      <w:i/>
      <w:iCs/>
      <w:color w:val="0F4761" w:themeColor="accent1" w:themeShade="BF"/>
    </w:rPr>
  </w:style>
  <w:style w:type="character" w:styleId="Intensieveverwijzing">
    <w:name w:val="Intense Reference"/>
    <w:basedOn w:val="Standaardalinea-lettertype"/>
    <w:uiPriority w:val="32"/>
    <w:qFormat/>
    <w:rsid w:val="00DB1731"/>
    <w:rPr>
      <w:b/>
      <w:bCs/>
      <w:smallCaps/>
      <w:color w:val="0F4761" w:themeColor="accent1" w:themeShade="BF"/>
      <w:spacing w:val="5"/>
    </w:rPr>
  </w:style>
  <w:style w:type="paragraph" w:styleId="Koptekst">
    <w:name w:val="header"/>
    <w:basedOn w:val="Standaard"/>
    <w:link w:val="KoptekstChar"/>
    <w:rsid w:val="00DB173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B173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B173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B1731"/>
    <w:rPr>
      <w:rFonts w:ascii="Verdana" w:eastAsia="Times New Roman" w:hAnsi="Verdana" w:cs="Times New Roman"/>
      <w:kern w:val="0"/>
      <w:sz w:val="18"/>
      <w:szCs w:val="24"/>
      <w:lang w:eastAsia="nl-NL"/>
      <w14:ligatures w14:val="none"/>
    </w:rPr>
  </w:style>
  <w:style w:type="table" w:styleId="Tabelraster">
    <w:name w:val="Table Grid"/>
    <w:basedOn w:val="Standaardtabel"/>
    <w:rsid w:val="00DB1731"/>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uiPriority w:val="99"/>
    <w:rsid w:val="00DB173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B1731"/>
    <w:rPr>
      <w:rFonts w:ascii="Verdana" w:hAnsi="Verdana"/>
      <w:noProof/>
      <w:sz w:val="13"/>
      <w:szCs w:val="24"/>
      <w:lang w:eastAsia="nl-NL"/>
    </w:rPr>
  </w:style>
  <w:style w:type="paragraph" w:customStyle="1" w:styleId="Huisstijl-Gegeven">
    <w:name w:val="Huisstijl-Gegeven"/>
    <w:basedOn w:val="Standaard"/>
    <w:link w:val="Huisstijl-GegevenCharChar"/>
    <w:rsid w:val="00DB173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B173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B173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DB1731"/>
    <w:rPr>
      <w:color w:val="0000FF"/>
      <w:u w:val="single"/>
    </w:rPr>
  </w:style>
  <w:style w:type="paragraph" w:customStyle="1" w:styleId="Huisstijl-Retouradres">
    <w:name w:val="Huisstijl-Retouradres"/>
    <w:basedOn w:val="Standaard"/>
    <w:uiPriority w:val="99"/>
    <w:rsid w:val="00DB173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B1731"/>
    <w:pPr>
      <w:spacing w:after="0"/>
    </w:pPr>
    <w:rPr>
      <w:b/>
    </w:rPr>
  </w:style>
  <w:style w:type="paragraph" w:customStyle="1" w:styleId="Huisstijl-Paginanummering">
    <w:name w:val="Huisstijl-Paginanummering"/>
    <w:basedOn w:val="Standaard"/>
    <w:uiPriority w:val="99"/>
    <w:rsid w:val="00DB173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DB173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DB173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DB1731"/>
    <w:rPr>
      <w:rFonts w:ascii="Verdana" w:eastAsia="Times New Roman" w:hAnsi="Verdana" w:cs="Times New Roman"/>
      <w:kern w:val="0"/>
      <w:sz w:val="13"/>
      <w:szCs w:val="20"/>
      <w:lang w:eastAsia="nl-NL"/>
      <w14:ligatures w14:val="none"/>
    </w:rPr>
  </w:style>
  <w:style w:type="character" w:styleId="Verwijzingopmerking">
    <w:name w:val="annotation reference"/>
    <w:basedOn w:val="Standaardalinea-lettertype"/>
    <w:uiPriority w:val="99"/>
    <w:semiHidden/>
    <w:unhideWhenUsed/>
    <w:rsid w:val="00DB1731"/>
    <w:rPr>
      <w:sz w:val="16"/>
      <w:szCs w:val="16"/>
    </w:rPr>
  </w:style>
  <w:style w:type="character" w:styleId="Voetnootmarkering">
    <w:name w:val="footnote reference"/>
    <w:basedOn w:val="Standaardalinea-lettertype"/>
    <w:uiPriority w:val="99"/>
    <w:semiHidden/>
    <w:unhideWhenUsed/>
    <w:rsid w:val="00DB1731"/>
    <w:rPr>
      <w:vertAlign w:val="superscript"/>
    </w:rPr>
  </w:style>
  <w:style w:type="paragraph" w:styleId="Geenafstand">
    <w:name w:val="No Spacing"/>
    <w:uiPriority w:val="1"/>
    <w:qFormat/>
    <w:rsid w:val="00EF7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2/17/opties-voor-groei-onderzoeksrapport-iov-rvo-archipe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1665</ap:Words>
  <ap:Characters>9161</ap:Characters>
  <ap:DocSecurity>0</ap:DocSecurity>
  <ap:Lines>76</ap:Lines>
  <ap:Paragraphs>21</ap:Paragraphs>
  <ap:ScaleCrop>false</ap:ScaleCrop>
  <ap:LinksUpToDate>false</ap:LinksUpToDate>
  <ap:CharactersWithSpaces>10805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2025-06-05T10:23:00.0000000Z</dcterms:created>
  <dcterms:modified xsi:type="dcterms:W3CDTF">2025-06-05T10:23:00.0000000Z</dcterms:modified>
  <version/>
  <category/>
</coreProperties>
</file>